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 w:lineRule="exact"/>
        <w:rPr>
          <w:sz w:val="24"/>
          <w:szCs w:val="24"/>
          <w:color w:val="auto"/>
        </w:rPr>
      </w:pPr>
    </w:p>
    <w:p>
      <w:pPr>
        <w:ind w:left="1660" w:hanging="316"/>
        <w:spacing w:after="0"/>
        <w:tabs>
          <w:tab w:leader="none" w:pos="16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-106045</wp:posOffset>
            </wp:positionV>
            <wp:extent cx="81915" cy="83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915" cy="831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For the fiscal year ended December 31, 2020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749935</wp:posOffset>
            </wp:positionH>
            <wp:positionV relativeFrom="paragraph">
              <wp:posOffset>-106680</wp:posOffset>
            </wp:positionV>
            <wp:extent cx="81915" cy="83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915" cy="83185"/>
                    </a:xfrm>
                    <a:prstGeom prst="rect">
                      <a:avLst/>
                    </a:prstGeom>
                    <a:noFill/>
                  </pic:spPr>
                </pic:pic>
              </a:graphicData>
            </a:graphic>
          </wp:anchor>
        </w:drawing>
      </w:r>
    </w:p>
    <w:p>
      <w:pPr>
        <w:spacing w:after="0" w:line="158"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FOR THE TRANSITION PERIOD FROM __________ TO 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001-38067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Verona Pharma plc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2"/>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Arial" w:cs="Arial" w:eastAsia="Arial" w:hAnsi="Arial"/>
                <w:sz w:val="14"/>
                <w:szCs w:val="14"/>
                <w:b w:val="1"/>
                <w:bCs w:val="1"/>
                <w:color w:val="auto"/>
                <w:w w:val="90"/>
              </w:rPr>
              <w:t>98-1489389</w:t>
            </w:r>
          </w:p>
        </w:tc>
      </w:tr>
      <w:tr>
        <w:trPr>
          <w:trHeight w:val="151"/>
        </w:trPr>
        <w:tc>
          <w:tcPr>
            <w:tcW w:w="7420" w:type="dxa"/>
            <w:vAlign w:val="bottom"/>
            <w:gridSpan w:val="2"/>
          </w:tcPr>
          <w:p>
            <w:pPr>
              <w:jc w:val="center"/>
              <w:ind w:right="2156"/>
              <w:spacing w:after="0"/>
              <w:rPr>
                <w:sz w:val="20"/>
                <w:szCs w:val="20"/>
                <w:color w:val="auto"/>
              </w:rPr>
            </w:pPr>
            <w:r>
              <w:rPr>
                <w:rFonts w:ascii="Arial" w:cs="Arial" w:eastAsia="Arial" w:hAnsi="Arial"/>
                <w:sz w:val="11"/>
                <w:szCs w:val="11"/>
                <w:b w:val="1"/>
                <w:bCs w:val="1"/>
                <w:color w:val="auto"/>
                <w:w w:val="93"/>
              </w:rPr>
              <w:t>(State or other jurisdiction of incorporation or organization)</w:t>
            </w:r>
          </w:p>
        </w:tc>
        <w:tc>
          <w:tcPr>
            <w:tcW w:w="3840" w:type="dxa"/>
            <w:vAlign w:val="bottom"/>
          </w:tcPr>
          <w:p>
            <w:pPr>
              <w:jc w:val="center"/>
              <w:ind w:right="1256"/>
              <w:spacing w:after="0"/>
              <w:rPr>
                <w:sz w:val="20"/>
                <w:szCs w:val="20"/>
                <w:color w:val="auto"/>
              </w:rPr>
            </w:pPr>
            <w:r>
              <w:rPr>
                <w:rFonts w:ascii="Arial" w:cs="Arial" w:eastAsia="Arial" w:hAnsi="Arial"/>
                <w:sz w:val="11"/>
                <w:szCs w:val="11"/>
                <w:b w:val="1"/>
                <w:bCs w:val="1"/>
                <w:color w:val="auto"/>
                <w:w w:val="95"/>
              </w:rPr>
              <w:t>(I.R.S. Employer Identification No.)</w:t>
            </w:r>
          </w:p>
        </w:tc>
      </w:tr>
      <w:tr>
        <w:trPr>
          <w:trHeight w:val="397"/>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3"/>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4"/>
        </w:trPr>
        <w:tc>
          <w:tcPr>
            <w:tcW w:w="3780" w:type="dxa"/>
            <w:vAlign w:val="bottom"/>
          </w:tcPr>
          <w:p>
            <w:pPr>
              <w:jc w:val="center"/>
              <w:ind w:left="1355"/>
              <w:spacing w:after="0"/>
              <w:rPr>
                <w:sz w:val="20"/>
                <w:szCs w:val="20"/>
                <w:color w:val="auto"/>
              </w:rPr>
            </w:pPr>
            <w:r>
              <w:rPr>
                <w:rFonts w:ascii="Arial" w:cs="Arial" w:eastAsia="Arial" w:hAnsi="Arial"/>
                <w:sz w:val="14"/>
                <w:szCs w:val="14"/>
                <w:b w:val="1"/>
                <w:bCs w:val="1"/>
                <w:color w:val="auto"/>
                <w:w w:val="92"/>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Arial" w:cs="Arial" w:eastAsia="Arial" w:hAnsi="Arial"/>
                <w:sz w:val="14"/>
                <w:szCs w:val="14"/>
                <w:b w:val="1"/>
                <w:bCs w:val="1"/>
                <w:color w:val="auto"/>
                <w:w w:val="91"/>
              </w:rPr>
              <w:t>Not Applicable</w:t>
            </w:r>
          </w:p>
        </w:tc>
      </w:tr>
      <w:tr>
        <w:trPr>
          <w:trHeight w:val="172"/>
        </w:trPr>
        <w:tc>
          <w:tcPr>
            <w:tcW w:w="3780" w:type="dxa"/>
            <w:vAlign w:val="bottom"/>
          </w:tcPr>
          <w:p>
            <w:pPr>
              <w:jc w:val="center"/>
              <w:ind w:left="1355"/>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Arial" w:cs="Arial" w:eastAsia="Arial" w:hAnsi="Arial"/>
                <w:sz w:val="11"/>
                <w:szCs w:val="11"/>
                <w:b w:val="1"/>
                <w:bCs w:val="1"/>
                <w:color w:val="auto"/>
                <w:w w:val="95"/>
              </w:rPr>
              <w:t>(Zip Code)</w:t>
            </w:r>
          </w:p>
        </w:tc>
      </w:tr>
      <w:tr>
        <w:trPr>
          <w:trHeight w:val="206"/>
        </w:trPr>
        <w:tc>
          <w:tcPr>
            <w:tcW w:w="3780" w:type="dxa"/>
            <w:vAlign w:val="bottom"/>
          </w:tcPr>
          <w:p>
            <w:pPr>
              <w:spacing w:after="0"/>
              <w:rPr>
                <w:sz w:val="17"/>
                <w:szCs w:val="17"/>
                <w:color w:val="auto"/>
              </w:rPr>
            </w:pPr>
          </w:p>
        </w:tc>
        <w:tc>
          <w:tcPr>
            <w:tcW w:w="3640" w:type="dxa"/>
            <w:vAlign w:val="bottom"/>
          </w:tcPr>
          <w:p>
            <w:pPr>
              <w:jc w:val="center"/>
              <w:ind w:left="16"/>
              <w:spacing w:after="0"/>
              <w:rPr>
                <w:sz w:val="20"/>
                <w:szCs w:val="20"/>
                <w:color w:val="auto"/>
              </w:rPr>
            </w:pPr>
            <w:r>
              <w:rPr>
                <w:rFonts w:ascii="Arial" w:cs="Arial" w:eastAsia="Arial" w:hAnsi="Arial"/>
                <w:sz w:val="11"/>
                <w:szCs w:val="11"/>
                <w:b w:val="1"/>
                <w:bCs w:val="1"/>
                <w:color w:val="auto"/>
                <w:w w:val="91"/>
              </w:rPr>
              <w:t>Registrant’s telephone number, including area code: +44 203 283 4200</w:t>
            </w:r>
          </w:p>
        </w:tc>
        <w:tc>
          <w:tcPr>
            <w:tcW w:w="3840" w:type="dxa"/>
            <w:vAlign w:val="bottom"/>
          </w:tcPr>
          <w:p>
            <w:pPr>
              <w:spacing w:after="0"/>
              <w:rPr>
                <w:sz w:val="17"/>
                <w:szCs w:val="17"/>
                <w:color w:val="auto"/>
              </w:rPr>
            </w:pPr>
          </w:p>
        </w:tc>
      </w:tr>
      <w:tr>
        <w:trPr>
          <w:trHeight w:val="184"/>
        </w:trPr>
        <w:tc>
          <w:tcPr>
            <w:tcW w:w="3780" w:type="dxa"/>
            <w:vAlign w:val="bottom"/>
          </w:tcPr>
          <w:p>
            <w:pPr>
              <w:spacing w:after="0"/>
              <w:rPr>
                <w:sz w:val="16"/>
                <w:szCs w:val="16"/>
                <w:color w:val="auto"/>
              </w:rPr>
            </w:pPr>
          </w:p>
        </w:tc>
        <w:tc>
          <w:tcPr>
            <w:tcW w:w="36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Arial" w:cs="Arial" w:eastAsia="Arial" w:hAnsi="Arial"/>
                <w:sz w:val="14"/>
                <w:szCs w:val="14"/>
                <w:b w:val="1"/>
                <w:bCs w:val="1"/>
                <w:color w:val="auto"/>
                <w:w w:val="87"/>
              </w:rPr>
              <w:t>Title of each class</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840" w:type="dxa"/>
            <w:vAlign w:val="bottom"/>
            <w:tcBorders>
              <w:bottom w:val="single" w:sz="8" w:color="auto"/>
            </w:tcBorders>
          </w:tcPr>
          <w:p>
            <w:pPr>
              <w:jc w:val="center"/>
              <w:ind w:right="1036"/>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Arial" w:cs="Arial" w:eastAsia="Arial" w:hAnsi="Arial"/>
                <w:sz w:val="11"/>
                <w:szCs w:val="11"/>
                <w:color w:val="auto"/>
                <w:w w:val="92"/>
              </w:rPr>
              <w:t>Ordinary shares, nominal value £0.05 per share*</w:t>
            </w:r>
          </w:p>
        </w:tc>
        <w:tc>
          <w:tcPr>
            <w:tcW w:w="3640" w:type="dxa"/>
            <w:vAlign w:val="bottom"/>
          </w:tcPr>
          <w:p>
            <w:pPr>
              <w:jc w:val="center"/>
              <w:spacing w:after="0"/>
              <w:rPr>
                <w:sz w:val="20"/>
                <w:szCs w:val="20"/>
                <w:color w:val="auto"/>
              </w:rPr>
            </w:pPr>
            <w:r>
              <w:rPr>
                <w:rFonts w:ascii="Arial" w:cs="Arial" w:eastAsia="Arial" w:hAnsi="Arial"/>
                <w:sz w:val="11"/>
                <w:szCs w:val="11"/>
                <w:color w:val="auto"/>
              </w:rPr>
              <w:t>VRNA</w:t>
            </w:r>
          </w:p>
        </w:tc>
        <w:tc>
          <w:tcPr>
            <w:tcW w:w="3840" w:type="dxa"/>
            <w:vAlign w:val="bottom"/>
          </w:tcPr>
          <w:p>
            <w:pPr>
              <w:jc w:val="center"/>
              <w:ind w:right="1056"/>
              <w:spacing w:after="0"/>
              <w:rPr>
                <w:sz w:val="20"/>
                <w:szCs w:val="20"/>
                <w:color w:val="auto"/>
              </w:rPr>
            </w:pPr>
            <w:r>
              <w:rPr>
                <w:rFonts w:ascii="Arial" w:cs="Arial" w:eastAsia="Arial" w:hAnsi="Arial"/>
                <w:sz w:val="11"/>
                <w:szCs w:val="11"/>
                <w:color w:val="auto"/>
                <w:w w:val="94"/>
              </w:rPr>
              <w:t>The Nasdaq Stock Market LLC (Nasdaq Global Market)</w:t>
            </w:r>
          </w:p>
        </w:tc>
      </w:tr>
    </w:tbl>
    <w:p>
      <w:pPr>
        <w:spacing w:after="0" w:line="142" w:lineRule="exact"/>
        <w:rPr>
          <w:sz w:val="24"/>
          <w:szCs w:val="24"/>
          <w:color w:val="auto"/>
        </w:rPr>
      </w:pPr>
    </w:p>
    <w:p>
      <w:pPr>
        <w:ind w:right="440" w:firstLine="5"/>
        <w:spacing w:after="0" w:line="257" w:lineRule="auto"/>
        <w:tabs>
          <w:tab w:leader="none" w:pos="85"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161" w:lineRule="exact"/>
        <w:rPr>
          <w:sz w:val="24"/>
          <w:szCs w:val="24"/>
          <w:color w:val="auto"/>
        </w:rPr>
      </w:pPr>
    </w:p>
    <w:p>
      <w:pPr>
        <w:ind w:right="3820"/>
        <w:spacing w:after="0" w:line="18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320"/>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12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Arial" w:cs="Arial" w:eastAsia="Arial" w:hAnsi="Arial"/>
                <w:sz w:val="14"/>
                <w:szCs w:val="14"/>
                <w:color w:val="auto"/>
              </w:rPr>
              <w:t>Small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0" w:type="dxa"/>
            <w:vAlign w:val="bottom"/>
          </w:tcPr>
          <w:p>
            <w:pPr>
              <w:ind w:left="380"/>
              <w:spacing w:after="0"/>
              <w:rPr>
                <w:sz w:val="20"/>
                <w:szCs w:val="20"/>
                <w:color w:val="auto"/>
              </w:rPr>
            </w:pPr>
            <w:r>
              <w:rPr>
                <w:rFonts w:ascii="Arial" w:cs="Arial" w:eastAsia="Arial" w:hAnsi="Arial"/>
                <w:sz w:val="14"/>
                <w:szCs w:val="14"/>
                <w:color w:val="auto"/>
              </w:rPr>
              <w:t>Emerging growth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4"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8" w:lineRule="exact"/>
        <w:rPr>
          <w:sz w:val="24"/>
          <w:szCs w:val="24"/>
          <w:color w:val="auto"/>
        </w:rPr>
      </w:pPr>
    </w:p>
    <w:p>
      <w:pPr>
        <w:jc w:val="both"/>
        <w:spacing w:after="0" w:line="237"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was approximately $37.5 million as of June 30, 2020,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54"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As of February 19, 2021, the registrant had 463,478,446 ordinary shares, nominal value £0.05 per share, outstanding, which if all held in ADS form, would be represented by 57,934,805 American Depositary Shares, each representing eight (8) ordinary shares.</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98" w:lineRule="exact"/>
        <w:rPr>
          <w:sz w:val="24"/>
          <w:szCs w:val="24"/>
          <w:color w:val="auto"/>
        </w:rPr>
      </w:pPr>
    </w:p>
    <w:p>
      <w:pPr>
        <w:ind w:right="180"/>
        <w:spacing w:after="0" w:line="281" w:lineRule="auto"/>
        <w:rPr>
          <w:sz w:val="20"/>
          <w:szCs w:val="20"/>
          <w:color w:val="auto"/>
        </w:rPr>
      </w:pPr>
      <w:r>
        <w:rPr>
          <w:rFonts w:ascii="Arial" w:cs="Arial" w:eastAsia="Arial" w:hAnsi="Arial"/>
          <w:sz w:val="14"/>
          <w:szCs w:val="14"/>
          <w:color w:val="auto"/>
        </w:rPr>
        <w:t>Portions of the registrant’s definitive proxy statement that the registrant intends to file with the Securities and Exchange Commission pursuant to Regulation 14A in connection with the registrant’s 2021 Annual Meeting of Shareholders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1020445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GENERAL INFORMATION</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TRADENAMES AND SERVICE MARKS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6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the Term Loan and from cash receipts from U.K. tax credits, and the sufficiency of our cash and cash equivalents to fund operations, are forward-looking statements.</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1031240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SUMMARY RISK FACTORS</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business is subject to numerous risks and uncertainties, including those described in Part I, Item 1A. “Risk Factors” in this Annual Report. You should carefully consider these risks and uncertainties when investing in our ADSs. The principal risks and uncertainties affecting our business include the following:</w:t>
      </w:r>
    </w:p>
    <w:p>
      <w:pPr>
        <w:spacing w:after="0" w:line="48"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a limited operating history and have never generated any product revenue;</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additional funding to complete development of any future product candidates, or development of other formulations or target indications of ensifentrine, and to commercialize our products, including ensifentrine, if approved;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heavily on the success of ensifentrine, our only product candidate under development;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has and may continue to adversely impact our business;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incur additional costs or experience delays in completing, or ultimately be unable to complete, the development and commercialization of our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Ensifentrine may have serious adverse, undesirable or unacceptable side effects which may delay or prevent marketing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are unable to enroll patients in our clinical trials, or enrollment is slower than anticipated, our research and development efforts could be adversely affected;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become exposed to costly and damaging liability claims, either when testing ensifentrine in the clinic or at the commercial stage, and our product liability insurance may not cover all damages from such claims;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Regulatory approval processes are lengthy, time consuming and inherently unpredictable, and if we are ultimately unable to obtain regulatory approval for ensifentrine, our business will be substantially harmed;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Enacted and future legislation may increase the difficulty and cost for us to obtain marketing approval of and commercialize ensifentrine and may affect the prices we may set;</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operate in a highly competitive and rapidly changing industry, which may result in others discovering, developing or commercializing competing products before or more successfully than we do;</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unable to obtain orphan drug designation from the FDA or EU for ensifentrine for the treatment of cystic fibrosis, and even if we do obtain such designations, we may be unable to obtain or maintain the benefits associated with orphan drug designation, including the potential for orphan drug exclusivity;</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rely, and expect to continue to rely, on third parties, including independent clinical investigators and clinical research organizations, to conduct our pre-clinical studies and clinical trials;</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enter into new strategic relationships for ensifentrine, our business, research and development and commercialization prospects could be adversely affected;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patents and other intellectual property rights to protect ensifentrine, the enforcement, defense and maintenance of which may be challenging and costly;</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744855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 w:name="page4"/>
    <w:bookmarkEnd w:id="3"/>
    <w:p>
      <w:pPr>
        <w:ind w:left="255" w:hanging="255"/>
        <w:spacing w:after="0"/>
        <w:tabs>
          <w:tab w:leader="none" w:pos="255"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future growth and ability to compete depends on our ability to retain our key personnel and recruit additional qualified personnel;</w:t>
      </w:r>
    </w:p>
    <w:p>
      <w:pPr>
        <w:spacing w:after="0" w:line="72" w:lineRule="exact"/>
        <w:rPr>
          <w:rFonts w:ascii="Arial" w:cs="Arial" w:eastAsia="Arial" w:hAnsi="Arial"/>
          <w:sz w:val="14"/>
          <w:szCs w:val="14"/>
          <w:color w:val="auto"/>
        </w:rPr>
      </w:pPr>
    </w:p>
    <w:p>
      <w:pPr>
        <w:ind w:left="255" w:hanging="255"/>
        <w:spacing w:after="0"/>
        <w:tabs>
          <w:tab w:leader="none" w:pos="255"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expect to expand our development, regulatory and sales and marketing capabilities, and as a result, we may encounter difficulties in managing our growth, which could disrupt our operations;</w:t>
      </w:r>
    </w:p>
    <w:p>
      <w:pPr>
        <w:spacing w:after="0" w:line="95" w:lineRule="exact"/>
        <w:rPr>
          <w:rFonts w:ascii="Arial" w:cs="Arial" w:eastAsia="Arial" w:hAnsi="Arial"/>
          <w:sz w:val="12"/>
          <w:szCs w:val="12"/>
          <w:color w:val="auto"/>
        </w:rPr>
      </w:pPr>
    </w:p>
    <w:p>
      <w:pPr>
        <w:ind w:left="255" w:hanging="255"/>
        <w:spacing w:after="0"/>
        <w:tabs>
          <w:tab w:leader="none" w:pos="25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price of our American Depositary Shares may be volatile and may fluctuate due to factors beyond our control; and</w:t>
      </w:r>
    </w:p>
    <w:p>
      <w:pPr>
        <w:spacing w:after="0" w:line="72" w:lineRule="exact"/>
        <w:rPr>
          <w:rFonts w:ascii="Arial" w:cs="Arial" w:eastAsia="Arial" w:hAnsi="Arial"/>
          <w:sz w:val="14"/>
          <w:szCs w:val="14"/>
          <w:color w:val="auto"/>
        </w:rPr>
      </w:pPr>
    </w:p>
    <w:p>
      <w:pPr>
        <w:ind w:left="255" w:hanging="255"/>
        <w:spacing w:after="0" w:line="249" w:lineRule="auto"/>
        <w:tabs>
          <w:tab w:leader="none" w:pos="251"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744855</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75"/>
          </w:cols>
          <w:pgMar w:left="305" w:top="1222"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1040" w:type="dxa"/>
            <w:vAlign w:val="bottom"/>
            <w:shd w:val="clear" w:color="auto" w:fill="CCEEFF"/>
          </w:tcPr>
          <w:p>
            <w:pPr>
              <w:spacing w:after="0"/>
              <w:rPr>
                <w:sz w:val="15"/>
                <w:szCs w:val="15"/>
                <w:color w:val="auto"/>
              </w:rPr>
            </w:pPr>
          </w:p>
        </w:tc>
        <w:tc>
          <w:tcPr>
            <w:tcW w:w="9160" w:type="dxa"/>
            <w:vAlign w:val="bottom"/>
            <w:shd w:val="clear" w:color="auto" w:fill="CCEEFF"/>
          </w:tcPr>
          <w:p>
            <w:pPr>
              <w:ind w:left="4100"/>
              <w:spacing w:after="0"/>
              <w:rPr>
                <w:sz w:val="20"/>
                <w:szCs w:val="20"/>
                <w:color w:val="auto"/>
              </w:rPr>
            </w:pPr>
            <w:r>
              <w:rPr>
                <w:rFonts w:ascii="Arial" w:cs="Arial" w:eastAsia="Arial" w:hAnsi="Arial"/>
                <w:sz w:val="14"/>
                <w:szCs w:val="14"/>
                <w:color w:val="auto"/>
              </w:rPr>
              <w:t>Table of Contents</w:t>
            </w:r>
          </w:p>
        </w:tc>
        <w:tc>
          <w:tcPr>
            <w:tcW w:w="1080" w:type="dxa"/>
            <w:vAlign w:val="bottom"/>
            <w:shd w:val="clear" w:color="auto" w:fill="CCEEFF"/>
          </w:tcPr>
          <w:p>
            <w:pPr>
              <w:spacing w:after="0"/>
              <w:rPr>
                <w:sz w:val="15"/>
                <w:szCs w:val="15"/>
                <w:color w:val="auto"/>
              </w:rPr>
            </w:pPr>
          </w:p>
        </w:tc>
      </w:tr>
      <w:tr>
        <w:trPr>
          <w:trHeight w:val="180"/>
        </w:trPr>
        <w:tc>
          <w:tcPr>
            <w:tcW w:w="1040" w:type="dxa"/>
            <w:vAlign w:val="bottom"/>
            <w:tcBorders>
              <w:bottom w:val="single" w:sz="8" w:color="CCEEFF"/>
            </w:tcBorders>
          </w:tcPr>
          <w:p>
            <w:pPr>
              <w:spacing w:after="0"/>
              <w:rPr>
                <w:sz w:val="15"/>
                <w:szCs w:val="15"/>
                <w:color w:val="auto"/>
              </w:rPr>
            </w:pPr>
          </w:p>
        </w:tc>
        <w:tc>
          <w:tcPr>
            <w:tcW w:w="91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Page</w:t>
            </w:r>
          </w:p>
        </w:tc>
      </w:tr>
      <w:tr>
        <w:trPr>
          <w:trHeight w:val="161"/>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w:t>
            </w:r>
          </w:p>
        </w:tc>
        <w:tc>
          <w:tcPr>
            <w:tcW w:w="9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Item 1</w:t>
              </w:r>
            </w:hyperlink>
          </w:p>
        </w:tc>
        <w:tc>
          <w:tcPr>
            <w:tcW w:w="9160" w:type="dxa"/>
            <w:vAlign w:val="bottom"/>
          </w:tcPr>
          <w:p>
            <w:pPr>
              <w:ind w:left="4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Business</w:t>
              </w:r>
            </w:hyperlink>
          </w:p>
        </w:tc>
        <w:tc>
          <w:tcPr>
            <w:tcW w:w="1080" w:type="dxa"/>
            <w:vAlign w:val="bottom"/>
          </w:tcPr>
          <w:p>
            <w:pPr>
              <w:jc w:val="center"/>
              <w:spacing w:after="0"/>
              <w:rPr>
                <w:rFonts w:ascii="Arial" w:cs="Arial" w:eastAsia="Arial" w:hAnsi="Arial"/>
                <w:sz w:val="14"/>
                <w:szCs w:val="14"/>
                <w:color w:val="auto"/>
              </w:rPr>
            </w:pPr>
            <w:hyperlink w:anchor="page5">
              <w:r>
                <w:rPr>
                  <w:rFonts w:ascii="Arial" w:cs="Arial" w:eastAsia="Arial" w:hAnsi="Arial"/>
                  <w:sz w:val="14"/>
                  <w:szCs w:val="14"/>
                  <w:color w:val="auto"/>
                </w:rPr>
                <w:t>1</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27">
              <w:r>
                <w:rPr>
                  <w:rFonts w:ascii="Arial" w:cs="Arial" w:eastAsia="Arial" w:hAnsi="Arial"/>
                  <w:sz w:val="14"/>
                  <w:szCs w:val="14"/>
                  <w:u w:val="single" w:color="auto"/>
                  <w:color w:val="0000FF"/>
                </w:rPr>
                <w:t>Item 1A.</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27">
              <w:r>
                <w:rPr>
                  <w:rFonts w:ascii="Arial" w:cs="Arial" w:eastAsia="Arial" w:hAnsi="Arial"/>
                  <w:sz w:val="14"/>
                  <w:szCs w:val="14"/>
                  <w:u w:val="single" w:color="auto"/>
                  <w:color w:val="0000FF"/>
                </w:rPr>
                <w:t>Risk Factors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27">
              <w:r>
                <w:rPr>
                  <w:rFonts w:ascii="Arial" w:cs="Arial" w:eastAsia="Arial" w:hAnsi="Arial"/>
                  <w:sz w:val="14"/>
                  <w:szCs w:val="14"/>
                  <w:color w:val="auto"/>
                  <w:w w:val="89"/>
                </w:rPr>
                <w:t>22</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Item 1B.</w:t>
              </w:r>
            </w:hyperlink>
          </w:p>
        </w:tc>
        <w:tc>
          <w:tcPr>
            <w:tcW w:w="9160" w:type="dxa"/>
            <w:vAlign w:val="bottom"/>
          </w:tcPr>
          <w:p>
            <w:pPr>
              <w:ind w:left="4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Unresolved Staff Comments</w:t>
              </w:r>
            </w:hyperlink>
          </w:p>
        </w:tc>
        <w:tc>
          <w:tcPr>
            <w:tcW w:w="1080" w:type="dxa"/>
            <w:vAlign w:val="bottom"/>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64</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Item 2.</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Properties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64</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Item 3.</w:t>
              </w:r>
            </w:hyperlink>
          </w:p>
        </w:tc>
        <w:tc>
          <w:tcPr>
            <w:tcW w:w="9160" w:type="dxa"/>
            <w:vAlign w:val="bottom"/>
          </w:tcPr>
          <w:p>
            <w:pPr>
              <w:ind w:left="4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Legal Proceedings</w:t>
              </w:r>
            </w:hyperlink>
          </w:p>
        </w:tc>
        <w:tc>
          <w:tcPr>
            <w:tcW w:w="1080" w:type="dxa"/>
            <w:vAlign w:val="bottom"/>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64</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Item 4.</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Mine Safety Disclosures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64</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80"/>
        </w:trPr>
        <w:tc>
          <w:tcPr>
            <w:tcW w:w="1040" w:type="dxa"/>
            <w:vAlign w:val="bottom"/>
          </w:tcPr>
          <w:p>
            <w:pPr>
              <w:ind w:left="20"/>
              <w:spacing w:after="0"/>
              <w:rPr>
                <w:sz w:val="20"/>
                <w:szCs w:val="20"/>
                <w:color w:val="auto"/>
              </w:rPr>
            </w:pPr>
            <w:r>
              <w:rPr>
                <w:rFonts w:ascii="Arial" w:cs="Arial" w:eastAsia="Arial" w:hAnsi="Arial"/>
                <w:sz w:val="14"/>
                <w:szCs w:val="14"/>
                <w:color w:val="auto"/>
              </w:rPr>
              <w:t>Part II</w:t>
            </w:r>
          </w:p>
        </w:tc>
        <w:tc>
          <w:tcPr>
            <w:tcW w:w="9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Item 5.</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69">
              <w:r>
                <w:rPr>
                  <w:rFonts w:ascii="Arial" w:cs="Arial" w:eastAsia="Arial" w:hAnsi="Arial"/>
                  <w:sz w:val="14"/>
                  <w:szCs w:val="14"/>
                  <w:u w:val="single" w:color="auto"/>
                  <w:color w:val="0000FF"/>
                </w:rPr>
                <w:t>Market for Registrant’s Common Equity, Related Stockholder Matters and Issuer Purchases of Equity Securities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69">
              <w:r>
                <w:rPr>
                  <w:rFonts w:ascii="Arial" w:cs="Arial" w:eastAsia="Arial" w:hAnsi="Arial"/>
                  <w:sz w:val="14"/>
                  <w:szCs w:val="14"/>
                  <w:color w:val="auto"/>
                  <w:w w:val="89"/>
                </w:rPr>
                <w:t>64</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70">
              <w:r>
                <w:rPr>
                  <w:rFonts w:ascii="Arial" w:cs="Arial" w:eastAsia="Arial" w:hAnsi="Arial"/>
                  <w:sz w:val="14"/>
                  <w:szCs w:val="14"/>
                  <w:u w:val="single" w:color="auto"/>
                  <w:color w:val="0000FF"/>
                </w:rPr>
                <w:t>Item 6.</w:t>
              </w:r>
            </w:hyperlink>
          </w:p>
        </w:tc>
        <w:tc>
          <w:tcPr>
            <w:tcW w:w="9160" w:type="dxa"/>
            <w:vAlign w:val="bottom"/>
          </w:tcPr>
          <w:p>
            <w:pPr>
              <w:ind w:left="420"/>
              <w:spacing w:after="0"/>
              <w:rPr>
                <w:rFonts w:ascii="Arial" w:cs="Arial" w:eastAsia="Arial" w:hAnsi="Arial"/>
                <w:sz w:val="14"/>
                <w:szCs w:val="14"/>
                <w:u w:val="single" w:color="auto"/>
                <w:color w:val="0000FF"/>
              </w:rPr>
            </w:pPr>
            <w:hyperlink w:anchor="page70">
              <w:r>
                <w:rPr>
                  <w:rFonts w:ascii="Arial" w:cs="Arial" w:eastAsia="Arial" w:hAnsi="Arial"/>
                  <w:sz w:val="14"/>
                  <w:szCs w:val="14"/>
                  <w:u w:val="single" w:color="auto"/>
                  <w:color w:val="0000FF"/>
                </w:rPr>
                <w:t>Selected Financial Data</w:t>
              </w:r>
            </w:hyperlink>
          </w:p>
        </w:tc>
        <w:tc>
          <w:tcPr>
            <w:tcW w:w="1080" w:type="dxa"/>
            <w:vAlign w:val="bottom"/>
          </w:tcPr>
          <w:p>
            <w:pPr>
              <w:jc w:val="center"/>
              <w:spacing w:after="0"/>
              <w:rPr>
                <w:rFonts w:ascii="Arial" w:cs="Arial" w:eastAsia="Arial" w:hAnsi="Arial"/>
                <w:sz w:val="14"/>
                <w:szCs w:val="14"/>
                <w:color w:val="auto"/>
                <w:w w:val="89"/>
              </w:rPr>
            </w:pPr>
            <w:hyperlink w:anchor="page70">
              <w:r>
                <w:rPr>
                  <w:rFonts w:ascii="Arial" w:cs="Arial" w:eastAsia="Arial" w:hAnsi="Arial"/>
                  <w:sz w:val="14"/>
                  <w:szCs w:val="14"/>
                  <w:color w:val="auto"/>
                  <w:w w:val="89"/>
                </w:rPr>
                <w:t>66</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71">
              <w:r>
                <w:rPr>
                  <w:rFonts w:ascii="Arial" w:cs="Arial" w:eastAsia="Arial" w:hAnsi="Arial"/>
                  <w:sz w:val="14"/>
                  <w:szCs w:val="14"/>
                  <w:u w:val="single" w:color="auto"/>
                  <w:color w:val="0000FF"/>
                </w:rPr>
                <w:t>Item 7.</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71">
              <w:r>
                <w:rPr>
                  <w:rFonts w:ascii="Arial" w:cs="Arial" w:eastAsia="Arial" w:hAnsi="Arial"/>
                  <w:sz w:val="14"/>
                  <w:szCs w:val="14"/>
                  <w:u w:val="single" w:color="auto"/>
                  <w:color w:val="0000FF"/>
                </w:rPr>
                <w:t>Management’s Discussion and Analysis of Financial Condition and Results of Operations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71">
              <w:r>
                <w:rPr>
                  <w:rFonts w:ascii="Arial" w:cs="Arial" w:eastAsia="Arial" w:hAnsi="Arial"/>
                  <w:sz w:val="14"/>
                  <w:szCs w:val="14"/>
                  <w:color w:val="auto"/>
                  <w:w w:val="89"/>
                </w:rPr>
                <w:t>66</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Item 7A.</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Quantitative and Qualitative Disclosures about Market Risk</w:t>
              </w:r>
            </w:hyperlink>
          </w:p>
        </w:tc>
        <w:tc>
          <w:tcPr>
            <w:tcW w:w="1080" w:type="dxa"/>
            <w:vAlign w:val="bottom"/>
          </w:tcPr>
          <w:p>
            <w:pPr>
              <w:spacing w:after="0"/>
              <w:rPr>
                <w:sz w:val="23"/>
                <w:szCs w:val="23"/>
                <w:color w:val="auto"/>
              </w:rPr>
            </w:pPr>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Item 8.</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Financial Statements and Supplementary Data</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1">
              <w:r>
                <w:rPr>
                  <w:rFonts w:ascii="Arial" w:cs="Arial" w:eastAsia="Arial" w:hAnsi="Arial"/>
                  <w:sz w:val="14"/>
                  <w:szCs w:val="14"/>
                  <w:color w:val="auto"/>
                  <w:w w:val="89"/>
                </w:rPr>
                <w:t>76</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Item 9.</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Changes in and Disagreements with Accountants on Accounting and Financial Disclosure</w:t>
              </w:r>
            </w:hyperlink>
          </w:p>
        </w:tc>
        <w:tc>
          <w:tcPr>
            <w:tcW w:w="1080" w:type="dxa"/>
            <w:vAlign w:val="bottom"/>
          </w:tcPr>
          <w:p>
            <w:pPr>
              <w:jc w:val="center"/>
              <w:spacing w:after="0"/>
              <w:rPr>
                <w:rFonts w:ascii="Arial" w:cs="Arial" w:eastAsia="Arial" w:hAnsi="Arial"/>
                <w:sz w:val="14"/>
                <w:szCs w:val="14"/>
                <w:color w:val="auto"/>
                <w:w w:val="89"/>
              </w:rPr>
            </w:pPr>
            <w:hyperlink w:anchor="page81">
              <w:r>
                <w:rPr>
                  <w:rFonts w:ascii="Arial" w:cs="Arial" w:eastAsia="Arial" w:hAnsi="Arial"/>
                  <w:sz w:val="14"/>
                  <w:szCs w:val="14"/>
                  <w:color w:val="auto"/>
                  <w:w w:val="89"/>
                </w:rPr>
                <w:t>76</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Item 9A.</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Controls and Procedures</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1">
              <w:r>
                <w:rPr>
                  <w:rFonts w:ascii="Arial" w:cs="Arial" w:eastAsia="Arial" w:hAnsi="Arial"/>
                  <w:sz w:val="14"/>
                  <w:szCs w:val="14"/>
                  <w:color w:val="auto"/>
                  <w:w w:val="89"/>
                </w:rPr>
                <w:t>76</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9B.</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Other Information</w:t>
              </w:r>
            </w:hyperlink>
          </w:p>
        </w:tc>
        <w:tc>
          <w:tcPr>
            <w:tcW w:w="1080" w:type="dxa"/>
            <w:vAlign w:val="bottom"/>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80"/>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III</w:t>
            </w:r>
          </w:p>
        </w:tc>
        <w:tc>
          <w:tcPr>
            <w:tcW w:w="9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10.</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Directors, Executive Officers and Corporate Governance</w:t>
              </w:r>
            </w:hyperlink>
          </w:p>
        </w:tc>
        <w:tc>
          <w:tcPr>
            <w:tcW w:w="1080" w:type="dxa"/>
            <w:vAlign w:val="bottom"/>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11.</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Executive Compensation</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12.</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Security Ownership of Certain Beneficial Owners and Management and Related Stockholder Matters</w:t>
              </w:r>
            </w:hyperlink>
          </w:p>
        </w:tc>
        <w:tc>
          <w:tcPr>
            <w:tcW w:w="1080" w:type="dxa"/>
            <w:vAlign w:val="bottom"/>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13.</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Certain Relationships and Related Transactions, and Director Independence</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Item 14.</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Principal Accounting Fees and Services</w:t>
              </w:r>
            </w:hyperlink>
          </w:p>
        </w:tc>
        <w:tc>
          <w:tcPr>
            <w:tcW w:w="1080" w:type="dxa"/>
            <w:vAlign w:val="bottom"/>
          </w:tcPr>
          <w:p>
            <w:pPr>
              <w:jc w:val="center"/>
              <w:spacing w:after="0"/>
              <w:rPr>
                <w:rFonts w:ascii="Arial" w:cs="Arial" w:eastAsia="Arial" w:hAnsi="Arial"/>
                <w:sz w:val="14"/>
                <w:szCs w:val="14"/>
                <w:color w:val="auto"/>
                <w:w w:val="89"/>
              </w:rPr>
            </w:pPr>
            <w:hyperlink w:anchor="page82">
              <w:r>
                <w:rPr>
                  <w:rFonts w:ascii="Arial" w:cs="Arial" w:eastAsia="Arial" w:hAnsi="Arial"/>
                  <w:sz w:val="14"/>
                  <w:szCs w:val="14"/>
                  <w:color w:val="auto"/>
                  <w:w w:val="89"/>
                </w:rPr>
                <w:t>77</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80"/>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 IV</w:t>
            </w:r>
          </w:p>
        </w:tc>
        <w:tc>
          <w:tcPr>
            <w:tcW w:w="9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Item 15.</w:t>
              </w:r>
            </w:hyperlink>
          </w:p>
        </w:tc>
        <w:tc>
          <w:tcPr>
            <w:tcW w:w="9160" w:type="dxa"/>
            <w:vAlign w:val="bottom"/>
          </w:tcPr>
          <w:p>
            <w:pPr>
              <w:ind w:left="42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Exhibits, Financial Statement Schedules</w:t>
              </w:r>
            </w:hyperlink>
          </w:p>
        </w:tc>
        <w:tc>
          <w:tcPr>
            <w:tcW w:w="1080" w:type="dxa"/>
            <w:vAlign w:val="bottom"/>
          </w:tcPr>
          <w:p>
            <w:pPr>
              <w:jc w:val="center"/>
              <w:spacing w:after="0"/>
              <w:rPr>
                <w:rFonts w:ascii="Arial" w:cs="Arial" w:eastAsia="Arial" w:hAnsi="Arial"/>
                <w:sz w:val="14"/>
                <w:szCs w:val="14"/>
                <w:color w:val="auto"/>
                <w:w w:val="89"/>
              </w:rPr>
            </w:pPr>
            <w:hyperlink w:anchor="page83">
              <w:r>
                <w:rPr>
                  <w:rFonts w:ascii="Arial" w:cs="Arial" w:eastAsia="Arial" w:hAnsi="Arial"/>
                  <w:sz w:val="14"/>
                  <w:szCs w:val="14"/>
                  <w:color w:val="auto"/>
                  <w:w w:val="89"/>
                </w:rPr>
                <w:t>78</w:t>
              </w:r>
            </w:hyperlink>
          </w:p>
        </w:tc>
      </w:tr>
      <w:tr>
        <w:trPr>
          <w:trHeight w:val="85"/>
        </w:trPr>
        <w:tc>
          <w:tcPr>
            <w:tcW w:w="1040" w:type="dxa"/>
            <w:vAlign w:val="bottom"/>
          </w:tcPr>
          <w:p>
            <w:pPr>
              <w:spacing w:after="0"/>
              <w:rPr>
                <w:sz w:val="7"/>
                <w:szCs w:val="7"/>
                <w:color w:val="auto"/>
              </w:rPr>
            </w:pPr>
          </w:p>
        </w:tc>
        <w:tc>
          <w:tcPr>
            <w:tcW w:w="91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65"/>
        </w:trPr>
        <w:tc>
          <w:tcPr>
            <w:tcW w:w="1040" w:type="dxa"/>
            <w:vAlign w:val="bottom"/>
            <w:shd w:val="clear" w:color="auto" w:fill="CCEEFF"/>
          </w:tcPr>
          <w:p>
            <w:pPr>
              <w:ind w:left="20"/>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Item 16.</w:t>
              </w:r>
            </w:hyperlink>
          </w:p>
        </w:tc>
        <w:tc>
          <w:tcPr>
            <w:tcW w:w="9160" w:type="dxa"/>
            <w:vAlign w:val="bottom"/>
            <w:shd w:val="clear" w:color="auto" w:fill="CCEEFF"/>
          </w:tcPr>
          <w:p>
            <w:pPr>
              <w:ind w:left="420"/>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Form 10-K Summary</w:t>
              </w:r>
            </w:hyperlink>
          </w:p>
        </w:tc>
        <w:tc>
          <w:tcPr>
            <w:tcW w:w="1080" w:type="dxa"/>
            <w:vAlign w:val="bottom"/>
            <w:shd w:val="clear" w:color="auto" w:fill="CCEEFF"/>
          </w:tcPr>
          <w:p>
            <w:pPr>
              <w:jc w:val="center"/>
              <w:spacing w:after="0"/>
              <w:rPr>
                <w:rFonts w:ascii="Arial" w:cs="Arial" w:eastAsia="Arial" w:hAnsi="Arial"/>
                <w:sz w:val="14"/>
                <w:szCs w:val="14"/>
                <w:color w:val="auto"/>
                <w:w w:val="89"/>
              </w:rPr>
            </w:pPr>
            <w:hyperlink w:anchor="page84">
              <w:r>
                <w:rPr>
                  <w:rFonts w:ascii="Arial" w:cs="Arial" w:eastAsia="Arial" w:hAnsi="Arial"/>
                  <w:sz w:val="14"/>
                  <w:szCs w:val="14"/>
                  <w:color w:val="auto"/>
                  <w:w w:val="89"/>
                </w:rPr>
                <w:t>80</w:t>
              </w:r>
            </w:hyperlink>
          </w:p>
        </w:tc>
      </w:tr>
      <w:tr>
        <w:trPr>
          <w:trHeight w:val="85"/>
        </w:trPr>
        <w:tc>
          <w:tcPr>
            <w:tcW w:w="1040" w:type="dxa"/>
            <w:vAlign w:val="bottom"/>
            <w:shd w:val="clear" w:color="auto" w:fill="CCEEFF"/>
          </w:tcPr>
          <w:p>
            <w:pPr>
              <w:spacing w:after="0"/>
              <w:rPr>
                <w:sz w:val="7"/>
                <w:szCs w:val="7"/>
                <w:color w:val="auto"/>
              </w:rPr>
            </w:pPr>
          </w:p>
        </w:tc>
        <w:tc>
          <w:tcPr>
            <w:tcW w:w="9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65"/>
        </w:trPr>
        <w:tc>
          <w:tcPr>
            <w:tcW w:w="1040" w:type="dxa"/>
            <w:vAlign w:val="bottom"/>
          </w:tcPr>
          <w:p>
            <w:pPr>
              <w:ind w:left="20"/>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Signatures</w:t>
              </w:r>
            </w:hyperlink>
          </w:p>
        </w:tc>
        <w:tc>
          <w:tcPr>
            <w:tcW w:w="9160" w:type="dxa"/>
            <w:vAlign w:val="bottom"/>
          </w:tcPr>
          <w:p>
            <w:pPr>
              <w:spacing w:after="0"/>
              <w:rPr>
                <w:sz w:val="23"/>
                <w:szCs w:val="23"/>
                <w:color w:val="auto"/>
              </w:rPr>
            </w:pPr>
          </w:p>
        </w:tc>
        <w:tc>
          <w:tcPr>
            <w:tcW w:w="1080" w:type="dxa"/>
            <w:vAlign w:val="bottom"/>
          </w:tcPr>
          <w:p>
            <w:pPr>
              <w:jc w:val="center"/>
              <w:spacing w:after="0"/>
              <w:rPr>
                <w:rFonts w:ascii="Arial" w:cs="Arial" w:eastAsia="Arial" w:hAnsi="Arial"/>
                <w:sz w:val="14"/>
                <w:szCs w:val="14"/>
                <w:color w:val="auto"/>
                <w:w w:val="89"/>
              </w:rPr>
            </w:pPr>
            <w:hyperlink w:anchor="page85">
              <w:r>
                <w:rPr>
                  <w:rFonts w:ascii="Arial" w:cs="Arial" w:eastAsia="Arial" w:hAnsi="Arial"/>
                  <w:sz w:val="14"/>
                  <w:szCs w:val="14"/>
                  <w:color w:val="auto"/>
                  <w:w w:val="89"/>
                </w:rPr>
                <w:t>81</w:t>
              </w:r>
            </w:hyperlink>
          </w:p>
        </w:tc>
      </w:tr>
      <w:tr>
        <w:trPr>
          <w:trHeight w:val="1349"/>
        </w:trPr>
        <w:tc>
          <w:tcPr>
            <w:tcW w:w="104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5" w:name="page6"/>
    <w:bookmarkEnd w:id="5"/>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We are a clinical-stage biopharmaceutical company focused on developing and commercializing innovative therapeutics for the treatment of respiratory diseases with significant unmet medical needs.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product candidate, ensifentrine, is a first-in-class, inhaled, dual inhibitor of the phosphodiesterase (“PDE”) 3 and PDE4 enzymes.</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Phase 2 clinical trials, ensifentrine has demonstrated positive results in chronic obstructive pulmonary disease (“COPD”), asthma and cystic fibrosis (“CF”). In addition, we believe that based on its unique profile, it could be beneficial in the treatment of COVID-19 and it is currently under evaluation in a pilot clinical study.</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are developing ensifentrine in three formulations for the most widely used inhalation devices: nebulizer, dry powder inhaler (“DPI”) and pressurized metered-dose inhaler (“pMDI”). Ensifentrine has shown positive Phase 2 data in COPD trials when delivered by each of these formulations.</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Initially, we are targeting COPD, a common, chronic, progressive, and life-threatening respiratory disease without a cure. If successfully developed, ensifentrine would be the first therapeutic with a novel mode of action for COPD in a decade. We made substantial progress in 2020, including reporting positive data from a large 4-week Phase 2b trial, receiving guidance from the U.S. Food and Drug Administration (“FDA”) on our Phase 3 ENHANCE (“Ensifentrine as a Novel inHAled Nebulized COPD thErapy”) program and commencing enrollment in the pivotal Phase 3 clinical trials.</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near term operating focus is the ongoing ENHANCE program, related chemistry, manufacturing and controls, regulatory efforts and early pre-commercial activities. We believe that our cash and cash equivalents as of December 31, 2020, together with funding expected to become available under the Term Loan and from cash receipts from U.K. tax credits, will enable us to fund our planned operating expenses and capital expenditure requirements into 2023.</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COPD and current treatments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COPD is a common, chronic, progressive, and life-threatening respiratory disease without a cure. It damages the airways and lungs, leading to debilitating breathlessness, hospitalizations, and death. COPD has a major impact on everyday life. Patients struggle with basic activities such as getting out of bed, showering, eating, and walking. Worldwide, COPD affects approximately 384 million people and is the third leading cause of death, according to the World Health Organization.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goal of COPD pharmacological therapy is to improve patients’ quality of life by reducing symptoms, reducing the quantity and severity of exacerbations (often an escalation of symptoms) and to improve patients’ ability to function (GOLD 2020).</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For approximately 40 years, the treatment of COPD has been dominated by three classes of inhaled therapies approved for use by the FDA and the European Medicines Agency (“EMA”): anti-muscarinics, beta-agonists and inhaled corticosteroids (“ICSs”). COPD patients are frequently treated with bronchodilators, including long acting anti-muscarinics (“LAMAs”) and long acting beta-agonists (“LABAs”), to relieve airway constriction and make it easier to breathe. In addition, they receive ICSs to prevent exacerbations.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Certain COPD patients are treated with the oral PDE4 inhibitor, roflumilast (Daliresp</w:t>
      </w:r>
      <w:r>
        <w:rPr>
          <w:rFonts w:ascii="Arial" w:cs="Arial" w:eastAsia="Arial" w:hAnsi="Arial"/>
          <w:sz w:val="17"/>
          <w:szCs w:val="17"/>
          <w:color w:val="auto"/>
          <w:vertAlign w:val="superscript"/>
        </w:rPr>
        <w:t>®</w:t>
      </w:r>
      <w:r>
        <w:rPr>
          <w:rFonts w:ascii="Arial" w:cs="Arial" w:eastAsia="Arial" w:hAnsi="Arial"/>
          <w:sz w:val="13"/>
          <w:szCs w:val="13"/>
          <w:color w:val="auto"/>
        </w:rPr>
        <w:t>), which has demonstrated a reduction in exacerbation risk in patients with severe chronic bronchitis. However, oral PDE4 therapy has been associated with unfavorable gastrointestinal side-effects such as nausea, emesis, diarrhea, abdominal pain, loss of appetite and weight loss.</w:t>
      </w:r>
    </w:p>
    <w:p>
      <w:pPr>
        <w:spacing w:after="0" w:line="5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COPD treatments are often combined in patients who remain uncontrolled on one or two therapies. These include LAMA/LABA combinations or LAMA/LABA/ICS combinations. Unfortunately, clinical data suggests that 40-60% of patients on dual or triple therapy still experience significant symptoms of COPD, including breathlessness. These chronic recurring symptoms limit their daily activities and impair quality of life. Despite receiving maximum therapy, it is estimated that more than 1.2 million patients in the U.S. alone remain symptomatic. For these patients, there are no available inhaled therapies that offer treatment options beyond standard LAMA / LABA and ICS combinations. New treatment options are urgently needed to help improve lung function, symptoms, and overall quality of life in these patients.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3"/>
          <w:szCs w:val="13"/>
          <w:color w:val="auto"/>
        </w:rPr>
        <w:t>Ensifentrine is a first-in-class, inhaled, dual PDE3 and PDE4 inhibitor. This dual inhibition enables it to act as a bronchodilator and an anti-inflammatory agent in a single compound. Importantly, this therapeutic profile differentiates it from existing classes of bronchodilator and anti-inflammatory treatments. We are not aware of any other single compound in clinical development or approved by the FDA nor the EMA for the treatment of respiratory diseases that acts both as a bronchodilator and anti-inflammatory agent. If successfully developed and approved, ensifentrine has the potential to be the first novel class of bronchodilator in COPD in over 40 years and the only bronchodilator option as an add-on to existing dual / triple therapy.</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Ensifentrine has demonstrated significant and clinically meaningful improvements in both lung function and COPD symptoms, including breathlessness, in our prior Phase 2 clinical studies in patients with moderate to severe COPD. In addition, ensifentrine showed further improved lung function and reduced lung volumes in patients taking standard short- and long-acting bronchodilator therapy, including maximum bronchodilator treatment with dual/triple therapy.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Safety profile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Ensifentrine has demonstrated a safety profile similar to placebo in clinical trials involving more than 1,300 people to date.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Differentiated profile</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By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is also designed to stimulate the cystic fibrosis transmembrane conductance regulator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Dual inhibition of PDE3 and PDE4 has shown enhanced or synergistic effects compared with inhibition of either PDE alone on contraction of airway smooth muscle and suppression of inflammatory mediator release in several preclinical studies. We believe these enhanced effects may increase the utility of ensifentrine in the treatment of respiratory diseases including COPD, asthma and 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533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20"/>
        <w:spacing w:after="0" w:line="347" w:lineRule="auto"/>
        <w:rPr>
          <w:sz w:val="20"/>
          <w:szCs w:val="20"/>
          <w:color w:val="auto"/>
        </w:rPr>
      </w:pPr>
      <w:r>
        <w:rPr>
          <w:rFonts w:ascii="Arial" w:cs="Arial" w:eastAsia="Arial" w:hAnsi="Arial"/>
          <w:sz w:val="14"/>
          <w:szCs w:val="14"/>
          <w:color w:val="auto"/>
        </w:rPr>
        <w:t xml:space="preserve">We believe ensifentrine has the potential to address the large unmet need in treating COPD with its improvement in COPD symptoms and meaningful improvement in quality of life. </w:t>
      </w:r>
      <w:r>
        <w:rPr>
          <w:rFonts w:ascii="Arial" w:cs="Arial" w:eastAsia="Arial" w:hAnsi="Arial"/>
          <w:sz w:val="14"/>
          <w:szCs w:val="14"/>
          <w:i w:val="1"/>
          <w:iCs w:val="1"/>
          <w:color w:val="auto"/>
        </w:rPr>
        <w:t>Clinical data</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Ensifentrine has demonstrated improvements in lung function, symptoms and quality of life with or without background therapy in two 4-week, Phase 2b dose-ranging clinical trials in moderate to severe COPD patients. In both studies ensifentrine was well tolerated at all doses with an adverse event profile similar to placebo:</w:t>
      </w:r>
    </w:p>
    <w:p>
      <w:pPr>
        <w:spacing w:after="0" w:line="48" w:lineRule="exact"/>
        <w:rPr>
          <w:sz w:val="20"/>
          <w:szCs w:val="20"/>
          <w:color w:val="auto"/>
        </w:rPr>
      </w:pPr>
    </w:p>
    <w:p>
      <w:pPr>
        <w:jc w:val="both"/>
        <w:ind w:left="260" w:hanging="255"/>
        <w:spacing w:after="0" w:line="233" w:lineRule="auto"/>
        <w:tabs>
          <w:tab w:leader="none" w:pos="25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March 2018, we reported positive top-line results with ensifentrine as monotherapy from our first Phase 2b trial in 403 patients. The trial evaluated four doses of nebulized ensifentrine (0.75 mg, 1.5 mg, 3 mg and 6 mg) or placebo twice daily over 4 weeks. Patients withheld use of regular long-acting bronchodilator therapy for the duration of the study. The trial met its primary endpoint of improved lung function with ensifentrine demonstrating a clinically and statistically significant increase in peak forced expiratory volume in 1 second (“FEV</w:t>
      </w:r>
      <w:r>
        <w:rPr>
          <w:rFonts w:ascii="Arial" w:cs="Arial" w:eastAsia="Arial" w:hAnsi="Arial"/>
          <w:sz w:val="17"/>
          <w:szCs w:val="17"/>
          <w:color w:val="auto"/>
          <w:vertAlign w:val="subscript"/>
        </w:rPr>
        <w:t>1</w:t>
      </w:r>
      <w:r>
        <w:rPr>
          <w:rFonts w:ascii="Arial" w:cs="Arial" w:eastAsia="Arial" w:hAnsi="Arial"/>
          <w:sz w:val="13"/>
          <w:szCs w:val="13"/>
          <w:color w:val="auto"/>
        </w:rPr>
        <w:t>”) at week 4 compared to placebo. In addition, clinically relevant secondary endpoints were met including significant progressive improvements in COPD symptoms.</w:t>
      </w:r>
    </w:p>
    <w:p>
      <w:pPr>
        <w:spacing w:after="0" w:line="53" w:lineRule="exact"/>
        <w:rPr>
          <w:rFonts w:ascii="Arial" w:cs="Arial" w:eastAsia="Arial" w:hAnsi="Arial"/>
          <w:sz w:val="13"/>
          <w:szCs w:val="13"/>
          <w:color w:val="auto"/>
        </w:rPr>
      </w:pPr>
    </w:p>
    <w:p>
      <w:pPr>
        <w:jc w:val="both"/>
        <w:ind w:left="260" w:hanging="255"/>
        <w:spacing w:after="0" w:line="221" w:lineRule="auto"/>
        <w:tabs>
          <w:tab w:leader="none" w:pos="25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January 2020, we reported positive top-line results with ensifentrine added on to background therapy from our second Phase 2b trial in 413 patients. This trial evaluated four doses of nebulized ensifentrine (0.375 mg, 0.75 mg, 1.5 mg and 3 mg) or placebo added on to treatment with once-daily tiotropium (Spiriva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Respimat</w:t>
      </w:r>
      <w:r>
        <w:rPr>
          <w:rFonts w:ascii="Arial" w:cs="Arial" w:eastAsia="Arial" w:hAnsi="Arial"/>
          <w:sz w:val="17"/>
          <w:szCs w:val="17"/>
          <w:color w:val="auto"/>
          <w:vertAlign w:val="superscript"/>
        </w:rPr>
        <w:t>®</w:t>
      </w:r>
      <w:r>
        <w:rPr>
          <w:rFonts w:ascii="Arial" w:cs="Arial" w:eastAsia="Arial" w:hAnsi="Arial"/>
          <w:sz w:val="13"/>
          <w:szCs w:val="13"/>
          <w:color w:val="auto"/>
        </w:rPr>
        <w:t>), a commonly used LAMA bronchodilator, in symptomatic patients with moderate to severe COPD who required additional treatment. The trial met its primary endpoint of improved lung function, with ensifentrine plus tiotropium demonstrating a clinically and statistically significant dose-dependent improvement in peak FEV</w:t>
      </w:r>
      <w:r>
        <w:rPr>
          <w:rFonts w:ascii="Arial" w:cs="Arial" w:eastAsia="Arial" w:hAnsi="Arial"/>
          <w:sz w:val="17"/>
          <w:szCs w:val="17"/>
          <w:color w:val="auto"/>
          <w:vertAlign w:val="subscript"/>
        </w:rPr>
        <w:t>1</w:t>
      </w:r>
      <w:r>
        <w:rPr>
          <w:rFonts w:ascii="Arial" w:cs="Arial" w:eastAsia="Arial" w:hAnsi="Arial"/>
          <w:sz w:val="13"/>
          <w:szCs w:val="13"/>
          <w:color w:val="auto"/>
        </w:rPr>
        <w:t xml:space="preserve"> and FEV</w:t>
      </w:r>
      <w:r>
        <w:rPr>
          <w:rFonts w:ascii="Arial" w:cs="Arial" w:eastAsia="Arial" w:hAnsi="Arial"/>
          <w:sz w:val="17"/>
          <w:szCs w:val="17"/>
          <w:color w:val="auto"/>
          <w:vertAlign w:val="subscript"/>
        </w:rPr>
        <w:t>1</w:t>
      </w:r>
      <w:r>
        <w:rPr>
          <w:rFonts w:ascii="Arial" w:cs="Arial" w:eastAsia="Arial" w:hAnsi="Arial"/>
          <w:sz w:val="13"/>
          <w:szCs w:val="13"/>
          <w:color w:val="auto"/>
        </w:rPr>
        <w:t xml:space="preserve"> over 12 hours with ensifentrine at week 4, compared to placebo plus tiotropium. Additionally, clinically meaningful and statistically significant improvements in health-related quality of life were observed with ensifentrine added on to tiotropium.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56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May 2020, the FDA provided guidance on key features of our pivotal Phase 3 clinical program in response to our End-of-Phase 2 briefing package for nebulized ensifentrine as a maintenance treatment for COPD. This included clarity on the dose, primary and secondary endpoints, patient population and program design.</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September 2020, we initiated our ENHANCE Phase 3 trials to evaluate the efficacy and safety of nebulized ensifentrine in patients with moderate to severe COPD. The two randomized, double-blind, placebo-controlled studies (ENHANCE-1 and ENHANCE-2) will evaluate ensifentrine as monotherapy and added onto a single bronchodilator.</w:t>
      </w:r>
    </w:p>
    <w:p>
      <w:pPr>
        <w:spacing w:after="0" w:line="48" w:lineRule="exact"/>
        <w:rPr>
          <w:sz w:val="20"/>
          <w:szCs w:val="20"/>
          <w:color w:val="auto"/>
        </w:rPr>
      </w:pPr>
    </w:p>
    <w:p>
      <w:pPr>
        <w:jc w:val="both"/>
        <w:spacing w:after="0" w:line="207" w:lineRule="auto"/>
        <w:rPr>
          <w:sz w:val="20"/>
          <w:szCs w:val="20"/>
          <w:color w:val="auto"/>
        </w:rPr>
      </w:pPr>
      <w:r>
        <w:rPr>
          <w:rFonts w:ascii="Arial" w:cs="Arial" w:eastAsia="Arial" w:hAnsi="Arial"/>
          <w:sz w:val="14"/>
          <w:szCs w:val="14"/>
          <w:color w:val="auto"/>
        </w:rPr>
        <w:t>Each study is expected to enroll approximately 800 moderate to severe, symptomatic COPD patients at sites primarily in the U.S. and Europe. The two study designs will replicate measurements of efficacy and safety data over 24 weeks but ENHANCE-1 will also evaluate longer-term safety in 400 patients over 48 weeks. The primary endpoint is improvement in lung function measured by FEV</w:t>
      </w:r>
      <w:r>
        <w:rPr>
          <w:rFonts w:ascii="Arial" w:cs="Arial" w:eastAsia="Arial" w:hAnsi="Arial"/>
          <w:sz w:val="18"/>
          <w:szCs w:val="18"/>
          <w:color w:val="auto"/>
          <w:vertAlign w:val="subscript"/>
        </w:rPr>
        <w:t>1</w:t>
      </w:r>
      <w:r>
        <w:rPr>
          <w:rFonts w:ascii="Arial" w:cs="Arial" w:eastAsia="Arial" w:hAnsi="Arial"/>
          <w:sz w:val="14"/>
          <w:szCs w:val="14"/>
          <w:color w:val="auto"/>
        </w:rPr>
        <w:t xml:space="preserve"> over 12 hours with ensifentrine after 12 weeks of treatment. Key secondary endpoints include measurements of COPD symptoms and health-related quality of life through 24 weeks assessed via the validated patient reported outcome tools, E-RS: COPD and SGRQ. Additional lung function endpoints including peak and morning trough FEV</w:t>
      </w:r>
      <w:r>
        <w:rPr>
          <w:rFonts w:ascii="Arial" w:cs="Arial" w:eastAsia="Arial" w:hAnsi="Arial"/>
          <w:sz w:val="18"/>
          <w:szCs w:val="18"/>
          <w:color w:val="auto"/>
          <w:vertAlign w:val="subscript"/>
        </w:rPr>
        <w:t>1</w:t>
      </w:r>
      <w:r>
        <w:rPr>
          <w:rFonts w:ascii="Arial" w:cs="Arial" w:eastAsia="Arial" w:hAnsi="Arial"/>
          <w:sz w:val="14"/>
          <w:szCs w:val="14"/>
          <w:color w:val="auto"/>
        </w:rPr>
        <w:t xml:space="preserve"> will also be assessed. Exacerbations will be analyzed by individual study and in a pooled analysis.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are in the early stages of recruiting patients and based on our recruitment projections, we expect to complete enrollment in both Phase 3 studies in the second half of 2021. Longer term, based on forecasted recruitment, we expect to report top-line data from ENHANCE-2 in the first half of 2022 and ENHANCE-1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Formulations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Verona Pharma has developed formulations of ensifentrine for the three most widely used inhalation devices: nebulizer, DPI and pMDI. The nebulized formulation of ensifentrine is designed to be suitable for use in a standard jet nebulizer, not a proprietary device. Delivery of COPD medications by nebulizer is important because such medications can be used by adults of almost any age and dexterity and regardless of peak inspiratory flow, offering advantages to patients who may struggle to operate handheld inhaler devices or have low peak inspiratory flow. DPI and pMDI handheld inhaler formats are relatively portable and convenient and are also important delivery mechanisms in the approximately $9.6 billion U.S. market for maintenance COPD therapies.</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Verona Pharma has successfully demonstrated proof of concept in Phase 2 COPD trials with all three formulations. In addition, the data from Phase 2 trials were consistent across the three formulations. All three dosing forms have demonstrated statistically significant and clinically meaningful improvements in lung function and duration of action, supporting twice-daily dosing and a safety profile similar to placebo.</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Pipeline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1419860</wp:posOffset>
            </wp:positionH>
            <wp:positionV relativeFrom="page">
              <wp:posOffset>735965</wp:posOffset>
            </wp:positionV>
            <wp:extent cx="4716145" cy="2183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716145"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additional indications for ensifentrine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COVID-19</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While our initial focus is COPD, we are also evaluating ensifentrine as a potential treatment option for COVID-19. Clinical data from prior studies of ensifentrine in other respiratory diseases demonstrated that ensifentrine improved lung function, reduced cellular markers of inflammation in the lungs and reduced symptoms of cough and sputum. We believe these results, if replicated in COVID-19 patients, could improve patient outcomes from COVID-19 by reducing dyspnea, targeting viral-induced inflammation in the lung, improving patient’s oxygen levels and preventing secondary infections related to mucus hypersecretion.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47625</wp:posOffset>
            </wp:positionV>
            <wp:extent cx="4716145" cy="2297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61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In January 2021, we completed enrollment (n=45) in a pilot study to evaluate pMDI ensifentrine in a randomized, double-blind, placebo-controlled pilot clinical study for the treatment of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patients hospitalized with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jc w:val="both"/>
        <w:spacing w:after="0" w:line="249" w:lineRule="auto"/>
        <w:rPr>
          <w:sz w:val="20"/>
          <w:szCs w:val="20"/>
          <w:color w:val="auto"/>
        </w:rPr>
      </w:pPr>
      <w:r>
        <w:rPr>
          <w:rFonts w:ascii="Arial" w:cs="Arial" w:eastAsia="Arial" w:hAnsi="Arial"/>
          <w:sz w:val="14"/>
          <w:szCs w:val="14"/>
          <w:color w:val="auto"/>
        </w:rPr>
        <w:t>The study will evaluate the effect of ensifentrine on key outcomes in patients hospitalized with COVID-19 including facilitation of recovery from the viral infection, clinical status improvement, reduction in supplemental oxygen use and progression to mechanical ventilation. We expect to report top-line results in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43815</wp:posOffset>
            </wp:positionV>
            <wp:extent cx="4716145" cy="264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6145" cy="264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Cystic fibrosis and asthma</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COPD and COVID-19, we believe ensifentrine has potential applications in other respiratory diseases including CF and asthma.</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CF is a progressive, fatal genetic disease without a cure and a median age of death of 46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CF is the most common fatal inherited disease in the U.S. and Europe. More than 70,000 people worldwide are living with CF and approximately 1,000 new cases are diagnosed each year, according to the Cystic Fibrosis Foundation. The U.S. and European regulatory authorities consider CF to be a rare, or orphan, disease and provide incentives to encourage development of effective new treatments.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CF patients endure multiple daily medications, taking an average of seven per day, including inhaled and injected treatments to clear mucus and fight infections as well as enzyme pills to digest food.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Ultimately, selected patients have lung transplants.</w:t>
      </w:r>
    </w:p>
    <w:p>
      <w:pPr>
        <w:spacing w:after="0" w:line="6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a Phase 2a clinical trial, a single dose of nebulized ensifentrine demonstrated an improvement in lung function in patients with CF. In addition, in preclinical studies, ensifentrine activated the Cystic Fibrosis Transmembrane Conductance Regulator, which is beneficial in reducing mucous viscosity and improving mucociliary clearance. We believe these data support the continued development of ensifentrine as a potential therapy for CF.</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Asthma is a common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Asthma attacks vary in severity and frequency. More than 300 million people worldwide suffer from asthma and it is the most common chronic disease among children, according to the World Health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Although there is no cure, symptoms may be prevented by avoiding triggers and through established maintenance therapies including bronchodilators, ICS, anti-IgE agents and leukotriene inhibitors.</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 xml:space="preserve">Ensifentrine has shown potential in a Phase 2a clinical trial in asthma. The data from this trial, published in October 2019 in the journal </w:t>
      </w:r>
      <w:r>
        <w:rPr>
          <w:rFonts w:ascii="Arial" w:cs="Arial" w:eastAsia="Arial" w:hAnsi="Arial"/>
          <w:sz w:val="14"/>
          <w:szCs w:val="14"/>
          <w:i w:val="1"/>
          <w:iCs w:val="1"/>
          <w:color w:val="auto"/>
        </w:rPr>
        <w:t>Pulmonary Pharmacology &amp; Therapeutic</w:t>
      </w:r>
      <w:r>
        <w:rPr>
          <w:rFonts w:ascii="Arial" w:cs="Arial" w:eastAsia="Arial" w:hAnsi="Arial"/>
          <w:sz w:val="14"/>
          <w:szCs w:val="14"/>
          <w:color w:val="auto"/>
        </w:rPr>
        <w:t>s, demonstrated that ensifentrine produced dose-dependent improvements in bronchodilation that were comparable current rescue medication, high dose nebulized albuterol. Importantly, ensifentrine was well tolerated and patients experienced fewer systemic effects than those receiving albuterol.</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team</w:t>
      </w:r>
    </w:p>
    <w:p>
      <w:pPr>
        <w:spacing w:after="0" w:line="68"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expert team has decades of experience in developing and commercializing respiratory therapeutics including the following COPD therapeutics: Advair</w:t>
      </w:r>
      <w:r>
        <w:rPr>
          <w:rFonts w:ascii="Arial" w:cs="Arial" w:eastAsia="Arial" w:hAnsi="Arial"/>
          <w:sz w:val="18"/>
          <w:szCs w:val="18"/>
          <w:color w:val="auto"/>
          <w:vertAlign w:val="superscript"/>
        </w:rPr>
        <w:t>®</w:t>
      </w:r>
      <w:r>
        <w:rPr>
          <w:rFonts w:ascii="Arial" w:cs="Arial" w:eastAsia="Arial" w:hAnsi="Arial"/>
          <w:sz w:val="14"/>
          <w:szCs w:val="14"/>
          <w:color w:val="auto"/>
        </w:rPr>
        <w:t>; Anoro Ellipta</w:t>
      </w:r>
      <w:r>
        <w:rPr>
          <w:rFonts w:ascii="Arial" w:cs="Arial" w:eastAsia="Arial" w:hAnsi="Arial"/>
          <w:sz w:val="18"/>
          <w:szCs w:val="18"/>
          <w:color w:val="auto"/>
          <w:vertAlign w:val="superscript"/>
        </w:rPr>
        <w:t>®</w:t>
      </w:r>
      <w:r>
        <w:rPr>
          <w:rFonts w:ascii="Arial" w:cs="Arial" w:eastAsia="Arial" w:hAnsi="Arial"/>
          <w:sz w:val="14"/>
          <w:szCs w:val="14"/>
          <w:color w:val="auto"/>
        </w:rPr>
        <w:t>; Breo</w:t>
      </w:r>
      <w:r>
        <w:rPr>
          <w:rFonts w:ascii="Arial" w:cs="Arial" w:eastAsia="Arial" w:hAnsi="Arial"/>
          <w:sz w:val="18"/>
          <w:szCs w:val="18"/>
          <w:color w:val="auto"/>
          <w:vertAlign w:val="superscript"/>
        </w:rPr>
        <w:t>®</w:t>
      </w:r>
      <w:r>
        <w:rPr>
          <w:rFonts w:ascii="Arial" w:cs="Arial" w:eastAsia="Arial" w:hAnsi="Arial"/>
          <w:sz w:val="14"/>
          <w:szCs w:val="14"/>
          <w:color w:val="auto"/>
        </w:rPr>
        <w:t>; Flovent</w:t>
      </w:r>
      <w:r>
        <w:rPr>
          <w:rFonts w:ascii="Arial" w:cs="Arial" w:eastAsia="Arial" w:hAnsi="Arial"/>
          <w:sz w:val="18"/>
          <w:szCs w:val="18"/>
          <w:color w:val="auto"/>
          <w:vertAlign w:val="superscript"/>
        </w:rPr>
        <w:t>®</w:t>
      </w:r>
      <w:r>
        <w:rPr>
          <w:rFonts w:ascii="Arial" w:cs="Arial" w:eastAsia="Arial" w:hAnsi="Arial"/>
          <w:sz w:val="14"/>
          <w:szCs w:val="14"/>
          <w:color w:val="auto"/>
        </w:rPr>
        <w:t>; Flutiform</w:t>
      </w:r>
      <w:r>
        <w:rPr>
          <w:rFonts w:ascii="Arial" w:cs="Arial" w:eastAsia="Arial" w:hAnsi="Arial"/>
          <w:sz w:val="18"/>
          <w:szCs w:val="18"/>
          <w:color w:val="auto"/>
          <w:vertAlign w:val="superscript"/>
        </w:rPr>
        <w:t>®</w:t>
      </w:r>
      <w:r>
        <w:rPr>
          <w:rFonts w:ascii="Arial" w:cs="Arial" w:eastAsia="Arial" w:hAnsi="Arial"/>
          <w:sz w:val="14"/>
          <w:szCs w:val="14"/>
          <w:color w:val="auto"/>
        </w:rPr>
        <w:t>; Incruse Ellipta</w:t>
      </w:r>
      <w:r>
        <w:rPr>
          <w:rFonts w:ascii="Arial" w:cs="Arial" w:eastAsia="Arial" w:hAnsi="Arial"/>
          <w:sz w:val="18"/>
          <w:szCs w:val="18"/>
          <w:color w:val="auto"/>
          <w:vertAlign w:val="superscript"/>
        </w:rPr>
        <w:t>®</w:t>
      </w:r>
      <w:r>
        <w:rPr>
          <w:rFonts w:ascii="Arial" w:cs="Arial" w:eastAsia="Arial" w:hAnsi="Arial"/>
          <w:sz w:val="14"/>
          <w:szCs w:val="14"/>
          <w:color w:val="auto"/>
        </w:rPr>
        <w:t>; Serevent</w:t>
      </w:r>
      <w:r>
        <w:rPr>
          <w:rFonts w:ascii="Arial" w:cs="Arial" w:eastAsia="Arial" w:hAnsi="Arial"/>
          <w:sz w:val="18"/>
          <w:szCs w:val="18"/>
          <w:color w:val="auto"/>
          <w:vertAlign w:val="superscript"/>
        </w:rPr>
        <w:t>®</w:t>
      </w:r>
      <w:r>
        <w:rPr>
          <w:rFonts w:ascii="Arial" w:cs="Arial" w:eastAsia="Arial" w:hAnsi="Arial"/>
          <w:sz w:val="14"/>
          <w:szCs w:val="14"/>
          <w:color w:val="auto"/>
        </w:rPr>
        <w:t>; Symbicort</w:t>
      </w:r>
      <w:r>
        <w:rPr>
          <w:rFonts w:ascii="Arial" w:cs="Arial" w:eastAsia="Arial" w:hAnsi="Arial"/>
          <w:sz w:val="18"/>
          <w:szCs w:val="18"/>
          <w:color w:val="auto"/>
          <w:vertAlign w:val="superscript"/>
        </w:rPr>
        <w:t>®</w:t>
      </w:r>
      <w:r>
        <w:rPr>
          <w:rFonts w:ascii="Arial" w:cs="Arial" w:eastAsia="Arial" w:hAnsi="Arial"/>
          <w:sz w:val="14"/>
          <w:szCs w:val="14"/>
          <w:color w:val="auto"/>
        </w:rPr>
        <w:t>; Tudorza Pressair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Ventolin</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 We currently do not have any agreements for the commercial production of ensifentrine.</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While we may contract with other CMOs in the future, we currently have one CMO for the manufacture of ensifentrine drug substance and one CMO for each formulation of ensifentrine.</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COMMERCIALIZATION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the United States, we are preparing to commercialize nebulized ensifentrine ourselves, if approved. Despite the availability of current therapies, it is estimated that 1.2 million patients remain symptomatic following treatment with maximum therapy.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Based on our market research, which was conducted with U.S. healthcare providers and payers, we anticipate ensifentrine would be used primarily as an add-on to dual or triple therapy regimens and we anticipate the majority of ensifentrine usage would be initiated by pulmonologists. Due to this focused prescriber base, we anticipate needing a field sales force of approximately 100 representatives.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COPD effects over 384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If successfully developed and commercialized, ensifentrine will compete with existing treatments and new treatments that may become available in the future.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Ensifentrine is a unique, first-in-class therapeutic candidate with both bronchodilator and anti-inflammatory properties in a single compound. As far as we are aware, no other dual PDE3 and PDE4 inhibitor is on the market nor in clinical development. Based on our market research, we expect ensifentrine to be used mainly in addition to existing dual and triple therapies, LAMA / LABA / ICS where no additional treatment options exist for patients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are symptomatic. Some healthcare providers have indicated that they would use it as earlier line therapy based on ensifentrine’s clinical profile.</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Consequently, we believe that, if approved, nebulized ensifentrine’s unique profile will enable it to compete with all approved COPD therapies including nebulized and handheld inhaler formulations, DPI and MDI. Furthermore, because ensifentrine’s mechanism of action is complementary to available therapies, we believe it could be used in addition to these treatments.</w:t>
      </w:r>
    </w:p>
    <w:p>
      <w:pPr>
        <w:spacing w:after="0" w:line="2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Within the currently approved nebulizers for the maintenance treatment of COPD, we consider ensifentrine's potential competitors in the U.S. market to be LABAs (Brovana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Perforomist</w:t>
      </w:r>
      <w:r>
        <w:rPr>
          <w:rFonts w:ascii="Arial" w:cs="Arial" w:eastAsia="Arial" w:hAnsi="Arial"/>
          <w:sz w:val="18"/>
          <w:szCs w:val="18"/>
          <w:color w:val="auto"/>
          <w:vertAlign w:val="superscript"/>
        </w:rPr>
        <w:t>®</w:t>
      </w:r>
      <w:r>
        <w:rPr>
          <w:rFonts w:ascii="Arial" w:cs="Arial" w:eastAsia="Arial" w:hAnsi="Arial"/>
          <w:sz w:val="14"/>
          <w:szCs w:val="14"/>
          <w:color w:val="auto"/>
        </w:rPr>
        <w:t>) and LAMAs (Yupelri</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Lonhala</w:t>
      </w:r>
      <w:r>
        <w:rPr>
          <w:rFonts w:ascii="Arial" w:cs="Arial" w:eastAsia="Arial" w:hAnsi="Arial"/>
          <w:sz w:val="18"/>
          <w:szCs w:val="18"/>
          <w:color w:val="auto"/>
          <w:vertAlign w:val="superscript"/>
        </w:rPr>
        <w:t>®</w:t>
      </w:r>
      <w:r>
        <w:rPr>
          <w:rFonts w:ascii="Arial" w:cs="Arial" w:eastAsia="Arial" w:hAnsi="Arial"/>
          <w:sz w:val="14"/>
          <w:szCs w:val="14"/>
          <w:color w:val="auto"/>
        </w:rPr>
        <w:t>Magnair</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1" w:lineRule="exact"/>
        <w:rPr>
          <w:sz w:val="20"/>
          <w:szCs w:val="20"/>
          <w:color w:val="auto"/>
        </w:rPr>
      </w:pPr>
    </w:p>
    <w:p>
      <w:pPr>
        <w:jc w:val="both"/>
        <w:spacing w:after="0" w:line="201" w:lineRule="auto"/>
        <w:rPr>
          <w:sz w:val="20"/>
          <w:szCs w:val="20"/>
          <w:color w:val="auto"/>
        </w:rPr>
      </w:pPr>
      <w:r>
        <w:rPr>
          <w:rFonts w:ascii="Arial" w:cs="Arial" w:eastAsia="Arial" w:hAnsi="Arial"/>
          <w:sz w:val="13"/>
          <w:szCs w:val="13"/>
          <w:color w:val="auto"/>
        </w:rPr>
        <w:t>In the DPI/MDI maintenance treatment of COPD market, ensifentrine’s current closest potential competitors are Symbicort</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AstraZeneca plc, Spiriva</w:t>
      </w:r>
      <w:r>
        <w:rPr>
          <w:rFonts w:ascii="Arial" w:cs="Arial" w:eastAsia="Arial" w:hAnsi="Arial"/>
          <w:sz w:val="17"/>
          <w:szCs w:val="17"/>
          <w:color w:val="auto"/>
          <w:vertAlign w:val="superscript"/>
        </w:rPr>
        <w:t>®</w:t>
      </w:r>
      <w:r>
        <w:rPr>
          <w:rFonts w:ascii="Arial" w:cs="Arial" w:eastAsia="Arial" w:hAnsi="Arial"/>
          <w:sz w:val="13"/>
          <w:szCs w:val="13"/>
          <w:color w:val="auto"/>
        </w:rPr>
        <w:t>, a long-acting anti-muscarinic bronchodilator marketed by Boehringer Ingelheim GmbH, Advair</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GlaxoSmithKline plc, Utibron Neohaler</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and long-acting anti-muscarinic bronchodilator marketed by Novartis International AG, Breo</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ICS marketed by GlaxoSmithKline, and Anoro</w:t>
      </w:r>
      <w:r>
        <w:rPr>
          <w:rFonts w:ascii="Arial" w:cs="Arial" w:eastAsia="Arial" w:hAnsi="Arial"/>
          <w:sz w:val="17"/>
          <w:szCs w:val="17"/>
          <w:color w:val="auto"/>
          <w:vertAlign w:val="superscript"/>
        </w:rPr>
        <w:t>®</w:t>
      </w:r>
      <w:r>
        <w:rPr>
          <w:rFonts w:ascii="Arial" w:cs="Arial" w:eastAsia="Arial" w:hAnsi="Arial"/>
          <w:sz w:val="13"/>
          <w:szCs w:val="13"/>
          <w:color w:val="auto"/>
        </w:rPr>
        <w:t>, a combination of a long-acting beta2-agonist bronchodilator and long-acting anti-muscarinic bronchodilator marketed by GlaxoSmithKline. A triple-combination therapy of a LAMA, a LABA and ICS, developed by GlaxoSmithKline and Chiesi Farmaceutici S.p.A., Trelegy Ellipta</w:t>
      </w:r>
      <w:r>
        <w:rPr>
          <w:rFonts w:ascii="Arial" w:cs="Arial" w:eastAsia="Arial" w:hAnsi="Arial"/>
          <w:sz w:val="17"/>
          <w:szCs w:val="17"/>
          <w:color w:val="auto"/>
          <w:vertAlign w:val="superscript"/>
        </w:rPr>
        <w:t>®</w:t>
      </w:r>
      <w:r>
        <w:rPr>
          <w:rFonts w:ascii="Arial" w:cs="Arial" w:eastAsia="Arial" w:hAnsi="Arial"/>
          <w:sz w:val="13"/>
          <w:szCs w:val="13"/>
          <w:color w:val="auto"/>
        </w:rPr>
        <w:t>, has been approved in the U.S. and the European Union and AstraZeneca also has a triple-therapy combination product (LAMA / LABA / ICS), Breztri Aerosphere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that was approved in the U.S. in July 2020, in the European Union in December 2020 and in China in December 2019.</w:t>
      </w:r>
    </w:p>
    <w:p>
      <w:pPr>
        <w:spacing w:after="0" w:line="50"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Other potential therapies in clinical development for the prevention of COPD exacerbations include injectable biologics. Sanofi’s anti-IL4, Dupixent</w:t>
      </w:r>
      <w:r>
        <w:rPr>
          <w:rFonts w:ascii="Arial" w:cs="Arial" w:eastAsia="Arial" w:hAnsi="Arial"/>
          <w:sz w:val="17"/>
          <w:szCs w:val="17"/>
          <w:color w:val="auto"/>
          <w:vertAlign w:val="superscript"/>
        </w:rPr>
        <w:t>®</w:t>
      </w:r>
      <w:r>
        <w:rPr>
          <w:rFonts w:ascii="Arial" w:cs="Arial" w:eastAsia="Arial" w:hAnsi="Arial"/>
          <w:sz w:val="13"/>
          <w:szCs w:val="13"/>
          <w:color w:val="auto"/>
        </w:rPr>
        <w:t>, AstraZeneca’s anti-IL5, Fasenra</w:t>
      </w:r>
      <w:r>
        <w:rPr>
          <w:rFonts w:ascii="Arial" w:cs="Arial" w:eastAsia="Arial" w:hAnsi="Arial"/>
          <w:sz w:val="17"/>
          <w:szCs w:val="17"/>
          <w:color w:val="auto"/>
          <w:vertAlign w:val="superscript"/>
        </w:rPr>
        <w:t>®</w:t>
      </w:r>
      <w:r>
        <w:rPr>
          <w:rFonts w:ascii="Arial" w:cs="Arial" w:eastAsia="Arial" w:hAnsi="Arial"/>
          <w:sz w:val="13"/>
          <w:szCs w:val="13"/>
          <w:color w:val="auto"/>
        </w:rPr>
        <w:t>, and GlaxoSmithKline’s anti-IL5, Nucala</w:t>
      </w:r>
      <w:r>
        <w:rPr>
          <w:rFonts w:ascii="Arial" w:cs="Arial" w:eastAsia="Arial" w:hAnsi="Arial"/>
          <w:sz w:val="17"/>
          <w:szCs w:val="17"/>
          <w:color w:val="auto"/>
          <w:vertAlign w:val="superscript"/>
        </w:rPr>
        <w:t>®</w:t>
      </w:r>
      <w:r>
        <w:rPr>
          <w:rFonts w:ascii="Arial" w:cs="Arial" w:eastAsia="Arial" w:hAnsi="Arial"/>
          <w:sz w:val="13"/>
          <w:szCs w:val="13"/>
          <w:color w:val="auto"/>
        </w:rPr>
        <w:t>, are in Phase 3 trials. We are also aware of several anti-inflammatories and bronchodilators that are in Phase 2 clinical trials for the treatment of COPD.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hold rights in the major markets relating to ensifentrine for treating respiratory disorders.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As of December 31, 2020, our patent portfolio consisted of eleven issued U.S. patents, three pending U.S. patent applications, forty-six issued foreign patents and forty-three pending foreign applications including two patent applications made under the Patent Cooperation Treaty. These patents and patent applications include claims directed to new dosage formulations comprising ensifentrine and a crystalline polymorph, as well as methods of making and using ensifentrine in the treatment of respiratory diseases, with expected expiry dates up to 2041.</w:t>
      </w:r>
    </w:p>
    <w:p>
      <w:pPr>
        <w:spacing w:after="0" w:line="41" w:lineRule="exact"/>
        <w:rPr>
          <w:sz w:val="20"/>
          <w:szCs w:val="20"/>
          <w:color w:val="auto"/>
        </w:rPr>
      </w:pPr>
    </w:p>
    <w:p>
      <w:pPr>
        <w:jc w:val="both"/>
        <w:spacing w:after="0" w:line="153" w:lineRule="exact"/>
        <w:rPr>
          <w:sz w:val="20"/>
          <w:szCs w:val="20"/>
          <w:color w:val="auto"/>
        </w:rPr>
      </w:pPr>
      <w:r>
        <w:rPr>
          <w:rFonts w:ascii="Arial" w:cs="Arial" w:eastAsia="Arial" w:hAnsi="Arial"/>
          <w:sz w:val="13"/>
          <w:szCs w:val="13"/>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w:t>
      </w:r>
      <w:r>
        <w:rPr>
          <w:rFonts w:ascii="MS PGothic" w:cs="MS PGothic" w:eastAsia="MS PGothic" w:hAnsi="MS PGothic"/>
          <w:sz w:val="13"/>
          <w:szCs w:val="13"/>
          <w:color w:val="auto"/>
        </w:rPr>
        <w:t>‑</w:t>
      </w:r>
      <w:r>
        <w:rPr>
          <w:rFonts w:ascii="Arial" w:cs="Arial" w:eastAsia="Arial" w:hAnsi="Arial"/>
          <w:sz w:val="13"/>
          <w:szCs w:val="13"/>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w:t>
      </w:r>
      <w:r>
        <w:rPr>
          <w:rFonts w:ascii="MS PGothic" w:cs="MS PGothic" w:eastAsia="MS PGothic" w:hAnsi="MS PGothic"/>
          <w:sz w:val="13"/>
          <w:szCs w:val="13"/>
          <w:color w:val="auto"/>
        </w:rPr>
        <w:t>‑</w:t>
      </w:r>
      <w:r>
        <w:rPr>
          <w:rFonts w:ascii="Arial" w:cs="Arial" w:eastAsia="Arial" w:hAnsi="Arial"/>
          <w:sz w:val="13"/>
          <w:szCs w:val="13"/>
          <w:color w:val="auto"/>
        </w:rPr>
        <w:t>related extensions, the availability of legal remedies in a particular country and the validity and enforceability of the patent.</w:t>
      </w:r>
    </w:p>
    <w:p>
      <w:pPr>
        <w:spacing w:after="0" w:line="56" w:lineRule="exact"/>
        <w:rPr>
          <w:sz w:val="20"/>
          <w:szCs w:val="20"/>
          <w:color w:val="auto"/>
        </w:rPr>
      </w:pPr>
    </w:p>
    <w:p>
      <w:pPr>
        <w:jc w:val="both"/>
        <w:spacing w:after="0" w:line="164" w:lineRule="exact"/>
        <w:rPr>
          <w:sz w:val="20"/>
          <w:szCs w:val="20"/>
          <w:color w:val="auto"/>
        </w:rPr>
      </w:pPr>
      <w:r>
        <w:rPr>
          <w:rFonts w:ascii="Arial" w:cs="Arial" w:eastAsia="Arial" w:hAnsi="Arial"/>
          <w:sz w:val="14"/>
          <w:szCs w:val="14"/>
          <w:color w:val="auto"/>
        </w:rPr>
        <w:t>Furthermore, we rely upon trade secrets and know</w:t>
      </w:r>
      <w:r>
        <w:rPr>
          <w:rFonts w:ascii="MS PGothic" w:cs="MS PGothic" w:eastAsia="MS PGothic" w:hAnsi="MS PGothic"/>
          <w:sz w:val="14"/>
          <w:szCs w:val="14"/>
          <w:color w:val="auto"/>
        </w:rPr>
        <w:t>‑</w:t>
      </w:r>
      <w:r>
        <w:rPr>
          <w:rFonts w:ascii="Arial" w:cs="Arial" w:eastAsia="Arial" w:hAnsi="Arial"/>
          <w:sz w:val="14"/>
          <w:szCs w:val="14"/>
          <w:color w:val="auto"/>
        </w:rPr>
        <w:t>how and continuing technological innovation to develop and maintain our competitive position. We seek to protect our proprietary information, in part, using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4" w:name="page15"/>
    <w:bookmarkEnd w:id="14"/>
    <w:p>
      <w:pPr>
        <w:jc w:val="both"/>
        <w:spacing w:after="0" w:line="155" w:lineRule="exact"/>
        <w:rPr>
          <w:sz w:val="20"/>
          <w:szCs w:val="20"/>
          <w:color w:val="auto"/>
        </w:rPr>
      </w:pPr>
      <w:r>
        <w:rPr>
          <w:rFonts w:ascii="Arial" w:cs="Arial" w:eastAsia="Arial" w:hAnsi="Arial"/>
          <w:sz w:val="13"/>
          <w:szCs w:val="13"/>
          <w:color w:val="auto"/>
        </w:rPr>
        <w:t>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3"/>
          <w:szCs w:val="13"/>
          <w:color w:val="auto"/>
        </w:rPr>
        <w:t>‑</w:t>
      </w:r>
      <w:r>
        <w:rPr>
          <w:rFonts w:ascii="Arial" w:cs="Arial" w:eastAsia="Arial" w:hAnsi="Arial"/>
          <w:sz w:val="13"/>
          <w:szCs w:val="13"/>
          <w:color w:val="auto"/>
        </w:rPr>
        <w:t>how and inventions.</w:t>
      </w:r>
    </w:p>
    <w:p>
      <w:pPr>
        <w:spacing w:after="0" w:line="55" w:lineRule="exact"/>
        <w:rPr>
          <w:sz w:val="20"/>
          <w:szCs w:val="20"/>
          <w:color w:val="auto"/>
        </w:rPr>
      </w:pPr>
    </w:p>
    <w:p>
      <w:pPr>
        <w:jc w:val="both"/>
        <w:spacing w:after="0" w:line="155" w:lineRule="exact"/>
        <w:rPr>
          <w:sz w:val="20"/>
          <w:szCs w:val="20"/>
          <w:color w:val="auto"/>
        </w:rPr>
      </w:pPr>
      <w:r>
        <w:rPr>
          <w:rFonts w:ascii="Arial" w:cs="Arial" w:eastAsia="Arial" w:hAnsi="Arial"/>
          <w:sz w:val="14"/>
          <w:szCs w:val="14"/>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4"/>
          <w:szCs w:val="14"/>
          <w:color w:val="auto"/>
        </w:rPr>
        <w:t>‑</w:t>
      </w:r>
      <w:r>
        <w:rPr>
          <w:rFonts w:ascii="Arial" w:cs="Arial" w:eastAsia="Arial" w:hAnsi="Arial"/>
          <w:sz w:val="14"/>
          <w:szCs w:val="14"/>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 with Ligand (formerly Vernalis)</w:t>
      </w:r>
    </w:p>
    <w:p>
      <w:pPr>
        <w:spacing w:after="0" w:line="7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We refer to the assignment and license agreement as the Ligand Agreement. In 2006, we acquired Rhinopharma and all its rights and liabilities under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Ligand Agreement continues until terminated by either party in accordance with its terms. Either party may terminate the Ligand Agreement for an uncured material breach, bankruptcy or insolvency of the other party.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auto"/>
        </w:rPr>
        <w:t>FDA drug approval process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assessment or non 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The process required by the FDA before a drug may be marketed in the United States generally involves the following:</w:t>
      </w:r>
    </w:p>
    <w:p>
      <w:pPr>
        <w:spacing w:after="0" w:line="72"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Completion of non-clinical laboratory tests, animal studies and formulation studies in compliance with the FDA's good laboratory practice (“GLP”)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(“IND”), which must become effective before human clinical trials may begin;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(“IRB”) or ethics committee at each clinical site before each trial may be initiated;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good clinical practice (“GCP”) requirements to establish the safety and efficacy of the proposed drug product for each indication;</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Submission to the FDA of an NDA after completion of all pivotal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Completion of an FDA advisory committee review, if required by the FDA;</w:t>
      </w:r>
    </w:p>
    <w:p>
      <w:pPr>
        <w:spacing w:after="0" w:line="72"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selected clinical investigation sites to assess compliance with GCP; and</w:t>
      </w:r>
    </w:p>
    <w:p>
      <w:pPr>
        <w:spacing w:after="0" w:line="53" w:lineRule="exact"/>
        <w:rPr>
          <w:rFonts w:ascii="Arial" w:cs="Arial" w:eastAsia="Arial" w:hAnsi="Arial"/>
          <w:sz w:val="14"/>
          <w:szCs w:val="14"/>
          <w:color w:val="auto"/>
        </w:rPr>
      </w:pPr>
    </w:p>
    <w:p>
      <w:pPr>
        <w:ind w:left="260" w:hanging="255"/>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FDA review and approval of the NDA and U.S. Prescribing Information to permit commercial marketing of the product for particular indications for use in the U.S..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Studies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authorization from the FDA to ship in interstate commerce and administer an investigational new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Clinical trials involve the administration of the investigational new drug to human subjects under the supervision of qualified investigators in accordance with GCP requirements, which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6" w:name="page17"/>
    <w:bookmarkEnd w:id="16"/>
    <w:p>
      <w:pPr>
        <w:spacing w:after="0" w:line="249" w:lineRule="auto"/>
        <w:rPr>
          <w:sz w:val="20"/>
          <w:szCs w:val="20"/>
          <w:color w:val="auto"/>
        </w:rPr>
      </w:pPr>
      <w:r>
        <w:rPr>
          <w:rFonts w:ascii="Arial" w:cs="Arial" w:eastAsia="Arial" w:hAnsi="Arial"/>
          <w:sz w:val="14"/>
          <w:szCs w:val="14"/>
          <w:color w:val="auto"/>
        </w:rPr>
        <w:t>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Human clinical trials are typically conducted in three phases, which may overlap or be combined:</w:t>
      </w:r>
    </w:p>
    <w:p>
      <w:pPr>
        <w:spacing w:after="0" w:line="72" w:lineRule="exact"/>
        <w:rPr>
          <w:sz w:val="20"/>
          <w:szCs w:val="20"/>
          <w:color w:val="auto"/>
        </w:rPr>
      </w:pPr>
    </w:p>
    <w:p>
      <w:pPr>
        <w:ind w:left="260" w:hanging="255"/>
        <w:spacing w:after="0" w:line="249"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47"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4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Approval</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7" w:name="page18"/>
    <w:bookmarkEnd w:id="17"/>
    <w:p>
      <w:pPr>
        <w:jc w:val="both"/>
        <w:spacing w:after="0" w:line="237" w:lineRule="auto"/>
        <w:rPr>
          <w:sz w:val="20"/>
          <w:szCs w:val="20"/>
          <w:color w:val="auto"/>
        </w:rPr>
      </w:pPr>
      <w:r>
        <w:rPr>
          <w:rFonts w:ascii="Arial" w:cs="Arial" w:eastAsia="Arial" w:hAnsi="Arial"/>
          <w:sz w:val="14"/>
          <w:szCs w:val="14"/>
          <w:color w:val="auto"/>
        </w:rPr>
        <w:t>quality and purity. Under the Prescription Drug User Fee Act guidelines that are currently in effect, the FDA has a goal of ten months from the date of “filing”of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from the FDA.</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8" w:name="page19"/>
    <w:bookmarkEnd w:id="18"/>
    <w:p>
      <w:pPr>
        <w:jc w:val="both"/>
        <w:spacing w:after="0" w:line="249" w:lineRule="auto"/>
        <w:rPr>
          <w:sz w:val="20"/>
          <w:szCs w:val="20"/>
          <w:color w:val="auto"/>
        </w:rPr>
      </w:pPr>
      <w:r>
        <w:rPr>
          <w:rFonts w:ascii="Arial" w:cs="Arial" w:eastAsia="Arial" w:hAnsi="Arial"/>
          <w:sz w:val="14"/>
          <w:szCs w:val="14"/>
          <w:color w:val="auto"/>
        </w:rPr>
        <w:t>interaction and guidance beginning as early as Phase 1 and an organizational commitment to expedite the development and review of the product candidate, including involvement of senior managers.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Orphan drug designation and exclusivity</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4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Post-Approval Requirements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19" w:name="page20"/>
    <w:bookmarkEnd w:id="19"/>
    <w:p>
      <w:pPr>
        <w:jc w:val="both"/>
        <w:spacing w:after="0" w:line="249" w:lineRule="auto"/>
        <w:rPr>
          <w:sz w:val="20"/>
          <w:szCs w:val="20"/>
          <w:color w:val="auto"/>
        </w:rPr>
      </w:pPr>
      <w:r>
        <w:rPr>
          <w:rFonts w:ascii="Arial" w:cs="Arial" w:eastAsia="Arial" w:hAnsi="Arial"/>
          <w:sz w:val="14"/>
          <w:szCs w:val="14"/>
          <w:color w:val="auto"/>
        </w:rPr>
        <w:t>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46"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 or suspension or revocation of product approvals;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or</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Drug Product Marketing Exclusivity</w:t>
      </w:r>
    </w:p>
    <w:p>
      <w:pPr>
        <w:spacing w:after="0" w:line="7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Market exclusivity provisions authorized under the FDCA can delay the submission or the approval of certain marketing applications. For example,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color w:val="auto"/>
        </w:rPr>
        <w:t>Foreign regulation</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order to market any pharmaceutical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Each jurisdiction will apply these regulations in their assessment of clinical trial applications and marketing authorization applications.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w:t>
      </w: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order to market our future products in the EEA (which is comprised of the 27 Member States of the EU plus Norway, Iceland and Liechtenstein) and many other foreign jurisdictions, we must obtain separate regulatory approvals. With respect to the United-Kingdom, the transition period, during which EU pharmaceutical laws continued to apply to the United Kingdom expired on December 31, 2020. The EU and the United Kingdom have concluded a trade and cooperation agreement (“TCA”), which is provisionally applicable since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56"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In the EEA, a clinical trial application (“CTA”) must be submitted to each country’s national health authority and an independent ethics committee, much like the FDA and the IRB, respectively. Once the CTA is approved by the national health authority and the ethics committee has granted a positive opinion in relation to the conduct of the trial in the relevant EU Member State(s), clinical study development may proceed. The requirements and process governing the conduct of clinical studies are to a significant extent harmonized at EU level but could vary from country to country. In all cases, the clinical studies must be conducted in accordance with GCP and the applicable regulatory requirements and the ethical principles that have their origin in the Declaration of Helsinki. The way clinical trials are conducted in the EU will undergo a major change when the Clinical Trial Regulation (Regulation (EU) No 536/2014) comes into application, probably in 2022. The Regulation harmonizes the assessment and supervision processes for clinical trials throughout the EU via a Clinical Trials Information System, which will contain a centralized EU portal and database. During the development of a pharmaceutical product, the European Medicines Agency (“EMA”) and national regulators within the EU provide the opportunity for dialogue and guidance on the development program.</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 the EEA, medicinal products can only be placed on the market after obtaining a Marketing Authorization (“MA”). There are two types of MAs:</w:t>
      </w:r>
    </w:p>
    <w:p>
      <w:pPr>
        <w:spacing w:after="0" w:line="72" w:lineRule="exact"/>
        <w:rPr>
          <w:sz w:val="20"/>
          <w:szCs w:val="20"/>
          <w:color w:val="auto"/>
        </w:rPr>
      </w:pPr>
    </w:p>
    <w:p>
      <w:pPr>
        <w:jc w:val="both"/>
        <w:ind w:left="260" w:hanging="255"/>
        <w:spacing w:after="0" w:line="246" w:lineRule="auto"/>
        <w:tabs>
          <w:tab w:leader="none" w:pos="256"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Union MA, which is issued by the European Commission through the Centralized Procedure, based on the opinion of the Committee for Medicinal Products for Human Use (“CHMP”) of the EMA, and which is valid throughout the entire territory of the EEA. The Centralized Procedure is mandatory for certain types of human medicinal products, such as medicines derived from biotechnology processes, advanced therapy medicinal products (such as gene therapy, somatic cell therapy and tissue engineered products), orphan designated medicinal products, products that contain a new active substance indicated for the treatment of certain diseases such as HIV/AIDS,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or MA application, by the EMA is 210 days, excluding clock stops, when additional written or oral information is to be provided by the applicant in response to questions asked by the CHMP; and</w:t>
      </w:r>
    </w:p>
    <w:p>
      <w:pPr>
        <w:spacing w:after="0" w:line="52" w:lineRule="exact"/>
        <w:rPr>
          <w:rFonts w:ascii="Arial" w:cs="Arial" w:eastAsia="Arial" w:hAnsi="Arial"/>
          <w:sz w:val="13"/>
          <w:szCs w:val="13"/>
          <w:color w:val="auto"/>
        </w:rPr>
      </w:pPr>
    </w:p>
    <w:p>
      <w:pPr>
        <w:jc w:val="both"/>
        <w:ind w:left="260" w:hanging="255"/>
        <w:spacing w:after="0" w:line="230"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NCA of each of the Member States in which the MA is sought, one of which is selected by the applicant as the Reference Member State.</w:t>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Under the above described procedures, in order to grant the MA, the EMA or the competent authorities of the Member States of the EEA make an assessment of the risk-benefit balance of the product on the basis of scientific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1" w:name="page22"/>
    <w:bookmarkEnd w:id="21"/>
    <w:p>
      <w:pPr>
        <w:jc w:val="both"/>
        <w:spacing w:after="0" w:line="249" w:lineRule="auto"/>
        <w:rPr>
          <w:sz w:val="20"/>
          <w:szCs w:val="20"/>
          <w:color w:val="auto"/>
        </w:rPr>
      </w:pPr>
      <w:r>
        <w:rPr>
          <w:rFonts w:ascii="Arial" w:cs="Arial" w:eastAsia="Arial" w:hAnsi="Arial"/>
          <w:sz w:val="14"/>
          <w:szCs w:val="14"/>
          <w:color w:val="auto"/>
        </w:rPr>
        <w:t>criteria concerning its quality, safety and efficacy. MAs have an initial duration of five years. After these five years, the authorization may be renewed on the basis of a reevaluation of the risk-benefit balance.</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Such products are generally eligible for accelerated assessment (according to which the timeframe for the evaluation of a MA application is reduced to 150 days, excluding clock stops)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the EEA, new products authorized for marketing, or reference products, qualify for eight years of data exclusivity and an additional two years of market exclusivity upon MA.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the EEA, MA applications for new medicinal products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 Once the MA is obtained in all Member States of the EU and study results are included in the product information, even when negative, the product is eligible for six months' supplementary extension of the protection under a supplementary protection certificate (if any is in effect at the time of the approval) or, in the case of orphan pharmaceutical products, a two year extension of the orphan market exclusivity is granted.</w:t>
      </w:r>
    </w:p>
    <w:p>
      <w:pPr>
        <w:spacing w:after="0" w:line="5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criteria for designating an “orphan medicinal product” in the European Union are similar in principle to those in the United States.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 Orphan drug designation does not convey any advantage in, or shorten the duration of, the regulatory review and approval process.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Similar to the United States, both marketing authorization holders and manufacturers of pharmaceutical products are subject to comprehensive regulatory oversight by the EMA, the European Commission and/or the competent regulatory authorities of the EU Member States. Failure by us or by any of our third-party partners, including suppliers, manufacturers and distributors to comply with EU and EU Member State laws that apply to the conduct of clinical trials, manufacturing approval, MA of pharmaceutical products and marketing of such products, both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2" w:name="page23"/>
    <w:bookmarkEnd w:id="22"/>
    <w:p>
      <w:pPr>
        <w:jc w:val="both"/>
        <w:spacing w:after="0" w:line="233" w:lineRule="auto"/>
        <w:rPr>
          <w:sz w:val="20"/>
          <w:szCs w:val="20"/>
          <w:color w:val="auto"/>
        </w:rPr>
      </w:pPr>
      <w:r>
        <w:rPr>
          <w:rFonts w:ascii="Arial" w:cs="Arial" w:eastAsia="Arial" w:hAnsi="Arial"/>
          <w:sz w:val="14"/>
          <w:szCs w:val="14"/>
          <w:color w:val="auto"/>
        </w:rPr>
        <w:t>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5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also subject to privacy laws in the jurisdictions in which we are established or in which we sell or market our products or run clinical trials. For example, in Europe, we are subject to Regulation (EU) 2016/679 (General Data Protection Regulation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 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€20 million or 4% of total global annual turnover. In addition to the foregoing, a breach of the GDPR could result in regulatory investigations, reputational damage, orders to cease/change our use of data, enforcement notices, as well potential civil claims including class action type litigation where individuals suffer harm. Following the United Kingdom’s formal departure from the European Union on January 31, 2020 and the end of the transition period on December 31, 2020, the United Kingdom has become a “third country” for the purposes of EU data protection law. However, the TCA includes a provision, whereby the transfer of personal data from the EU to the United Kingdom will not be considered as a transfer to a “third country” for a period of four months starting from the entry into force of the TCA. This period will be extended by two further months, unless the EU or the United Kingdom objects.</w:t>
      </w:r>
    </w:p>
    <w:p>
      <w:pPr>
        <w:spacing w:after="0" w:line="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Following the United Kingdom’s formal departure from the European Union on January 31, 2020 and the end of the transition period on December 31, 2020, the United Kingdom has become a “third country” for the purposes of EU data protection law. However, the TCA includes a provision, whereby the transfer of personal data from the EU to the United Kingdom will not be considered as a transfer to a “third country” for a period of four months starting from the entry into force of the TCA. This period will be extended by two further months, unless the EU or the United Kingdom objects.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U.S. Healthcare Laws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 Similar laws exist in foreign jurisdictions.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3" w:name="page24"/>
    <w:bookmarkEnd w:id="23"/>
    <w:p>
      <w:pPr>
        <w:jc w:val="both"/>
        <w:spacing w:after="0" w:line="249" w:lineRule="auto"/>
        <w:rPr>
          <w:sz w:val="20"/>
          <w:szCs w:val="20"/>
          <w:color w:val="auto"/>
        </w:rPr>
      </w:pPr>
      <w:r>
        <w:rPr>
          <w:rFonts w:ascii="Arial" w:cs="Arial" w:eastAsia="Arial" w:hAnsi="Arial"/>
          <w:sz w:val="14"/>
          <w:szCs w:val="14"/>
          <w:color w:val="auto"/>
        </w:rPr>
        <w:t>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67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5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4" w:name="page25"/>
    <w:bookmarkEnd w:id="24"/>
    <w:p>
      <w:pPr>
        <w:jc w:val="both"/>
        <w:spacing w:after="0" w:line="229"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and their respective implementing regulations impose obligations relating to the privacy, security and transmission of individually identifiable health information held by covered entities and their business associates. Entities that are found to be in violation of HIPAA, whether as the result of a breach of unsecured PHI, a complaint about privacy practices, or an audit by HHS, may be subject to significant civil, criminal, and administrative fines and penalties and/or additional reporting and oversight obligations. In addition, state laws govern the privacy and security of health information in certain circumstances, many of which differ from each other in significant ways and may not have the same requirements, thus complicating compliance efforts.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Coverage and Reimbursement</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56"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EEA,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Healthcare Reform</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 In addition, Congress could consider subsequent legislation to replace those elements of the ACA if so repealed. Further, on December 14, 2018, a U.S. District Court Judge in the Northern District of Texas,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will be made. It is also unclear how other efforts to challenge or replace the ACA will impact the law. The ultimate content, timing or effect of any healthcare reform legislation on the U.S. healthcare industry is unclear.</w:t>
      </w:r>
    </w:p>
    <w:p>
      <w:pPr>
        <w:spacing w:after="0" w:line="5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In particular, we anticipate that Medicare Part B will play an important role in the reimbursement of ensifentrine. Changes in how products are reimbursed through Medicare Part B may effect the overall coverage for ensifentrine, if approved.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5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was enacted, which, among other things, included aggregate reductions of Medicare payments to providers of 2% per fiscal year, which went into effect on April 1, 2013 and, due to subsequent legislative amendments to the statute, will stay in effect through 2030, with the exception of a temporary suspension from May 1, 2020 through March 31, 2020,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one approved or additional price increases.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Additional regulation</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and governmental fines. Equivalent laws have been adopted in certain other countries that impose similar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Foreign Corrupt Practices Act</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of December 31, 2020, we had 25 full-time and 2 part time employees. None of our employees is party to a collective bargaining agreement or represented by a trade union or labor union. We consider our relationship with our employees to be good.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limited operating history and have never generated any product revenue.</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a clinical-stage biopharmaceutical company with a limited operating history, and have incurred significant operating losses since our inception. We had net losses of $65.1 million and $40.6 million for the years ended December 31, 2020 and 2019, respectively. As of December 31, 2020, we had an accumulated deficit of $207.1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49"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conduct Phase 3 clinical trials of nebulized ensifentrine for the treatment of chronic obstructive pulmonary disease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initiate and conduct clinical trials of ensifentrine for the treatment of cystic fibrosis (“CF”), asthma, COVID-19 or other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7" w:name="page28"/>
    <w:bookmarkEnd w:id="27"/>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initiate and conduct other future clinical trials in other formulations, for the treatment of COPD or other indications;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initiate and conduct clinical pharmacology studies with any formulation;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seek to discover and develop or in-license additional respiratory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conduct pre-clinical studies to support ensifentrine and potentially other future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develop the manufacturing processes and produce clinical and commercial supplies of the ensifentrine active pharmaceutical ingredient and formulated drug products derived from it;</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seek regulatory approvals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potentially establish a sales, marketing and distribution infrastructure and scale-up manufacturing capabilities to commercialize ensifentrine, if approved;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secure, maintain or obtain freedom to operate for our in-licensed technologies and products;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expand our operations in the United States, the United Kingdom and possibly elsewhere.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and marketing capabilities and ultimately selling any products for which we may obtain regulatory approval. We are only in the preliminary stages of many of these activities. We may never succeed in these activities and, even if we do, we may never generate revenue that is significant enough to achieve profitability.</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We will need additional funding to complete development of any future product candidates, or development of other formulations or target indications of ensifentrine, and to commercialize our products, including ensifentrine, if approved. If we are unable to raise capital when needed, we could be forced to delay, reduce or eliminate our product development programs or commercialization efforts.</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expect our expenses to increase in connection with our ongoing and planned activities, particularly as we conduct our ongoing Phase 2 and Phase 3 clinical trials of ensifentrine, and develop ensifentrine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14"/>
          <w:szCs w:val="14"/>
          <w:color w:val="auto"/>
        </w:rPr>
        <w:t>continuing operations. If we are unable to raise capital when needed or on attractive terms, we could be forced to delay, reduce or eliminate our research and development programs or any future commercialization efforts.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If we obtain regulatory approval for ensifentrine, we estimate that our existing cash resources and short-term investments will not be sufficient to commercialize ensifentrine. We will require additional funds to conduct any post-marketing studies to support the commercial positioning of ensifentrine for the treatment of COPD, if regulatory approval is received.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72"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costs, progress and results of our ongoing Phase 3 clinical trials for the maintenance treatment of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costs, timing and outcome of the regulatory review of ensifentrine, including any post-marketing studies that could be required by regulatory authorities, if regulatory approval is received;</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progress and results of any other studies required to support the commercial positioning of ensifentrine for the treatment of COPD, if regulatory approval is received;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progress and results of any clinical trials for the treatment of CF, asthma, COVID-19 or other indications;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of manufacturing clinical and, if approved, commercial supplies of the ensifentrine active ingredient and derived formulated drug products;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scope, progress, results and costs of pre-clinical development, laboratory testing and clinical trials for ensifentrine in other indications and of the development of DPI and pMDI formulations of ensifentrine for the maintenance treatment of COPD and potentially asthma and other respiratory diseases;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costs, timing and outcome of potential future commercialization activities, including manufacturing, marketing, sales and distribution, for ensifentrine;</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timing and amount of revenue, if any, received from commercial sales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sales price and availability of adequate third-party coverage and reimbursement for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We depend heavily on the success of ensifentrine, our only product candidate under development. We cannot give any assurance that ensifentrine will receive regulatory approval for any indication, which is necessary before it can be commercialized. If we, and any collaborators with whom we may enter into agreements for the development and commercialization of ensifentrine, are unable to commercialize ensifentrine, or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significant delays in doing so, our ability to generate revenue and our financial condition will be adversely affected.</w:t>
      </w:r>
    </w:p>
    <w:p>
      <w:pPr>
        <w:spacing w:after="0" w:line="7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EMA or comparable foreign regulatory authorities, and we may never receive such regulatory approval for ensifentrine or any future product candidate. We have not submitted an NDA to the FDA, a Marketing Authorization Application to the EMA or comparable applications to other regulatory authorities and do not expect to be in a position to do so in the foreseeable future. The success of ensifentrine will depend on many factors, including the following:</w:t>
      </w:r>
    </w:p>
    <w:p>
      <w:pPr>
        <w:spacing w:after="0" w:line="57"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not be able to demonstrate that ensifentrine is safe and effective as a treatment for our targeted indications to the satisfaction of the applicable regulatory authorities;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require additional pre-clinical or clinical trials, which would increase our costs and prolong our development;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results of clinical trials of ensifentrine may not meet the level of statistical or clinical significance required by the applicable regulatory authorities for marketing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disagree with the number, design, size, conduct or implementation of our planned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contract research organizations(“CROs”) that we retain to conduct clinical trials may take actions outside of our control that materially adversely impact our clinical trials;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demonstrate a non-clinical safety profile that is acceptable to the applicable regulatory authorities;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unexpected operational or clinical issues may prevent completion or interpretation of clinical study results;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unexpected manufacturing issues, product performance issues or stability issues may delay or otherwise adversely affect the progress of our clinical development program;</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not accept data generated at our clinical trial sites;</w:t>
      </w:r>
    </w:p>
    <w:p>
      <w:pPr>
        <w:spacing w:after="0" w:line="72" w:lineRule="exact"/>
        <w:rPr>
          <w:rFonts w:ascii="Arial" w:cs="Arial" w:eastAsia="Arial" w:hAnsi="Arial"/>
          <w:sz w:val="14"/>
          <w:szCs w:val="14"/>
          <w:color w:val="auto"/>
        </w:rPr>
      </w:pPr>
    </w:p>
    <w:p>
      <w:pPr>
        <w:jc w:val="both"/>
        <w:ind w:left="260" w:hanging="255"/>
        <w:spacing w:after="0" w:line="237"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53"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require development of a risk evaluation and mitigation strategy, or REMS, as a condition of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identify deficiencies in the manufacturing processes or facilities of our third-party manufacturers;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applicable regulatory authorities may change their approval policies or adopt new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license ensifentrine to others, the efforts of those parties in completing clinical trials of, receiving regulatory approval for, and commercializing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 our clinical trials, we may discover factors that limit the commercial viability of ensifentrine or make the commercialization of ensifentrine unfeasible;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0" w:name="page31"/>
    <w:bookmarkEnd w:id="30"/>
    <w:p>
      <w:pPr>
        <w:ind w:left="260" w:hanging="255"/>
        <w:spacing w:after="0" w:line="249" w:lineRule="auto"/>
        <w:tabs>
          <w:tab w:leader="none" w:pos="2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An unfavorable outcome in any of these factors could result in our experiencing significant delays or an inability to successfully commercialize ensifentrine.</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plan to seek regulatory approval to commercialize ensifentrine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has and may continue to adversely impact our business, including our preclinical studies and clinical trials.</w:t>
      </w:r>
    </w:p>
    <w:p>
      <w:pPr>
        <w:spacing w:after="0" w:line="7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COVID-19 pandemic has spread to multiple countries, including countries where we have operations or planned or ongoing preclinical studies and clinical trials. Governments from many countries have established stay at home measures including, among other things, the prohibition of public gatherings and restrictions on domestic and international travel.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office in the U.K. and our office in the U.S. with all employees continuing their work outside of our offices. In addition, whilst we successfully initiated our Phase 3 program in the third quarter of 2020, we are investigating the potential impact of the COVID-19 pandemic on the program cost and timelines.</w:t>
      </w:r>
    </w:p>
    <w:p>
      <w:pPr>
        <w:spacing w:after="0" w:line="54" w:lineRule="exact"/>
        <w:rPr>
          <w:sz w:val="20"/>
          <w:szCs w:val="20"/>
          <w:color w:val="auto"/>
        </w:rPr>
      </w:pPr>
    </w:p>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the COVID-19 pandemic continues for a significant length of time, we may experience additional disruptions that could severely impact our business, preclinical studies and clinical trials, including in particular the cost and timelines of our Phase 3 program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receiving approval from local regulatory authorities to initiate our planned clinical trials in certain countries;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or difficulties in enrolling patients in our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or difficulties in clinical site initiation, including difficulties in recruiting clinical site investigators and clinical site staff;</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disruption to manufacturers that could affect the supply of drug product for our clinical trials or difficulty sourcing key components necessary for the manufacture of ensifentrine drug substance and drug product;</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clinical sites receiving the supplies and materials needed to conduct our clinical trials, including the potential for COVID-19 test shortages and interruption in global shipping that may affect the transport of clinical trial materials;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pandemic which may require us to undertake additional testing or change the ways in which our clinical trials are conducted, which may result in unexpected costs, or to discontinue such clinical trials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1" w:name="page32"/>
    <w:bookmarkEnd w:id="31"/>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diversion of healthcare resources away from the conduct of clinical trials, including the diversion of hospitals serving as our clinical trial sites and hospital staff supporting the conduct of our clinical trials;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interruptions or delays in preclinical studies due to restricted or limited operations at our third party research and development services;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in necessary interactions with local regulators, ethics committees and other important agencies and contractors due to limitations in employee resources or forced furlough of government employees;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diversion of or limitations on employee resources that would otherwise be focused on the operations of our business and the conduct of our clinical trials, including because of sickness of employees or their families or the desire of employees to avoid contact with large groups of people;</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higher clinical trial insurance costs and/or delays in operations at insurance agencies, which may impact timelines for the issuance of insurance coverage policies and local coverage determinations delays;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refusal of the FDA, the EMA or comparable foreign regulatory authorities to accept data from clinical trials in affected geographies.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Health regulatory agencies globally may also experience disruptions in their operations as a result of the COVID-19 pandemic. The FDA, EMA and comparable foreign regulatory agencies may have slower response times or be under-resourced to review or meet to discuss our regulatory submissions, or to continue to monitor our clinical trials and, as a result, review, inspection and other timelines may be materially delayed.</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business closures or business disruptions, the availability and efficacy of vaccines, and the effectiveness of other actions taken to contain and treat the disease.</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which could in the future negatively affect our liquidity. In addition, the recession or market correction resulting from the spread of COVID-19 could materially affect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investors to evaluate the success of our business to date and to assess our future viability.</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for ensifentrine, but we have not yet demonstrated our ability to successfully complete any Phase 3 or other pivotal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November 2020, we and Verona Pharma, Inc. (“Verona U.S.”) entered into a loan and security agreement (the “Loan Agreement”), with Silicon Valley Bank (“SVB”), pursuant to which a term loan facility in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2" w:name="page33"/>
    <w:bookmarkEnd w:id="32"/>
    <w:p>
      <w:pPr>
        <w:jc w:val="both"/>
        <w:spacing w:after="0" w:line="237" w:lineRule="auto"/>
        <w:rPr>
          <w:sz w:val="20"/>
          <w:szCs w:val="20"/>
          <w:color w:val="auto"/>
        </w:rPr>
      </w:pPr>
      <w:r>
        <w:rPr>
          <w:rFonts w:ascii="Arial" w:cs="Arial" w:eastAsia="Arial" w:hAnsi="Arial"/>
          <w:sz w:val="14"/>
          <w:szCs w:val="14"/>
          <w:color w:val="auto"/>
        </w:rPr>
        <w:t>amount of up to $30.0 million (the “Term Loan”) is available to us in three tranches. We received the first tranche of $5.0 million at closing. Only upon satisfaction of certain clinical milestones relating to ensifentrine and subject to customary terms and conditions will the following be available to the Company: (i) the second tranche will allow us to borrow an additional amount up to $10.0 million through June 30, 2022, and (ii) the third tranche will allow us to borrow an additional amount up to $15.0 million through June 30, 2023.</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our and Verona U.S.’s assets, other than the equity interests of Verona U.S. and other than intellectual property, provided that such lien on substantially all assets includes any rights to payments and proceeds from the sale, licensing or disposition of intellectual property. We have also granted SVB a negative pledge with respect to our intellectual property.</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our consolidated cash and cash equivalents drop below $45.0 million at any time after the occurrence of certain clinical and/or regulatory event. Upon such trigger, we would be required cash collateralize an amount equal to the outstanding obligations to SVB plus the amount of any prepayment penalty and a final payment which would be due in the event the Loan Agreement were prepaid in full with respect to the Term Loans advanced as of such time. Any such cash collateralization could have a material adverse impact on our liquidity and financial condition.</w:t>
      </w:r>
    </w:p>
    <w:p>
      <w:pPr>
        <w:spacing w:after="0" w:line="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events of default under the Loan Agreement include, but are not limited to: (i) insolvency, liquidation, bankruptcy or similar events; (ii) failure to pay any debts due under the Loan Agreement or other loan documents on a timely basis; (iii) failure to observe certain covenants under the Loan Agreement; (iv) occurrence of a material adverse effect; (v) material misrepresentation by us; (vi) occurrence of any default under any other agreement involving material indebtedness; and (vii) certain material money judgments. If we default under the Loan Agreement, SVB may accelerate all of our repayment obligations and take control of our and Verona U.S.’s pledged assets, potentially requiring us to renegotiate our agreement on terms less favorable to us or to immediately cease operations. Further, if we are liquidated, the lenders’ right to repayment would be senior to the rights of our ADS holders or shareholders to receive any proceeds from the liquidation. Any declaration by SVB of an event of default could significantly harm our business and prospects and could cause the price of our ADSs to decline. If we raise any additional debt financing, the terms of such additional debt could further restrict our operating and financial flexibility.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holders, restrict our operations or require us to relinquish rights to our technologies or product candidates.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become subject to economic, political, regulatory and other risks associated with international operations.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a company based in the United Kingdom, our business is subject to risks associated with conducting business internationally. Many of our suppliers and collaborative and clinical trial relationships are located outside the United States. Accordingly, our future results could be harmed by a variety of factors, including:</w:t>
      </w:r>
    </w:p>
    <w:p>
      <w:pPr>
        <w:spacing w:after="0" w:line="48"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non-U.S. economies and markets;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31"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3" w:name="page34"/>
    <w:bookmarkEnd w:id="33"/>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regulatory requirements for drug approvals in non-U.S. countries;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jurisdictions could present different issues for securing, maintaining or obtaining freedom to operate in such jurisdictions;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potentially reduced protection for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in compliance with non-U.S. laws and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non-U.S. regulations and customs, tariffs and trade barriers;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non-U.S. currency exchange rates of the euro and currency controls;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a specific country’s or region’s political or economic environment, including the withdrawal of the United Kingdom from the EU;</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trade protection measures, import or export licensing requirements or other restrictive actions by U.S. or non-U.S. governments;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differing reimbursement regimes and price controls in certain non-U.S. markets;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negative consequences from changes in tax laws;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difficulties associated with staffing and managing international operations, including differing labor relations;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and</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 or public health emergencies, such as the COVID-19 pandemic.</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United Kingdom’s withdrawal from the EU may have a negative effect on global economic conditions, financial markets and our business, which could reduce the price of our ADSs.</w:t>
      </w:r>
    </w:p>
    <w:p>
      <w:pPr>
        <w:spacing w:after="0" w:line="9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Following a national referendum and enactment of legislation by the government of the United Kingdom, the United Kingdom formally withdrew from the EU on January 31, 2020 and entered into a transition period during which it continued its ongoing and complex negotiations with the EU relating to the future trading relationship between the parties. The transition period ended on December 31, 2020, before which the United Kingdom and the European Commission reached an agreement on the future trading relationship between the parties (the “UK-EU Trade and Cooperation Agreement” or “TCA”). On December 30, 2020, the U.K. Parliament approved the European Union (Future Relationship) Bill, thereby ratifying the TCA. The TCA is subject to formal approval by the European Parliament and the Council of the European Union before it comes into effect and has been applied provisionally since January 1, 2021. Significant political and economic uncertainty remains about whether the terms of the relationship will differ materially from the terms before withdrawal.</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Further, the United Kingdom’s withdrawal from the EU has resulted in the relocation of the EMA from the United Kingdom to the Netherlands. This relocation has caused, and may continue to cause, disruption in the administrative and medical scientific links between the EMA and the U.K. Medicines and Healthcare products Regulatory Agency,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United Kingdom.</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rate fluctuations may materially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4" w:name="page35"/>
    <w:bookmarkEnd w:id="34"/>
    <w:p>
      <w:pPr>
        <w:jc w:val="both"/>
        <w:spacing w:after="0" w:line="230" w:lineRule="auto"/>
        <w:rPr>
          <w:sz w:val="20"/>
          <w:szCs w:val="20"/>
          <w:color w:val="auto"/>
        </w:rPr>
      </w:pPr>
      <w:r>
        <w:rPr>
          <w:rFonts w:ascii="Arial" w:cs="Arial" w:eastAsia="Arial" w:hAnsi="Arial"/>
          <w:sz w:val="14"/>
          <w:szCs w:val="14"/>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Development, Clinical Testing and Regulatory Approval</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24"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generate sufficient preclinical, toxicology or other in vivo or in vitro data to support the initiation or continuation of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regulatory agreement on clinical trial design or implementation, including dose and frequency of administration;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regulatory authorization to commence a trial;</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obtain institutional review board (“IRB”), or ethics committee approval at each site;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or failure to recruit suitable patients to participate in a trial;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have patients complete a trial or return for post-treatment follow-up;</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sites deviating from trial protocol or dropping out of a trial or committing gross misconduct or fraud;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to the addition of new clinical trial sites;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achieve or maintain double blinding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unexpected technical issues during manufacture of ensifentrine and the corresponding drug products;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variability in drug product performance and/or stability;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discoveries that may reduce the commercial viability of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5" w:name="page36"/>
    <w:bookmarkEnd w:id="35"/>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inability to manufacture sufficient quantities of ensifentrine for use in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quality or stability of ensifentrine falling below acceptable standards for either safety or efficacy;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third-party actions claiming infringement by ensifentrine in clinical trials and obtaining injunctions interfering with our progress;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regulatory requirements, policies and guidelines;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lower than anticipated retention rates of patients and volunteers in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of our third-party research contractors to comply with regulatory requirements or to meet their contractual obligations to us in a timely manner, or at all;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difficulty in certain countries in identifying the sub-populations that we are trying to treat in a particular trial, which may delay enrollment.</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6" w:name="page37"/>
    <w:bookmarkEnd w:id="36"/>
    <w:p>
      <w:pPr>
        <w:jc w:val="both"/>
        <w:spacing w:after="0" w:line="237" w:lineRule="auto"/>
        <w:rPr>
          <w:sz w:val="20"/>
          <w:szCs w:val="20"/>
          <w:color w:val="auto"/>
        </w:rPr>
      </w:pPr>
      <w:r>
        <w:rPr>
          <w:rFonts w:ascii="Arial" w:cs="Arial" w:eastAsia="Arial" w:hAnsi="Arial"/>
          <w:sz w:val="14"/>
          <w:szCs w:val="14"/>
          <w:color w:val="auto"/>
        </w:rPr>
        <w:t>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5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Undesirable side effects that may be caused by ensifentrine could cause us or regulatory authorities to interrupt, delay or halt clinical trials and could result in a more restrictive label or the delay or denial of regulatory approval by the FDA, EMA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17 Phase 1 and 2 clinical trials of ensifentrine. In these trials, some patients have experienced mild to moderate adverse reactions, including headache, cough, worsening of COPD, nasopharyngitis and hypertension.</w:t>
      </w:r>
    </w:p>
    <w:p>
      <w:pPr>
        <w:spacing w:after="0" w:line="5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46" w:lineRule="exact"/>
        <w:rPr>
          <w:sz w:val="20"/>
          <w:szCs w:val="20"/>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withdraw approvals of such products and require us to take ensifentrine off the market;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specific warnings, a contraindication or field alerts to physicians and pharmacies;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require a medication guide outlining the risks of such side effects for distribution to patients, or that we implement a REMS plan to ensure that the benefits of ensifentrine outweigh its risks;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required to change the way ensifentrine is administered, conduct additional clinical trials or change the labeling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subject to limitations on how we may promote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sales of ensifentrine may decrease significantly;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subject to litigation or product liability claims;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develop ensifentrine for multiple indications, including asthma, CF, COVID-19 or other respiratory diseases.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Part of our strategy is to continue to develop ensifentrine in indications other than COPD, such as CF, asthma and COVID-19. Although our research and development efforts to date have suggested that ensifentrine has the potential to treat CF, asthma and COVID-19, we may not be able to develop ensifentrine in these indications or any other disease, or development may not be successful. In addition, the potential use of ensifentrine in other diseases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7" w:name="page38"/>
    <w:bookmarkEnd w:id="37"/>
    <w:p>
      <w:pPr>
        <w:jc w:val="both"/>
        <w:spacing w:after="0" w:line="237" w:lineRule="auto"/>
        <w:rPr>
          <w:sz w:val="20"/>
          <w:szCs w:val="20"/>
          <w:color w:val="auto"/>
        </w:rPr>
      </w:pPr>
      <w:r>
        <w:rPr>
          <w:rFonts w:ascii="Arial" w:cs="Arial" w:eastAsia="Arial" w:hAnsi="Arial"/>
          <w:sz w:val="14"/>
          <w:szCs w:val="14"/>
          <w:color w:val="auto"/>
        </w:rPr>
        <w:t>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4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including COVID-19.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56"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decreased demand for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costs to defend related litigation;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diversion of management’s time and our resources;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regulatory investigation, product recalls or withdrawals, or labeling, marketing or promotional restrictions;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inability to commercialize or promote ensifentrine.</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8" w:name="page39"/>
    <w:bookmarkEnd w:id="38"/>
    <w:p>
      <w:pPr>
        <w:jc w:val="both"/>
        <w:spacing w:after="0" w:line="249" w:lineRule="auto"/>
        <w:rPr>
          <w:sz w:val="20"/>
          <w:szCs w:val="20"/>
          <w:color w:val="auto"/>
        </w:rPr>
      </w:pPr>
      <w:r>
        <w:rPr>
          <w:rFonts w:ascii="Arial" w:cs="Arial" w:eastAsia="Arial" w:hAnsi="Arial"/>
          <w:sz w:val="14"/>
          <w:szCs w:val="14"/>
          <w:color w:val="auto"/>
        </w:rPr>
        <w:t>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time required to obtain approval by the FDA, the EMA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may also require us to conduct additional preclinical studies or clinical trials for ensifentrine either prior to or post-approval, or it may object to elements of our clinical development program.</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Ensifentrine could fail to receive regulatory approval for many reasons, including the following:</w:t>
      </w:r>
    </w:p>
    <w:p>
      <w:pPr>
        <w:spacing w:after="0" w:line="72" w:lineRule="exact"/>
        <w:rPr>
          <w:sz w:val="20"/>
          <w:szCs w:val="20"/>
          <w:color w:val="auto"/>
        </w:rPr>
      </w:pPr>
    </w:p>
    <w:p>
      <w:pPr>
        <w:ind w:left="260" w:hanging="255"/>
        <w:spacing w:after="0" w:line="249"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be unable to demonstrate that ensifentrine’s clinical and other benefits outweigh its safety risks;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FDA, the EMA or comparable foreign regulatory authorities may disagree with our interpretation of data from pre-clinical studies or clinical trials or may find the data to be unacceptable;</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find that the dose or doses evaluated in Phase 3 clinical trials or the way in which double blinding was effected to be unacceptable;</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data collected from clinical trials of ensifentrine may, for other reasons, not be sufficient to support the submission of an NDA in the United States, an MMA in the EU, or other comparable submission to obtain regulatory approval in other countries;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fail to approve the manufacturing processes or facilities of third-party manufacturers with which we contract for clinical and commercial supplies;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approval policies or regulations of the FDA, the EMA or comparable foreign regulatory authorities may significantly change in a manner rendering our clinical data insufficient for approval;</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the design or implementation of our clinical trials;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our proposed product specifications and performance characteristics.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EMA or any other regulatory authority.</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39" w:name="page40"/>
    <w:bookmarkEnd w:id="39"/>
    <w:p>
      <w:pPr>
        <w:jc w:val="both"/>
        <w:spacing w:after="0" w:line="249" w:lineRule="auto"/>
        <w:rPr>
          <w:sz w:val="20"/>
          <w:szCs w:val="20"/>
          <w:color w:val="auto"/>
        </w:rPr>
      </w:pPr>
      <w:r>
        <w:rPr>
          <w:rFonts w:ascii="Arial" w:cs="Arial" w:eastAsia="Arial" w:hAnsi="Arial"/>
          <w:sz w:val="14"/>
          <w:szCs w:val="14"/>
          <w:color w:val="auto"/>
        </w:rPr>
        <w:t>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48" w:lineRule="exact"/>
        <w:rPr>
          <w:sz w:val="20"/>
          <w:szCs w:val="20"/>
          <w:color w:val="auto"/>
        </w:rPr>
      </w:pPr>
    </w:p>
    <w:p>
      <w:pPr>
        <w:jc w:val="both"/>
        <w:spacing w:after="0" w:line="331" w:lineRule="auto"/>
        <w:rPr>
          <w:sz w:val="20"/>
          <w:szCs w:val="20"/>
          <w:color w:val="auto"/>
        </w:rPr>
      </w:pPr>
      <w:r>
        <w:rPr>
          <w:rFonts w:ascii="Arial" w:cs="Arial" w:eastAsia="Arial" w:hAnsi="Arial"/>
          <w:sz w:val="12"/>
          <w:szCs w:val="12"/>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If the FDA, the EMA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5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and our contract manufacturers will also be subject to periodic inspection by the FDA, the EMA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56"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delays in or the rejection of product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0" w:name="page41"/>
    <w:bookmarkEnd w:id="40"/>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or partial suspension of production;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occurrence of any event or penalty described above may inhibit our ability to commercialize ensifentrine and generate revenue and could require us to expend significant time and resources in response and could generate negative publicity.</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a Biden administration. The policies and priorities of an incoming presidential administration are unknown and could materially impact the regulations governing our product candidate.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order to market any products in a country or territory, we must establish and comply with numerous and varying regulatory requirements of such country or territory regarding safety and efficacy. Clinical trials conducted 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1" w:name="page42"/>
    <w:bookmarkEnd w:id="41"/>
    <w:p>
      <w:pPr>
        <w:jc w:val="both"/>
        <w:spacing w:after="0" w:line="245" w:lineRule="auto"/>
        <w:rPr>
          <w:sz w:val="20"/>
          <w:szCs w:val="20"/>
          <w:color w:val="auto"/>
        </w:rPr>
      </w:pPr>
      <w:r>
        <w:rPr>
          <w:rFonts w:ascii="Arial" w:cs="Arial" w:eastAsia="Arial" w:hAnsi="Arial"/>
          <w:sz w:val="13"/>
          <w:szCs w:val="13"/>
          <w:color w:val="auto"/>
        </w:rPr>
        <w:t>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4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8"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From time to time, we may also disclose interim data from our preclinical studies and clinical trials. Interim data from clinical trials that we may complete are subject to the risk that one or more of the clinical outcomes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materially change as patient enrollment continues and more patient data become available. Adverse differences between interim data and final data could significantly harm our business prospects.</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Healthcare Laws and Other Legal Compliance Matters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Enacted and future legislation may increase the difficulty and cost for us to obtain marketing approval of and commercialize ensifentrine and may affect the prices we may set.</w:t>
      </w:r>
    </w:p>
    <w:p>
      <w:pPr>
        <w:spacing w:after="0" w:line="8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56" w:lineRule="exact"/>
        <w:rPr>
          <w:sz w:val="20"/>
          <w:szCs w:val="20"/>
          <w:color w:val="auto"/>
        </w:rPr>
      </w:pPr>
    </w:p>
    <w:p>
      <w:pPr>
        <w:ind w:left="260" w:hanging="255"/>
        <w:spacing w:after="0" w:line="249"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increase in the statutory minimum rebates a manufacturer must pay under the Medicaid Drug Rebate Program to 23.1% and 13.0% of the average manufacturer price for branded and generic drugs, respectively;</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new methodology by which rebates owed by manufacturers under the Medicaid Drug Rebate Program are calculated for drugs that are inhaled, infused, instilled, implanted or injected;</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extension of a manufacturer’s Medicaid rebate liability to covered drugs dispensed to individuals who are enrolled in Medicaid managed care organizations;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 and</w:t>
      </w:r>
    </w:p>
    <w:p>
      <w:pPr>
        <w:spacing w:after="0" w:line="83" w:lineRule="exact"/>
        <w:rPr>
          <w:rFonts w:ascii="Arial" w:cs="Arial" w:eastAsia="Arial" w:hAnsi="Arial"/>
          <w:sz w:val="13"/>
          <w:szCs w:val="13"/>
          <w:color w:val="auto"/>
        </w:rPr>
      </w:pPr>
    </w:p>
    <w:p>
      <w:pPr>
        <w:ind w:left="260" w:hanging="255"/>
        <w:spacing w:after="0" w:line="249"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Since its enactment, there have been judicial and Congressional challenges to certain aspects of the ACA, and we expect there will be additional challenges and amendments to the ACA in the future. The current presidential administration and Congress will likely continue to seek to modify, repeal, or otherwise invalidate all, or certain provisions of, the ACA. Further, on December 14, 2018, a U.S. District Court Judge in the Northern District of Texas ruled that the individual mandate is a critical and inseverable feature of the ACA, and therefore, because it was repealed as part of the 2017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3" w:name="page44"/>
    <w:bookmarkEnd w:id="43"/>
    <w:p>
      <w:pPr>
        <w:jc w:val="both"/>
        <w:spacing w:after="0" w:line="249" w:lineRule="auto"/>
        <w:rPr>
          <w:sz w:val="20"/>
          <w:szCs w:val="20"/>
          <w:color w:val="auto"/>
        </w:rPr>
      </w:pPr>
      <w:r>
        <w:rPr>
          <w:rFonts w:ascii="Arial" w:cs="Arial" w:eastAsia="Arial" w:hAnsi="Arial"/>
          <w:sz w:val="14"/>
          <w:szCs w:val="14"/>
          <w:color w:val="auto"/>
        </w:rPr>
        <w:t>remaining provisions of the ACA are invalid as well. The United States Supreme Court is currently reviewing this case, although it is unclear when a decision will be made. It is also unclear how other efforts to challenge, repeal or replace the ACA will impact the law.</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2030, with the exception of a temporary suspension from May 1, 2020 through March 31, 2021,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3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4" w:name="page45"/>
    <w:bookmarkEnd w:id="44"/>
    <w:p>
      <w:pPr>
        <w:jc w:val="both"/>
        <w:ind w:left="260" w:hanging="255"/>
        <w:spacing w:after="0" w:line="254" w:lineRule="auto"/>
        <w:tabs>
          <w:tab w:leader="none" w:pos="25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46" w:lineRule="exact"/>
        <w:rPr>
          <w:rFonts w:ascii="Arial" w:cs="Arial" w:eastAsia="Arial" w:hAnsi="Arial"/>
          <w:sz w:val="13"/>
          <w:szCs w:val="13"/>
          <w:color w:val="auto"/>
        </w:rPr>
      </w:pPr>
    </w:p>
    <w:p>
      <w:pPr>
        <w:jc w:val="both"/>
        <w:ind w:left="260" w:hanging="255"/>
        <w:spacing w:after="0" w:line="230"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56" w:lineRule="exact"/>
        <w:rPr>
          <w:rFonts w:ascii="Arial" w:cs="Arial" w:eastAsia="Arial" w:hAnsi="Arial"/>
          <w:sz w:val="14"/>
          <w:szCs w:val="14"/>
          <w:color w:val="auto"/>
        </w:rPr>
      </w:pPr>
    </w:p>
    <w:p>
      <w:pPr>
        <w:jc w:val="both"/>
        <w:ind w:left="260" w:hanging="255"/>
        <w:spacing w:after="0" w:line="233"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3" w:lineRule="exact"/>
        <w:rPr>
          <w:rFonts w:ascii="Arial" w:cs="Arial" w:eastAsia="Arial" w:hAnsi="Arial"/>
          <w:sz w:val="14"/>
          <w:szCs w:val="14"/>
          <w:color w:val="auto"/>
        </w:rPr>
      </w:pPr>
    </w:p>
    <w:p>
      <w:pPr>
        <w:jc w:val="both"/>
        <w:ind w:left="260" w:hanging="255"/>
        <w:spacing w:after="0" w:line="233"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regulations implemented thereunder,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53" w:lineRule="exact"/>
        <w:rPr>
          <w:rFonts w:ascii="Arial" w:cs="Arial" w:eastAsia="Arial" w:hAnsi="Arial"/>
          <w:sz w:val="14"/>
          <w:szCs w:val="14"/>
          <w:color w:val="auto"/>
        </w:rPr>
      </w:pPr>
    </w:p>
    <w:p>
      <w:pPr>
        <w:ind w:left="260" w:hanging="255"/>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FDCA, which prohibits, among other things, the adulteration or misbranding of drugs, biologics and medical devices;</w:t>
      </w:r>
    </w:p>
    <w:p>
      <w:pPr>
        <w:spacing w:after="0" w:line="72" w:lineRule="exact"/>
        <w:rPr>
          <w:rFonts w:ascii="Arial" w:cs="Arial" w:eastAsia="Arial" w:hAnsi="Arial"/>
          <w:sz w:val="14"/>
          <w:szCs w:val="14"/>
          <w:color w:val="auto"/>
        </w:rPr>
      </w:pPr>
    </w:p>
    <w:p>
      <w:pPr>
        <w:jc w:val="both"/>
        <w:ind w:left="260" w:hanging="255"/>
        <w:spacing w:after="0" w:line="254" w:lineRule="auto"/>
        <w:tabs>
          <w:tab w:leader="none" w:pos="256"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health care professionals beginning in 2022, and teaching hospitals, as well as ownership and investment interests held by the physicians described above and their immediate family members;</w:t>
      </w:r>
    </w:p>
    <w:p>
      <w:pPr>
        <w:spacing w:after="0" w:line="46" w:lineRule="exact"/>
        <w:rPr>
          <w:rFonts w:ascii="Arial" w:cs="Arial" w:eastAsia="Arial" w:hAnsi="Arial"/>
          <w:sz w:val="13"/>
          <w:szCs w:val="13"/>
          <w:color w:val="auto"/>
        </w:rPr>
      </w:pPr>
    </w:p>
    <w:p>
      <w:pPr>
        <w:jc w:val="both"/>
        <w:ind w:left="260" w:hanging="255"/>
        <w:spacing w:after="0" w:line="243" w:lineRule="auto"/>
        <w:tabs>
          <w:tab w:leader="none" w:pos="256"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health-related and other personal information in certain circumstances, many of which differ from each other in significant ways and often are not preempted by HIPAA, thus complicating compliance efforts. For example, California recently enacted the California Consumer Privacy Act, or CCPA, which went into effect on January 1, 2020. The CCPA, among other things, creates data privacy obligations for covered companies and provides expanded privacy rights to California residents, including rights to access and delete their information, to opt out of certain information sharing, and receive detailed information about how their personal information is used. The CCPA also creates a private right of action with statutory damages for certain data breaches, thereby potentially increasing risks associated with a data breach. Although the law includes limited exceptions, including for “protected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color w:val="auto"/>
        </w:rPr>
        <w:t>information” maintained by a covered entity or business associate, it may regulate or impact our processing of personal information depending on the context;</w:t>
      </w:r>
    </w:p>
    <w:p>
      <w:pPr>
        <w:spacing w:after="0" w:line="72" w:lineRule="exact"/>
        <w:rPr>
          <w:sz w:val="20"/>
          <w:szCs w:val="20"/>
          <w:color w:val="auto"/>
        </w:rPr>
      </w:pPr>
    </w:p>
    <w:p>
      <w:pPr>
        <w:jc w:val="both"/>
        <w:ind w:left="260" w:hanging="255"/>
        <w:spacing w:after="0" w:line="248" w:lineRule="auto"/>
        <w:tabs>
          <w:tab w:leader="none" w:pos="256"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 European Union, interactions between pharmaceutical companies and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European Union.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 and</w:t>
      </w:r>
    </w:p>
    <w:p>
      <w:pPr>
        <w:spacing w:after="0" w:line="49" w:lineRule="exact"/>
        <w:rPr>
          <w:rFonts w:ascii="Arial" w:cs="Arial" w:eastAsia="Arial" w:hAnsi="Arial"/>
          <w:sz w:val="13"/>
          <w:szCs w:val="13"/>
          <w:color w:val="auto"/>
        </w:rPr>
      </w:pPr>
    </w:p>
    <w:p>
      <w:pPr>
        <w:jc w:val="both"/>
        <w:ind w:left="260" w:hanging="255"/>
        <w:spacing w:after="0" w:line="248" w:lineRule="auto"/>
        <w:tabs>
          <w:tab w:leader="none" w:pos="256" w:val="left"/>
        </w:tabs>
        <w:numPr>
          <w:ilvl w:val="0"/>
          <w:numId w:val="29"/>
        </w:numPr>
        <w:rPr>
          <w:rFonts w:ascii="Arial" w:cs="Arial" w:eastAsia="Arial" w:hAnsi="Arial"/>
          <w:sz w:val="13"/>
          <w:szCs w:val="13"/>
          <w:color w:val="auto"/>
        </w:rPr>
      </w:pPr>
      <w:r>
        <w:rPr>
          <w:rFonts w:ascii="Arial" w:cs="Arial" w:eastAsia="Arial" w:hAnsi="Arial"/>
          <w:sz w:val="13"/>
          <w:szCs w:val="13"/>
          <w:color w:val="auto"/>
        </w:rPr>
        <w:t>European and other foreign law equivalents of each of the laws, including reporting requirements detailing interactions with and payments to healthcare providers and laws governing the privacy and security of certain personal data, such as the European Union General Data Protection Regulation, or GDPR, which imposes obligations and restrictions on the collection and use of personal data relating to individuals located in the EEA (including health data). Relatedly, 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 in relation to certain aspects of data protection law remains unclear, for example around how data can lawfully be transferred between each jurisdiction, which exposes us to further compliance risk.</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subject to governmental regulation and other legal obligations in the EU and European Economic Area, or EEA, related to privacy, data protection and data security. Our actual or perceived failure to comply with such obligations could harm our business.</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subject to diverse laws and regulations relating to data privacy and security in the EU and the EEA, including the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The law is also developing rapidly and, in July 2020, the Court of Justice of the EU limited how organizations could lawfully transfer personal data from the EEA to the U.S. In addition, EU and EEA member states may impose further obligations relating to the processing of genetic, biometric or health data, which could further add to our compliance costs and limit how we process this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law remains unclear, for example around how data can lawfully be transferred between each jurisdiction, which exposes us to further compliance risk.</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Pursuant to the EU-UK Trade and Cooperation Agreement of December 24, 2020, transfers of personal data from the European Union to the United Kingdom may continue to take place without a need for additional safeguards during a further transition period, to expire on (1) the date on which an adequacy decision with respect to the United Kingdom is adopted by the EU Commission; or (2) the expiry of four months, which shall be extended by a further two months unless either the European Union or the United Kingdom objects. It remains unclear whether the EU Commission will adopt an adequacy decision with respect to the United Kingdom. In the absence of such decision after the expiry of the additional transition period, companies may need to put in place additional safeguards for transfers of personal data from the European Union to the United Kingdom, such as standard contractual clauses approved by the EU Commission.</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are also subject to evolving European privacy laws on cookies, and if we commence any EU marketing campaigns, also on e-marketing.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greater of €20 million or 4% of total global annual revenue. While the e-Privacy Regulation was originally intended to be adopted on May 25, 2018 (alongside the GDPR), it is still going through the European legislative process.</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of future regulatory requirements to which any of our international operations might be subject or the manner in which existing laws might be administered or interpreted.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Given the number of products already on the market to treat COPD, asthma and CF, we expect to face intense competition if ensifentrine is approved for these indications. Companies including Boehringer Ingelheim, GlaxoSmithKline, AstraZeneca, Mylan, Novartis, Vertex, Mylan, Gilead, Genentech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56" w:lineRule="exact"/>
        <w:rPr>
          <w:sz w:val="20"/>
          <w:szCs w:val="20"/>
          <w:color w:val="auto"/>
        </w:rPr>
      </w:pPr>
    </w:p>
    <w:p>
      <w:pPr>
        <w:ind w:left="260" w:hanging="255"/>
        <w:spacing w:after="0" w:line="249" w:lineRule="auto"/>
        <w:tabs>
          <w:tab w:leader="none" w:pos="2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develop and commercialize products that are safer, more effective, less expensive, more convenient or easier to administer, or have fewer or less severe side effects;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obtain quicker regulatory approval;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establish superior proprietary positions covering our products and technologies;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implement more effective approaches to sales and marketing; or</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form more advantageous strategic alliances.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8" w:name="page49"/>
    <w:bookmarkEnd w:id="48"/>
    <w:p>
      <w:pPr>
        <w:jc w:val="both"/>
        <w:spacing w:after="0" w:line="233" w:lineRule="auto"/>
        <w:rPr>
          <w:sz w:val="20"/>
          <w:szCs w:val="20"/>
          <w:color w:val="auto"/>
        </w:rPr>
      </w:pPr>
      <w:r>
        <w:rPr>
          <w:rFonts w:ascii="Arial" w:cs="Arial" w:eastAsia="Arial" w:hAnsi="Arial"/>
          <w:sz w:val="14"/>
          <w:szCs w:val="14"/>
          <w:color w:val="auto"/>
        </w:rPr>
        <w:t>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unable to obtain orphan drug designation from the FDA or EU for ensifentrine for the treatment of CF, and even if we do obtain such designations, we may be unable to obtain or maintain the benefits associated with orphan drug designation, including the potential for orphan drug exclusivity.</w:t>
      </w:r>
    </w:p>
    <w:p>
      <w:pPr>
        <w:spacing w:after="0" w:line="48"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orphan drug designation may be granted to promote the development of products that are intended for the diagnosis, prevention or treatment that is life-threatening or chronically debilitating affecting not more than five in 10,000 persons in the EU and for which no satisfactory method of diagnosis, prevention or treatment of the condition concerned can be authorized, or, if such a method exists, the medicine must be of significant benefit to those affected by the condition.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plan to seek orphan drug designation from the FDA and the EMA for ensifentrine for the treatment of CF. Even if we are able to obtain orphan designation for ensifentrine in the United States and/or the EU,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The successful commercialization of ensifentrine will depend in part on the extent to which governmental authorities and health insurers establish adequate coverage, reimbursement levels and pricing policies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49" w:name="page50"/>
    <w:bookmarkEnd w:id="49"/>
    <w:p>
      <w:pPr>
        <w:jc w:val="both"/>
        <w:spacing w:after="0" w:line="249" w:lineRule="auto"/>
        <w:rPr>
          <w:sz w:val="20"/>
          <w:szCs w:val="20"/>
          <w:color w:val="auto"/>
        </w:rPr>
      </w:pPr>
      <w:r>
        <w:rPr>
          <w:rFonts w:ascii="Arial" w:cs="Arial" w:eastAsia="Arial" w:hAnsi="Arial"/>
          <w:sz w:val="14"/>
          <w:szCs w:val="14"/>
          <w:b w:val="1"/>
          <w:bCs w:val="1"/>
          <w:i w:val="1"/>
          <w:iCs w:val="1"/>
          <w:color w:val="auto"/>
        </w:rPr>
        <w:t>ensifentrine. Failure to obtain or maintain adequate coverage and reimbursement for ensifentrine, if approved, could limit our ability to market ensifentrine and decrease our ability to generate revenue.</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anticipate that Medicare Part B will play an important role in the reimbursement of ensifentrine. Changes within how products are reimbursed through Medicare Part B are likely to occur and those changes may effect the overall coverage of ensifentrine in the future.</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14"/>
          <w:szCs w:val="14"/>
          <w:color w:val="auto"/>
        </w:rPr>
        <w:t>downward pressure on healthcare costs in general, particularly prescription drugs and surgical procedures and other treatments, has become very intense. As a result, increasingly high barriers are being erected to the entry of new products.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even if a pharmaceutical product obtains a marketing authorization in the European Union, there can be no assurance that reimbursement for such product will be secured on a timely basis or at all.</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Ensifentrine may not gain market acceptance, in which case our ability to generate product revenues will be compromised.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Even if the FDA, the EMA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54"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timing of market introduction;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and clinical profile of competing products;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clinical indications for which ensifentrine is approved;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provide acceptable evidence of safety and efficacy;</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relative convenience, frequency, and ease of administration;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cost effectiveness;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marketing and distribution support;</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of adequate coverage, reimbursement and adequate payment from health maintenance organizations and other insurers, both public and private; and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potential advantages over alternative treatment methods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currently have no marketing, sales or distribution infrastructure. If we are unable to develop sales, marketing and distribution capabilities on our own or through collaborations, we may not be successful in commercializing ensifentrine.</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have no marketing, sales or distribution capabilities and we have no experience with marketing, selling or distributing pharmaceutical products. If ensifentrine is approved, we intend either to establish a sales and marketing organization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i w:val="1"/>
          <w:iCs w:val="1"/>
          <w:color w:val="auto"/>
        </w:rPr>
        <w:t>contractual duties or meet expected deadlines, we may not be able to obtain regulatory approval for or commercialize ensifentrine and our business could be substantially harmed.</w:t>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enter into new strategic relationships for ensifentrine, our business, research and development and commercialization prospects could be adversely affected.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2" w:name="page53"/>
    <w:bookmarkEnd w:id="52"/>
    <w:p>
      <w:pPr>
        <w:spacing w:after="0" w:line="249" w:lineRule="auto"/>
        <w:rPr>
          <w:sz w:val="20"/>
          <w:szCs w:val="20"/>
          <w:color w:val="auto"/>
        </w:rPr>
      </w:pPr>
      <w:r>
        <w:rPr>
          <w:rFonts w:ascii="Arial" w:cs="Arial" w:eastAsia="Arial" w:hAnsi="Arial"/>
          <w:sz w:val="14"/>
          <w:szCs w:val="14"/>
          <w:color w:val="auto"/>
        </w:rPr>
        <w:t>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48"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not be able to control the amount and timing of resources that the collaborator devotes to the development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collaborator may experience financial difficulties;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required to relinquish important rights such as marketing, distribution and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collaborator could move forward with a competing product developed either independently or in collaboration with third parties, including our competitors;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business combinations or significant changes in a collaborator’s business strategy may adversely affect our willingness to complete our obligations under any arrangement; or</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or CMOs, for the supply of cGMP-grade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rely on and will continue to rely on CMOs to purchase from third-party suppliers the materials necessary to produce ensifentrine and its derived formulated products and the inhalation and nebulization devices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3" w:name="page54"/>
    <w:bookmarkEnd w:id="53"/>
    <w:p>
      <w:pPr>
        <w:jc w:val="both"/>
        <w:spacing w:after="0" w:line="243" w:lineRule="auto"/>
        <w:rPr>
          <w:sz w:val="20"/>
          <w:szCs w:val="20"/>
          <w:color w:val="auto"/>
        </w:rPr>
      </w:pPr>
      <w:r>
        <w:rPr>
          <w:rFonts w:ascii="Arial" w:cs="Arial" w:eastAsia="Arial" w:hAnsi="Arial"/>
          <w:sz w:val="13"/>
          <w:szCs w:val="13"/>
          <w:color w:val="auto"/>
        </w:rPr>
        <w:t>ensifentrine. We do not and will not have any direct control over the process or timing of the acquisition of these supplies by any CMO or its third-party suppliers, or the quality or quantity of such supplies. Moreover, we currently do not have any agreements for the commercial production of these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w:t>
      </w:r>
    </w:p>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and Information Technology</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4" w:name="page55"/>
    <w:bookmarkEnd w:id="54"/>
    <w:p>
      <w:pPr>
        <w:jc w:val="both"/>
        <w:spacing w:after="0" w:line="233" w:lineRule="auto"/>
        <w:rPr>
          <w:sz w:val="20"/>
          <w:szCs w:val="20"/>
          <w:color w:val="auto"/>
        </w:rPr>
      </w:pPr>
      <w:r>
        <w:rPr>
          <w:rFonts w:ascii="Arial" w:cs="Arial" w:eastAsia="Arial" w:hAnsi="Arial"/>
          <w:sz w:val="14"/>
          <w:szCs w:val="14"/>
          <w:color w:val="auto"/>
        </w:rPr>
        <w:t>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5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48"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5" w:name="page56"/>
    <w:bookmarkEnd w:id="55"/>
    <w:p>
      <w:pPr>
        <w:jc w:val="both"/>
        <w:spacing w:after="0" w:line="249" w:lineRule="auto"/>
        <w:rPr>
          <w:sz w:val="20"/>
          <w:szCs w:val="20"/>
          <w:color w:val="auto"/>
        </w:rPr>
      </w:pPr>
      <w:r>
        <w:rPr>
          <w:rFonts w:ascii="Arial" w:cs="Arial" w:eastAsia="Arial" w:hAnsi="Arial"/>
          <w:sz w:val="14"/>
          <w:szCs w:val="14"/>
          <w:color w:val="auto"/>
        </w:rPr>
        <w:t>third-party infringement, or to defend validity challenges. Therefore, these patents and patent applications may not be enforced or defended in a manner consistent with the best interests of our business.</w:t>
      </w:r>
    </w:p>
    <w:p>
      <w:pPr>
        <w:spacing w:after="0" w:line="48"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4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6" w:name="page57"/>
    <w:bookmarkEnd w:id="56"/>
    <w:p>
      <w:pPr>
        <w:jc w:val="both"/>
        <w:spacing w:after="0" w:line="230" w:lineRule="auto"/>
        <w:rPr>
          <w:sz w:val="20"/>
          <w:szCs w:val="20"/>
          <w:color w:val="auto"/>
        </w:rPr>
      </w:pPr>
      <w:r>
        <w:rPr>
          <w:rFonts w:ascii="Arial" w:cs="Arial" w:eastAsia="Arial" w:hAnsi="Arial"/>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of our patents and other intellectual property.</w:t>
      </w:r>
    </w:p>
    <w:p>
      <w:pPr>
        <w:spacing w:after="0" w:line="7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distract our personnel from their normal responsibilities.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14"/>
          <w:szCs w:val="14"/>
          <w:color w:val="auto"/>
        </w:rPr>
        <w:t>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41"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59" w:name="page60"/>
    <w:bookmarkEnd w:id="59"/>
    <w:p>
      <w:pPr>
        <w:ind w:left="260" w:hanging="255"/>
        <w:spacing w:after="0"/>
        <w:tabs>
          <w:tab w:leader="none" w:pos="2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own or have exclusively licensed;</w:t>
      </w:r>
    </w:p>
    <w:p>
      <w:pPr>
        <w:spacing w:after="0" w:line="95" w:lineRule="exact"/>
        <w:rPr>
          <w:rFonts w:ascii="Arial" w:cs="Arial" w:eastAsia="Arial" w:hAnsi="Arial"/>
          <w:sz w:val="12"/>
          <w:szCs w:val="12"/>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patents of third parties may impair our ability to develop or commercialize our product candidates.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or our licensors or any future collaborators might not have been the first to file patent applications covering certain of our inventions.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intellectual property rights.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47"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Third parties performing manufacturing or testing for us using our product candidates or technologies could use the intellectual property of others without obtaining a proper license.</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develop additional technologies that are patentable.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0" w:name="page61"/>
    <w:bookmarkEnd w:id="60"/>
    <w:p>
      <w:pPr>
        <w:jc w:val="both"/>
        <w:spacing w:after="0" w:line="233" w:lineRule="auto"/>
        <w:rPr>
          <w:sz w:val="20"/>
          <w:szCs w:val="20"/>
          <w:color w:val="auto"/>
        </w:rPr>
      </w:pPr>
      <w:r>
        <w:rPr>
          <w:rFonts w:ascii="Arial" w:cs="Arial" w:eastAsia="Arial" w:hAnsi="Arial"/>
          <w:sz w:val="14"/>
          <w:szCs w:val="14"/>
          <w:color w:val="auto"/>
        </w:rPr>
        <w:t>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Confidentiality agreements with employees and others may not adequately prevent disclosure of trade secrets and protect other proprietary information.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1" w:name="page62"/>
    <w:bookmarkEnd w:id="61"/>
    <w:p>
      <w:pPr>
        <w:jc w:val="both"/>
        <w:spacing w:after="0" w:line="230" w:lineRule="auto"/>
        <w:rPr>
          <w:sz w:val="20"/>
          <w:szCs w:val="20"/>
          <w:color w:val="auto"/>
        </w:rPr>
      </w:pPr>
      <w:r>
        <w:rPr>
          <w:rFonts w:ascii="Arial" w:cs="Arial" w:eastAsia="Arial" w:hAnsi="Arial"/>
          <w:sz w:val="14"/>
          <w:szCs w:val="14"/>
          <w:color w:val="auto"/>
        </w:rPr>
        <w:t>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48"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data including the GDPR, regulatory penalties, disrupt our operations, damage our reputation, and cause a loss of confidence in us and our ability to conduct clinical trials, which could adversely affect our reputation and delay clinical development of our product candidates.</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and ability to compete depends on the successful transition of our CEO and CFO roles, retaining our key personnel and recruiting additional qualified personnel.</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success depends upon the contributions of our key management, scientific and technical personnel, many of whom have been instrumental for us and have substantial experience with ensifentrine and related technologies. On February 3, 2020 we announced the appointment of David Zaccardelli as chief executive officer with effect from February 1, 2020, following the retirement of Jan-Anders Karlsson, PhD. We also announced the appointment of Mark Hahn as chief financial officer with effect from March 1, 2020, as successor to Piers Morgan. We anticipate that we will experience a transitional period until our new chief executive officer and chief financial officer are fully integrated into their new roles and the transition may not be successful. Moreover, we cannot provide any assurance that the transition in leadership will not result in a disruption that adversely impacts our business and employee morale, or that successful working relationships between our other key management individuals and the new chief executive officer and chief financial officer will be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2" w:name="page63"/>
    <w:bookmarkEnd w:id="62"/>
    <w:p>
      <w:pPr>
        <w:jc w:val="both"/>
        <w:spacing w:after="0" w:line="229" w:lineRule="auto"/>
        <w:rPr>
          <w:sz w:val="20"/>
          <w:szCs w:val="20"/>
          <w:color w:val="auto"/>
        </w:rPr>
      </w:pPr>
      <w:r>
        <w:rPr>
          <w:rFonts w:ascii="Arial" w:cs="Arial" w:eastAsia="Arial" w:hAnsi="Arial"/>
          <w:sz w:val="14"/>
          <w:szCs w:val="14"/>
          <w:color w:val="auto"/>
        </w:rPr>
        <w:t>Our other key management individuals include our general counsel, Claire Poll, our chief medical officer, Kathleen Rickard, our senior vice president, chemistry manufacturing and controls, Peter Spargo, our vice president, regulatory affairs, Desiree Luthman, our vice president of commercial, Christopher Martin, and our vice president, R&amp;D operations, Tara Rheault. 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ADSs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48"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As of December 31, 2020, our senior management, board of directors and greater than 5% shareholders and their respective affiliates, in the aggregate, owned approximately 21% of our ordinary shares (including ordinary shares represented by ADSs) assuming no exercise of outstanding options or warrants, and approximately 33%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3" w:name="page64"/>
    <w:bookmarkEnd w:id="63"/>
    <w:p>
      <w:pPr>
        <w:jc w:val="both"/>
        <w:spacing w:after="0" w:line="233" w:lineRule="auto"/>
        <w:rPr>
          <w:sz w:val="20"/>
          <w:szCs w:val="20"/>
          <w:color w:val="auto"/>
        </w:rPr>
      </w:pPr>
      <w:r>
        <w:rPr>
          <w:rFonts w:ascii="Arial" w:cs="Arial" w:eastAsia="Arial" w:hAnsi="Arial"/>
          <w:sz w:val="14"/>
          <w:szCs w:val="14"/>
          <w:color w:val="auto"/>
        </w:rPr>
        <w:t>voting materials in time to instruct the depositary to vote, and it is possible that they,or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8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our ADSs may be subject to limitations on transfer of their ADSs.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rights of our shareholders may differ from the rights typically offered to shareholders of a U.S. corporation.</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Claims of U.S. civil liabilities may not be enforceable against us.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4" w:name="page65"/>
    <w:bookmarkEnd w:id="64"/>
    <w:p>
      <w:pPr>
        <w:jc w:val="both"/>
        <w:spacing w:after="0" w:line="249" w:lineRule="auto"/>
        <w:rPr>
          <w:sz w:val="20"/>
          <w:szCs w:val="20"/>
          <w:color w:val="auto"/>
        </w:rPr>
      </w:pPr>
      <w:r>
        <w:rPr>
          <w:rFonts w:ascii="Arial" w:cs="Arial" w:eastAsia="Arial" w:hAnsi="Arial"/>
          <w:sz w:val="14"/>
          <w:szCs w:val="14"/>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As of January 1, 2021, we were no longer a foreign private issuer and we are required to comply with the provisions of the Exchange Act, and the rules of Nasdaq, applicable to U.S. domestic issuers, which will continue to require us to incur significant expenses and expend time and resources.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As of January 1, 2021, we were no longer a foreign private issuer, and we are required to comply with all of the provisions applicable to a U.S. domestic issuer under the Exchange Act, including filing an annual report on Form 10-K, quarterly periodic reports and current reports for certain events, complying with the sections of the Exchange Act regulating the solicitation of proxies, requiring insiders to file public reports of their share ownership and trading activities and insiders being liable for profit from trades made in a short period of time. We are also no longer exempt from the requirements of Regulation FD promulgated under the Exchange Act related to selective disclosures. We are also no longer permitted to follow our home country’s rules in lieu of the corporate governance obligations imposed by Nasdaq, and are required to comply with the governance practices required by U.S. domestic issuers listed on Nasdaq. We are also required to comply with all other rules of Nasdaq applicable to U.S. domestic issuers, including that our articles of association specify a quorum of no less than one-third of our outstanding voting common shares for meetings of our common shareholders, the solicitation of proxies and the approval by our shareholders in connection with certain events such as the acquisition of stock or assets of another company, the establishment of or amendments to equity-based compensation plans for employees, a change of control and certain private placements. In addition, we are required to report our financial results under U.S. generally accepted accounting principles, including our historical financial results, which have previously been prepared in accordance with IFRS.The regulatory and compliance costs associated with the reporting and governance requirements applicable to U.S. domestic issuers may be significantly higher than the costs we previously incurred as a foreign private issuer.</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regulatory and compliance costs associated with the reporting and governance requirements applicable to U.S. domestic issuers may be significantly higher than the costs we previously incurred as a foreign private issuer. We expect to continue to incur significant legal, accounting, insurance and other expenses and to expend greater time and resources to comply with these requirements. In addition, we may need to develop our reporting and compliance infrastructure and may face challenges in complying with the new requirements applicable to us.</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requirements applicable to “emerging growth companies” will make our ADSs less attractive to investors.</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For as long as we continue to be an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non-affiliates exceeds $700 million as of any June 30 (the end of our second fiscal quarter), in which case we would no longer be an emerging growth company as of the following December 31 (our fiscal year-end).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could also cause investors to lose confidence in our reported financial information, which could have a negative effect on the trading price of our ADSs.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have inadvertently violated Section 13(k) of the Exchange Act (implementing Section 402 of the Sarbanes-Oxley Act of 2002) and may be subject to sanctions as a result.</w:t>
      </w:r>
    </w:p>
    <w:p>
      <w:pPr>
        <w:spacing w:after="0" w:line="8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Broadly, SME R&amp;D Relief comprises two elements, (a) allowing qualifying SMEs to deduct a total of 230% (an additional 130% deduction plus the usual 100% deduction) of their qualifying expenditure from their yearly profit for U.K. Corporation Tax purposes, 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14.5% of such surrenderable loss can be claimed in cash, or the SME R&amp;D Tax Credit.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the financial statements for the year ended December 31, 2019, we recorded an SME R&amp;D Tax Credit of $9.3 million which was subsequently received in cash in the year ended December 31, 2020. For the year ended December 31, 2020, we recorded an SME R&amp;D Tax Credit of $8.3 million, which we expect to receive in the year ended December 31, 2021. We estimate that in the financial years 2021-2023 we could be eligible to receive $25 million – $35 million in cash from HMRC in SME R&amp;D Tax Credits (including the 2020 tax credit).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Legislation has been proposed that will, if enacted, limit the amount of SME R&amp;D Tax Credit a company can claim in a period to £20,000 plus 300% of such company’s liability for Pay As You Earn (“PAYE”) and national insurance contributions, from 1 April 2021. There can be no assurance that the U.K. Government will not amend the program further, impacting the timing or amount of credits, or discontinue it entirely.</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currently reviewing recent clarifications to the proposed legislation to evaluate the effect on our financing strategy. It is possible that our tax credit for the 2021 financial year, payable in 2022, will be impacted by the cap. If the legislation is enacted as currently drafted, we estimate the cash receivable under this program could be approximately $15 million lower than currently anticipated for 2021 and $6 million lower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color w:val="auto"/>
        </w:rPr>
        <w:t>Taxation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i w:val="1"/>
          <w:iCs w:val="1"/>
          <w:color w:val="auto"/>
        </w:rPr>
        <w:t>We believe we will likely be classified as a passive foreign investment company for U.S. federal income tax purposes for the taxable year ended December 31, 2020, which could result in adverse U.S. federal income tax consequences to U.S. investors in our ADSs.</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Because we do not earn revenue from our business operations, and because our sole source of income currently is interest on bank accounts held by us, we believe we will likely be classified as a “passive foreign investment company,” or PFIC, for the taxable year ended December 31, 2020.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 U.S. Holder is treated as owning at least 10% of our ordinary shares or ADSs, such holder may be subject to adverse U.S. federal income tax consequences.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controlled foreign corporation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General Risks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ADSs may be volatile and may fluctuate due to factors beyond our control.</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48"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positive or negative results from, or delays in, clinical trials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in our competitors’ businesses;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technological innovations or commercial product introductions by us or competitors;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government regulations;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concerning proprietary rights, including patents and litigation matters;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public concern relating to the commercial value or safety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financing or other corporate transactions;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publication of research reports or comments by securities or industry analysts or commentators;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general market conditions in the pharmaceutical industry or in the economy as a whole;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loss of any of our key scientific or senior management personnel;</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sales of our ADSs by us, our senior management or board members, and significant holders of our ADSs; or</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other events and factors, many of which are beyond our control.</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Future sales, or the possibility of future sales, of a substantial number of our ADSs or ordinary shares could adversely affect the price of our ADSs.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If securities or industry analysts or commentators publish inaccurate or unfavorable research, about our business, the price of our ADSs and ordinary shares and our trading volume could decline.</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8" w:name="page69"/>
    <w:bookmarkEnd w:id="68"/>
    <w:p>
      <w:pPr>
        <w:jc w:val="both"/>
        <w:spacing w:after="0" w:line="249" w:lineRule="auto"/>
        <w:rPr>
          <w:sz w:val="20"/>
          <w:szCs w:val="20"/>
          <w:color w:val="auto"/>
        </w:rPr>
      </w:pPr>
      <w:r>
        <w:rPr>
          <w:rFonts w:ascii="Arial" w:cs="Arial" w:eastAsia="Arial" w:hAnsi="Arial"/>
          <w:sz w:val="14"/>
          <w:szCs w:val="14"/>
          <w:b w:val="1"/>
          <w:bCs w:val="1"/>
          <w:i w:val="1"/>
          <w:iCs w:val="1"/>
          <w:color w:val="auto"/>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spacing w:after="0" w:line="48"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As a U.S. public company, and particularly after we no longer qualify as an emerging growth company, or EGC,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corporate headquarters is in leased office space at 3 More London Riverside, London, U.K. The leases on the offices expire in the first quarter of 2022. We also have office space at 8045 Arco Corporate Drive, Suite 130, Raleigh, NC 27617, USA, that expires in the second quarter of 2024. We have vacated premises in New York after consolidating our U.S. operations in North Carolina but continue to hold the lease until the third quarter of 2021. We believe that these facilities are adequate to meet our current and near term needs.</w:t>
      </w:r>
    </w:p>
    <w:p>
      <w:pPr>
        <w:spacing w:after="0" w:line="13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currently subject to any material legal proceedings.</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Market Information and Holders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Each ADS represents eight ordinary shares of Verona Pharma plc.</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As of February 19, 2021, 94.5% of our ordinary shares are held in ADS form, between 73 holders. The 5.5% balance of our ordinary shares are held as unlisted ordinary shares between 436 holders.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On July 17, 2020, we issued securities in a private placement (“Private Placement”) with new and existing institutional and accredited investors. The Private Placement comprised a placement, in reliance upon the exemption from securities registration afforded by the provisions of Section 4(a)(2) of Regulation D of the Securities Act, of 38,440,009 ADSs, each representing eight Ordinary Shares or non-voting Ordinary Shares of the Company, at a price of $4.50 per ADS, and 48,088,896 of the Company’s Ordinary Shares at the equivalent price per Ordinary Share of $0.5625.</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The net proceeds of the Private Placement were approximately $185.5 million after deducting fees paid to Jefferies LLC in its role as placement agent and associated expenses.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were subsequently registered on a registration statement on Form F-1 filed with the SEC on August 17, 2020 (File No. 333-247928), as amended.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In May 2017, we completed the initial public offering of our ADSs in the United States and a private placement of our ordinary shares in Europe, or the global offering. In the global offering we issued and sold 6,501,738 ADSs, including 733,738 ADSs issued and sold upon the partial exercises by the underwriters pursuant to their overallotment option to purchase additional ADSs, at a public offering price of $13.50 per ADS, and 1,225,001 ordinary shares at an offering price of £1.32 per share. We received aggregate gross proceeds from the global offering of approximately $89.9 million, and aggregate net proceeds of approximately $80.8 million after deducting underwriting discounts and commissions of approximately $6.3 million and offering expenses of approximately $3.2 million. No payments for such expenses were made directly or indirectly to (i) any of our officers, members of our board of directors, or their associates, (ii) any persons owning 10% or more of any class of our equity securities or (iii) any of our affiliates.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offer and sale of the ADSs and ordinary shares in the global offering were registered under the Securities Act pursuant to a registration statement on Form F-1 (File No. 333-217124) to register ordinary shares, which was declared effective by the SEC on April 26, 2017, a registration statement on Form F-1 to register additional ordinary shares (File No. 333-217487), which was immediately effective upon filing on April 26, 2017, and a registration statement on Form F-6 (File No. 333-217353) to register the ADSs, which was declared effective by the SEC on April 26, 2017, or, collectively, the Registration Statements. Under the Registration Statements, we registered an aggregate offering price of approximately $91.7 million of ordinary shares and 100,000,000 ADSs for a registered aggregate offering price of $5.0 million.</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There has been no material change in our planned use of the net proceeds from the global offering as described in our final prospectus filed pursuant to Rule 424(b)(4) under the Securities Act with the SEC on April 28, 2017. As of December 31, 2018, we had used all of the net proceeds from the global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0" w:name="page71"/>
    <w:bookmarkEnd w:id="70"/>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are a smaller reporting company as defined in Rule 12b-2 of the Exchange Act and are not required to provide the information otherwise required under this Item 6.</w:t>
      </w:r>
    </w:p>
    <w:p>
      <w:pPr>
        <w:spacing w:after="0" w:line="200" w:lineRule="exact"/>
        <w:rPr>
          <w:sz w:val="20"/>
          <w:szCs w:val="20"/>
          <w:color w:val="auto"/>
        </w:r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6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that is designed to act as both a bronchodilator and an anti-inflammatory agent. In the third quarter of 2020 we commenced our Phase 3 ENHANCE trials and, if approved, we intend to commercialize ensifentrine for the maintenance treatment of COPD for the nebulized formation in the U.S.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incurred recurring losses and negative cash flows from operations since inception, and have an accumulated deficit of $207.1 million as of December 31, 2020. We expect to incur additional losses and negative cash flows from operations until our product candidates potentially gain regulatory approval and reach commercial profitability, if at all.</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expenses will increase significantly in connection with our ongoing activities, as we:</w:t>
      </w:r>
    </w:p>
    <w:p>
      <w:pPr>
        <w:spacing w:after="0" w:line="72"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continue to invest in the clinical development of ensifentrine for the treatment of COPD;</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manufacture ensifentrine and engage in other Chemistry, Manufacturing and Control activities;</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 and</w:t>
      </w:r>
    </w:p>
    <w:p>
      <w:pPr>
        <w:spacing w:after="0" w:line="72" w:lineRule="exact"/>
        <w:rPr>
          <w:rFonts w:ascii="Arial" w:cs="Arial" w:eastAsia="Arial" w:hAnsi="Arial"/>
          <w:sz w:val="14"/>
          <w:szCs w:val="14"/>
          <w:color w:val="auto"/>
        </w:rPr>
      </w:pPr>
    </w:p>
    <w:p>
      <w:pPr>
        <w:ind w:left="520" w:hanging="51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enhance our commercial insights and capabilities.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On July 17, 2020, we raised $200 million in a private placement (the "Private Placement"), with net proceeds after transaction related fees and expenses of $185.5 million.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November 2020, we and Verona Pharma, Inc. ("Verona U.S.") entered into a term loan facility of up to $30.0 million (the “Term Loan”), consisting of term loan advances in an aggregate amount of $5.0 million funded at closing, a term loan advance available subject to certain terms and conditions in an aggregate amount of $10.0 million, and a term loan advance available subject to certain terms and conditions in an aggregate amount of $15.0 million with Silicon Valley Bank (“SVB”). See “Indebtedness” below.</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believe that our cash and cash equivalents as of December 31, 2020, together with funding expected to become available under the Term Loan and from cash receipts from U.K. tax credits, will enable us to fund our planned operating expenses and capital expenditure requirements into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COVID-19 impact and business continuity</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To help protect the health and safety of the patients, caregivers and healthcare professionals involved in its ongoing clinical trials of ensifentrine, as well as our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 We continue to review this guidance and the effect of the COVID-19 pandemic on our operations and clinical trials and will provide an update if we become aware of any meaningful disruption caused by the pandemic to our clinical trials.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are closely monitoring activities at our contract manufacturers associated with clinical supply for our ongoing clinical trials, and are satisfied that appropriate plans and procedures are in place to ensure uninterrupted future supply of ensifentrine to the clinical trial sites, subject to potential limitations on their operations and on the supply chain due to the COVID-19 pandemic. We continue to monitor this situation and will provide an update if we become aware of any meaningful disruption caused by the pandemic to the clinical supply of ensifentrine for our clinical trials.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contracts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Ligand agreement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contingent liability comprises a milestone payment on obtaining the first approval of any regulatory authority for the commercialization of a Licensed Product, low single digit royalties based on the future sales performance of all Licensed Products and a portion equal to a mid-twenty percent of any consideration received from any sub-licensees for the Ligand Patents and for Ligand know-how.</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At time of the acquisition the contingent liability was not recognized as part of the acquisition accounting as it was immaterial. We will therefore record as an R&amp;D expense the milestone payment or royalties when they are payable.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July 29, 2016, as part of a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are currently exercisable and may be exercised by the holders until April 2022 when the warrant instruments may either be exercised, cashlessly exercised, or expire.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Loan and security agreement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In November, 2020, we entered into the Term Loan.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financial statements, which have been prepared in accordance with accounting principles generally accepted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While our significant accounting policies are described in more detail in the notes to our financial statements appearing elsewhere in this Annual Report, we believe that the following accounting policies are those most critical to the judgments and estimates used in the preparation of our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 and warrants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have share-based compensation plans under which various types of equity-based awards may be granted, including stock options and restricted stock units (RSUs). The fair value of share options and RSUs is recognized as compensation expense using the cliff vesting method; forfeitures are recognized as they occur. We use the fair-value based method to determine compensation for all arrangements under which employees receive shares, using the Black-Scholes methodology. The warrants are recorded at fair value, also using this methodology.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The Black-Scholes valuation methodology uses assumptions for expected volatility, expected dividends, expected term, and the risk-free interest rate.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Expected volatility for options is based on the historical volatility of our ordinary shares. For warrants, it is based on a basket of the Company’s and similar entities’ share or ADS prices.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expected term of options granted is derived using the simplified method, which computes the expected term as the average of the sum of the vesting term plus the contract term. For the warrants the expected term is assumed to be until expiry of the instruments.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Historically the risk-free rate has been based on the appropriate U.K. government debt yield. After delisting its Ordinary shares from AIM on October 30, 2020, the Company began using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government debt yields.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Research and development (“R&amp;D”) costs are charged to the consolidated statements of operations and comprehensive loss, as incurred. As part of the process of preparing financial statements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its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72"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conduct our ongoing Phase 3 clinical trials for ensifentrine for the maintenance treatment of COPD;</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continue the clinical development of our DPI and pMDI formulations of ensifentrine and research and develop other formulations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initiate and conduct further clinical trials for ensifentrine for the treatment of acute COPD, CF or any other indication;</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initiate and progress pre-clinical studies relating to other potential indications of ensifentrine;</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seek regulatory approvals for any of our product candidates that successfully complete clinical trials;</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potentially establish a sales, marketing and distribution infrastructure and scale-up manufacturing capabilities to commercialize any products for which we may obtain regulatory approval;</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experience any delays or encounter any issues from any of the above, including but not limited to failed studies, complex results, safety issues or other regulatory challenges.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R&amp;D costs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R&amp;D costs consist of salary and personnel related costs and third party costs for our research and development activities for ensifentrine. Personnel related costs include a share 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expect our research and development costs to significantly increase in the near future as we progress our ENHANCE program. Due to the nature of research and development, the expected costs are inherently uncertain and may vary significantly from our current expectations.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costs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General and administrative costs consist of salary and personnel related costs, including share based expense, expenses relating to operating as a public company, including professional fees, insurance and commercial related costs.</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expect commercial costs to increase as we continue to develop our potential commercial operations and, in the event of successful regulatory approval, we expect to incur sales force, marketing and other launch related costs. As we develop our knowledge of the market and refine our commercialization plans, expected costs may vary significantly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color w:val="auto"/>
        </w:rPr>
        <w:t>Other income / (expense)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Other income / (expense) are driven by interest income and foreign exchange movements on cash and cash equivalents, interest income and the U.K. tax credits.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are entitled to participate in the U.K. Small and Medium Enterprises R&amp;D tax relief program. The tax credits are calculated as a percentage of qualifying research and development expenditure and are payable in cash by the U.K. government to the Company. Credits recorded in the 2020 financial year are expected to be received in the 2021 financial year.</w:t>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U.K. tax authorities have reviewed legislation and have proposed to cap the amount payable in the program to a multiple of employment taxes a company pays in the year in question, from April 1, 2021. We are currently reviewing recent clarifications to these proposed changes to review the effect on our financing strategy. It is possible that our tax credit for the 2021 financial year, payable in 2022, will be impacted by the cap. If the legislation is enacted as currently drafted, we estimate the potential cash received under this program could be approximately $15 million and $6 million lower than currently anticipated in 2022 and 2023.</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Taxation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Results of Operations for the years ended December 31, 2020 and 2019</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prior periods, we prepared our financial information in accordance with IFRS. As a consequence of becoming a U.S. domestic issuer as of January 1, 2021, we are required to present our financial information in accordance with US GAAP and expressed in U.S. dollars from that date. The below financial information has been prepared in accordance with US GAAP. The financial information should not be expected to correspond to figures we have previously presented under IFRS.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statements of operations for the years ended December 31, 2020 and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1"/>
                <w:szCs w:val="11"/>
                <w:b w:val="1"/>
                <w:bCs w:val="1"/>
                <w:color w:val="auto"/>
                <w:w w:val="91"/>
              </w:rPr>
              <w:t>Year ended December 31,</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69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Variance</w:t>
            </w:r>
          </w:p>
        </w:tc>
      </w:tr>
      <w:tr>
        <w:trPr>
          <w:trHeight w:val="17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820" w:type="dxa"/>
            <w:vAlign w:val="bottom"/>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44,505</w:t>
            </w:r>
          </w:p>
        </w:tc>
        <w:tc>
          <w:tcPr>
            <w:tcW w:w="10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42,417</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2,088</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29,772</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19,786</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74,277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52,403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21,874</w:t>
            </w: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(52,403)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(21,874)</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Other income / (expense)</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from R&amp;D tax credit</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(843)</w:t>
            </w:r>
          </w:p>
        </w:tc>
      </w:tr>
      <w:tr>
        <w:trPr>
          <w:trHeight w:val="181"/>
        </w:trPr>
        <w:tc>
          <w:tcPr>
            <w:tcW w:w="6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 expense</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(3,202)</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exchange gain / (loss)</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w:t>
            </w:r>
          </w:p>
        </w:tc>
      </w:tr>
      <w:tr>
        <w:trPr>
          <w:trHeight w:val="171"/>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net</w:t>
            </w: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9,277</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(40,489)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(24,511)</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(40,561)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(24,585)</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Research and development costs were $44.5 million for the year ended December 31, 2020, compared to $42.4 million for the year ended December 31, 2020, an increase of $2.1 million. This increase was primarily due to a $7.7 million increase in share-based compensation charges and a $1.0 million increase in salary and related costs as we increased the development team in 2019 and 2020.</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Offsetting this, clinical trial costs fell by $5.2 million from 2019 to 2020. There were seven clinical trials (ongoing, in preparation or closing down) in 2020 compared to five in 2019, but the costs related to the Phase 2b four-week clinical study with ensifentrine added on to tiotropium in 2019 were significantly higher than the start-up costs of the ENHANCE program in 2020. Additionally, travel, manufacturing and development related consulting expenses were $1.4 million lower in 2020 compared to 2019.</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costs</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General and administrative costs were $29.8 million for the year ended 2020 compared to $10.0 million for the year ended 2019, an increase of $19.8 million. This increase was driven primarily by an $11.4 million increase in share-based compensation charges, $3.0 million related to severance and other executive change costs, a $2.5 million increase in Directors’ and Officers’ insurance, $1.9 million of expenses relating to the Private Placement and a $1.0 million increase in professional fees, office close down costs and foreign exchange movements, partially offset by lower travel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color w:val="auto"/>
        </w:rPr>
        <w:t>Other income / (expense)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R&amp;D tax credit for 2020 was $8.3 million compared to a credit of $9.3 million for the year ended December 31, 2019, a decrease of $1.0 million. This reduction is attributable to our lower qualifying expenditure on research and development in 2020 compared to 2019.</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Interest received on cash and short term investments decreased by $0.8 million due to lower overall interest rates and a change in our investment policy to use lower yielding government debt money market funds compared to term deposits previously utilized.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foreign exchange gain of $2.1 million in 2020 and loss of $0.4 million in 2019 relate to the foreign exchange movements on the cash and short term investments the Company holds in pounds sterling.</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Net loss was $65.1 million for the year ended December 31, 2020, compared to $40.6 million for the year ended December 31, 2019. The increase in net loss was primarily the result of the increase in operating costs and the fall in other income, net, discussed above.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years ended December 31, 2020 and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1"/>
                <w:szCs w:val="11"/>
                <w:b w:val="1"/>
                <w:bCs w:val="1"/>
                <w:color w:val="auto"/>
                <w:w w:val="91"/>
              </w:rPr>
              <w:t>Year ended December 31,</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69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Variance</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5,185</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(42,868)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(2,208)</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investing activities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(37,604)</w:t>
            </w: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192,343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192,343</w:t>
            </w:r>
          </w:p>
        </w:tc>
      </w:tr>
      <w:tr>
        <w:trPr>
          <w:trHeight w:val="181"/>
        </w:trPr>
        <w:tc>
          <w:tcPr>
            <w:tcW w:w="6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187,986</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30,428</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157,558</w:t>
            </w: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Net cash used in operating activities increased to $45.1 million 2020, from $42.9 million in 2019, an increase of $2.2 million. Operating expenses increased by $19.8 million, however $19.1 million of this was the non-cash share based compensation expense. The remaining variance of $1.5 million is due to the timing of supplier payments.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investing activities decreased to $9.7 million for 2020, from $47.3 million in 2019 due to less movement of funds from short term investments to cash in 2020.</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Net cash provided by financing activities was $192.3 million for 2020 driven by net proceeds from the Private Placement and the first advance received under the Term Loan. We received $185.5 million after costs in the Private Placement. Of the costs, $1.9 million were recorded in the statement of operations and comprehensive loss and therefore included in net cash used in operating activities. Financing activities also includes a net $4.9 million receipt from the term loan facility. There was no cash provided by financing activities during the year ended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do not currently have any approved products and have never generated any revenue from product sales or otherwise. To date, we have financed our operations primarily through the issuances of our equity securities, including warrants, and in 2020 from borrowings under the Term Loan.</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incurred recurring losses since inception, including net losses of $65.1 million, and $40.6 million for the years ended December 31, 2020, and 2019, respectively. In addition, as of December 31, 2020, we had an accumulated deficit of $207.1 million. We expect to continue to generate operating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77" w:name="page78"/>
    <w:bookmarkEnd w:id="77"/>
    <w:p>
      <w:pPr>
        <w:jc w:val="both"/>
        <w:spacing w:after="0" w:line="237" w:lineRule="auto"/>
        <w:rPr>
          <w:sz w:val="20"/>
          <w:szCs w:val="20"/>
          <w:color w:val="auto"/>
        </w:rPr>
      </w:pPr>
      <w:r>
        <w:rPr>
          <w:rFonts w:ascii="Arial" w:cs="Arial" w:eastAsia="Arial" w:hAnsi="Arial"/>
          <w:sz w:val="14"/>
          <w:szCs w:val="14"/>
          <w:color w:val="auto"/>
        </w:rPr>
        <w:t>In July 2020, we raised approximately $200 million in the Private Placement with new and existing institutional and accredited investors. The Private Placement comprised a placement of 38,440,009 ADSs, each representing eight Ordinary Shares or non-voting Ordinary Shares of the Company, at a price of $4.50 per ADS, and 48,088,896 of the Company’s Ordinary Shares at the equivalent price per Ordinary Share of $0.5625.</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net proceeds of the Private Placement were approximately $185.5 million after deducting placement agent fees and associated expenses (including costs recorded to both equity and as expense in the consolidated statement of operations and comprehensive loss).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no ongoing material financing commitments, such as lines of credit or guarantees, that are expected to affect our liquidity over the next five years, other than leases and the Term Loan with Silicon Valley Bank.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Indebtedness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November, 2020, we and Verona Pharma, Inc. (the “Borrowers”) entered into the Term Loan facility of up to $30.0 million,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a California corporation (“SVB”), the proceeds of which will be used for general corporate and working capital purposes.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Term Loan is governed by a loan and security agreement, dated as of November 19, 2020, between the Borrowers and SVB (the “Loan Agreement”). The Term B Loan will be available, subject to and customary terms and conditions, during the period commencing upon the achievement of a specific clinical milestone relating to ensifentrine through and including June 30, 2022. The Term C Loan will be available, subject to customary terms and conditions, during the period commencing upon the achievement of an additional specific clinical milestone relating to ensifentrine through and including June 30, 2023.</w:t>
      </w:r>
    </w:p>
    <w:p>
      <w:pPr>
        <w:spacing w:after="0" w:line="5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Term Loan will mature on November 1, 2024. Each advance under the Term Loan accrues interest at a floating per annum rate equal to the greater of (a) 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 (ii) pays on the date of such prepayment (A) all outstanding principal plus accrued and 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 2 and/or Enhance 1, which in the reasonable business discretion of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78" w:name="page79"/>
    <w:bookmarkEnd w:id="78"/>
    <w:p>
      <w:pPr>
        <w:jc w:val="both"/>
        <w:spacing w:after="0" w:line="262" w:lineRule="auto"/>
        <w:rPr>
          <w:sz w:val="20"/>
          <w:szCs w:val="20"/>
          <w:color w:val="auto"/>
        </w:rPr>
      </w:pPr>
      <w:r>
        <w:rPr>
          <w:rFonts w:ascii="Arial" w:cs="Arial" w:eastAsia="Arial" w:hAnsi="Arial"/>
          <w:sz w:val="13"/>
          <w:szCs w:val="13"/>
          <w:color w:val="auto"/>
        </w:rPr>
        <w:t>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4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or the occurrence of any default under any agreement or obligation of any Borrower involving indebtedness in excess of $500,000. If an event of default occurs, SVB is entitled to take enforcement action, including acceleration of amounts due under the Loan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initiated our Phase 3 ENHANCE program for the maintenance treatment of COPD in the third quarter of 2020 after raising funds in the Private Placement that we estimated to be the required funds to complete this program. We believe that our cash and cash equivalents as of December 31, 2020, together with funding expected to become available under the Term Loan and from cash receipts from U.K. tax credits, will enable us to fund our planned operating expenses and capital expenditure requirements into 2023.</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finance on acceptable terms, or at all.</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for ensifentrine or any future product candidates will depend on many factors, including:</w:t>
      </w:r>
    </w:p>
    <w:p>
      <w:pPr>
        <w:spacing w:after="0" w:line="72" w:lineRule="exact"/>
        <w:rPr>
          <w:sz w:val="20"/>
          <w:szCs w:val="20"/>
          <w:color w:val="auto"/>
        </w:rPr>
      </w:pPr>
    </w:p>
    <w:p>
      <w:pPr>
        <w:ind w:left="260" w:hanging="255"/>
        <w:spacing w:after="0" w:line="249" w:lineRule="auto"/>
        <w:tabs>
          <w:tab w:leader="none" w:pos="2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number of potential new product candidates we decide to in-license and develop;</w:t>
      </w:r>
    </w:p>
    <w:p>
      <w:pPr>
        <w:spacing w:after="0" w:line="72" w:lineRule="exact"/>
        <w:rPr>
          <w:rFonts w:ascii="Arial" w:cs="Arial" w:eastAsia="Arial" w:hAnsi="Arial"/>
          <w:sz w:val="14"/>
          <w:szCs w:val="14"/>
          <w:color w:val="auto"/>
        </w:rPr>
      </w:pPr>
    </w:p>
    <w:p>
      <w:pPr>
        <w:ind w:left="260" w:hanging="255"/>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costs involved in growing our organization to the size needed to allow for the research, development and potential commercialization of ensifentrine or any future product candidates;</w:t>
      </w:r>
    </w:p>
    <w:p>
      <w:pPr>
        <w:spacing w:after="0" w:line="83" w:lineRule="exact"/>
        <w:rPr>
          <w:rFonts w:ascii="Arial" w:cs="Arial" w:eastAsia="Arial" w:hAnsi="Arial"/>
          <w:sz w:val="13"/>
          <w:szCs w:val="13"/>
          <w:color w:val="auto"/>
        </w:rPr>
      </w:pPr>
    </w:p>
    <w:p>
      <w:pPr>
        <w:ind w:left="260" w:hanging="255"/>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costs involved in filing patent applications and maintaining and enforcing patents or defending against claims or infringements raised by third parties;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79" w:name="page80"/>
    <w:bookmarkEnd w:id="79"/>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licensing or milestone fees we might have to pay during future development of ensifentrine or any future product candidates;</w:t>
      </w:r>
    </w:p>
    <w:p>
      <w:pPr>
        <w:spacing w:after="0" w:line="72" w:lineRule="exact"/>
        <w:rPr>
          <w:rFonts w:ascii="Arial" w:cs="Arial" w:eastAsia="Arial" w:hAnsi="Arial"/>
          <w:sz w:val="14"/>
          <w:szCs w:val="14"/>
          <w:color w:val="auto"/>
        </w:rPr>
      </w:pPr>
    </w:p>
    <w:p>
      <w:pPr>
        <w:ind w:left="260" w:hanging="255"/>
        <w:spacing w:after="0" w:line="249" w:lineRule="auto"/>
        <w:tabs>
          <w:tab w:leader="none" w:pos="2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47" w:lineRule="exact"/>
        <w:rPr>
          <w:rFonts w:ascii="Arial" w:cs="Arial" w:eastAsia="Arial" w:hAnsi="Arial"/>
          <w:sz w:val="14"/>
          <w:szCs w:val="14"/>
          <w:color w:val="auto"/>
        </w:rPr>
      </w:pPr>
    </w:p>
    <w:p>
      <w:pPr>
        <w:ind w:left="260" w:hanging="255"/>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 of revenues, if any, we may derive either directly or in the form of royalty payments from future sales of ensifentrine or any future product candidates, if approved.</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commercial revenues, if any, will be derived from sales of products that we do not expect to be commercially available for many years, if ever. Accordingly, we will need to obtain substantial additional funds to achieve our business objective.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For a discussion of pending and recently adopted accounting pronouncements, see Note 2 to our consolidated financial statements included elsewhere 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from IFRS to US GAAP</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no longer qualifies as a Foreign Private Issuer, its consolidated financial statements have been retroactively converted from IFRS to US GAAP.</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significant differences between IFRS and US GAAP as they relate to the Company are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 Rhinopharma acquisition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connection with the Rhinopharma acquisition in 2006, an in-process R&amp;D (“IP R&amp;D”) asset was recognized at fair value under both IFRS (IFRS 3 “Business Combinations”) and US GAAP (FAS 141 “Business Combinations”). Under US GAAP the IP R&amp;D asset was expensed immediately after its recognition in the business combination.</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Also as part of the acquisition, and under both IFRS and US GAAP, an assumed contingent liability was identified but was not recognized as the fair value was immaterial. Under IFRS the assumed contingent liability was subsequently measured at amortized cost as the discounted expected value of the milestone payment and estimated royalty payments. It was re-measured for changes in these estimated cash flows or when the probability of achieving regulatory approval and commercial revenue changed. Re-measurements relating to changes in estimated cash flows and probabilities of success were recognized in the IP R&amp;D asset. Under US GAAP, the contingent consideration will be recognized at the time each element of the contingency is resolved, and will be charged to R&amp;D expense.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(b) Patents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IFRS the Company recognized the cost of patent applications and associated legal costs as intangible fixed assets. Under US GAAP, in the absence of regulatory approval, these costs are expensed as incurred.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 Social security costs on share based compensation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IFRS the Company accrued the cost of the Company’s social security contributions on share-based compensation. Under US GAAP this cost is recognized when RSUs vest or options are exercised.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significant differences in the Consolidated Statements of Operations and Comprehensive Loss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56"/>
        </w:trPr>
        <w:tc>
          <w:tcPr>
            <w:tcW w:w="9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1"/>
                <w:szCs w:val="11"/>
                <w:b w:val="1"/>
                <w:bCs w:val="1"/>
                <w:color w:val="auto"/>
                <w:w w:val="95"/>
              </w:rPr>
              <w:t>Year ended December 31,</w:t>
            </w:r>
          </w:p>
        </w:tc>
      </w:tr>
      <w:tr>
        <w:trPr>
          <w:trHeight w:val="160"/>
        </w:trPr>
        <w:tc>
          <w:tcPr>
            <w:tcW w:w="9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2019</w:t>
            </w:r>
          </w:p>
        </w:tc>
      </w:tr>
      <w:tr>
        <w:trPr>
          <w:trHeight w:val="180"/>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 IFRS</w:t>
            </w: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(40,511)</w:t>
            </w:r>
          </w:p>
        </w:tc>
      </w:tr>
      <w:tr>
        <w:trPr>
          <w:trHeight w:val="180"/>
        </w:trPr>
        <w:tc>
          <w:tcPr>
            <w:tcW w:w="9900" w:type="dxa"/>
            <w:vAlign w:val="bottom"/>
            <w:gridSpan w:val="2"/>
          </w:tcPr>
          <w:p>
            <w:pPr>
              <w:ind w:left="20"/>
              <w:spacing w:after="0"/>
              <w:rPr>
                <w:sz w:val="20"/>
                <w:szCs w:val="20"/>
                <w:color w:val="auto"/>
              </w:rPr>
            </w:pPr>
            <w:r>
              <w:rPr>
                <w:rFonts w:ascii="Arial" w:cs="Arial" w:eastAsia="Arial" w:hAnsi="Arial"/>
                <w:sz w:val="14"/>
                <w:szCs w:val="14"/>
                <w:color w:val="auto"/>
              </w:rPr>
              <w:t>Reversal of accounting for contingent consideration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81"/>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Reversal of patent amortization and current period patent costs, net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71"/>
        </w:trPr>
        <w:tc>
          <w:tcPr>
            <w:tcW w:w="9900" w:type="dxa"/>
            <w:vAlign w:val="bottom"/>
            <w:gridSpan w:val="2"/>
          </w:tcPr>
          <w:p>
            <w:pPr>
              <w:ind w:left="20"/>
              <w:spacing w:after="0"/>
              <w:rPr>
                <w:sz w:val="20"/>
                <w:szCs w:val="20"/>
                <w:color w:val="auto"/>
              </w:rPr>
            </w:pPr>
            <w:r>
              <w:rPr>
                <w:rFonts w:ascii="Arial" w:cs="Arial" w:eastAsia="Arial" w:hAnsi="Arial"/>
                <w:sz w:val="14"/>
                <w:szCs w:val="14"/>
                <w:color w:val="auto"/>
              </w:rPr>
              <w:t>Net loss - US GAAP</w:t>
            </w: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(40,561)</w:t>
            </w: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 Research and development tax credit - reclassification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U.K R&amp;D tax credit receivable is an estimate of the amount expected to be received in cash from the U.K. government in the following fiscal year relating to the Small and Medium Enterprise Program (the “R&amp;D Tax Credit”). It relates to the estimated research and development tax credit receivable on qualifying expenditure incurred in the year.</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Under IFRS the Company recorded the R&amp;D Tax Credit in income taxes. Under US GAAP the credit is considered to be akin to a government grant and is recorded as other income.</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are a smaller reporting company as defined in Rule 12b-2 of the Exchange Act and are not required to provide the information otherwise required under this Item 7A.</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set forth in the consolidated financial statements and notes thereto in Item 15 of Part IV of this Annual Report.</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Limitations on Effectiveness of Controls and Procedures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Disclosure Controls and Procedures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2020, our disclosure controls and procedures were effective at the reasonable assurance level.</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Annual Report on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Our management is responsible for establishing and maintaining adequate internal control over our financial reporting, as such term is defined in Rule 13a-15(f) under the Exchange Act.</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Based on this assessment, our management concluded that, as of December 31, 2020, our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68"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color w:val="auto"/>
        </w:rPr>
        <w:t>Attestation Report of the Registered Public Accounting Firm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This Annual Report does not include an attestation report of our registered public accounting firm due to an exemption established by the JOBS Act for “emerging growth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7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Our consolidated financial statements for the year ended December 31, 2020, were prepared in compliance with generally accepted accounting principles in the U.S. which represents a change in accounting principles previously applied in financial statements prepared by us for prior periods that were prepared in accordance with International Financial Reporting Standards. We have added to or updated the functioning of our existing internal controls over financial reporting to accommodate the necessary changes to continue to provide reasonable assurance to prevent or detect misstatements in the preparation and presentation of our financial statements. Except as described herein, there was no change in our internal control over financial reporting (as defined in Rules 13a-15(f) under the Exchange Act) that occurred during the fourth quarter of fiscal year ended December 31, 2020, that has materially affected, or is reasonably likely to materially affect, our internal control over financial reporting.</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remaining information required by this item will be included in our definitive proxy statement for the 2021 Annual General Meeting of Stockholders and is incorporated herein by reference to such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required by this item will be included in our definitive proxy statement for the 2021 Annual General Meeting of Shareholders and is incorporated herein by reference to such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will be included in our definitive proxy statement for the 2021 General Meeting of Shareholders and is incorporated herein by reference to such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will be included in our definitive proxy statement for the 2021 General Meeting of Shareholders and is incorporated herein by reference to such proxy statement.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required by this item will be included in our definitive proxy statement for the 2021 General Meeting of Shareholders and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w:t>
      </w:r>
      <w:r>
        <w:rPr>
          <w:rFonts w:ascii="Arial" w:cs="Arial" w:eastAsia="Arial" w:hAnsi="Arial"/>
          <w:sz w:val="14"/>
          <w:szCs w:val="14"/>
          <w:color w:val="auto"/>
        </w:rPr>
        <w: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(a)(1)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As part of this Annual Report on Form 10-K, the consolidated financial statements are listed in the accompanying index to financial statements on page F-1.</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(a)(2) Financial Statement Schedules.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All financial statement schedules have been omitted because they are not applicable, not required or the information required is shown in the financial statements or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(a)(3) Exhibits.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exhibits filed as part of this Annual Report on Form 10-K.</w:t>
      </w:r>
    </w:p>
    <w:p>
      <w:pPr>
        <w:spacing w:after="0" w:line="115" w:lineRule="exact"/>
        <w:rPr>
          <w:sz w:val="20"/>
          <w:szCs w:val="20"/>
          <w:color w:val="auto"/>
        </w:rPr>
      </w:pPr>
    </w:p>
    <w:p>
      <w:pPr>
        <w:ind w:left="7560"/>
        <w:spacing w:after="0"/>
        <w:rPr>
          <w:sz w:val="20"/>
          <w:szCs w:val="20"/>
          <w:color w:val="auto"/>
        </w:rPr>
      </w:pPr>
      <w:r>
        <w:rPr>
          <w:rFonts w:ascii="Arial" w:cs="Arial" w:eastAsia="Arial" w:hAnsi="Arial"/>
          <w:sz w:val="13"/>
          <w:szCs w:val="13"/>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19685</wp:posOffset>
            </wp:positionV>
            <wp:extent cx="299783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7835" cy="6985"/>
                    </a:xfrm>
                    <a:prstGeom prst="rect">
                      <a:avLst/>
                    </a:prstGeom>
                    <a:noFill/>
                  </pic:spPr>
                </pic:pic>
              </a:graphicData>
            </a:graphic>
          </wp:anchor>
        </w:drawing>
      </w:r>
    </w:p>
    <w:p>
      <w:pPr>
        <w:sectPr>
          <w:pgSz w:w="11900" w:h="16838" w:orient="portrait"/>
          <w:cols w:equalWidth="0" w:num="1">
            <w:col w:w="11220"/>
          </w:cols>
          <w:pgMar w:left="300" w:top="1144" w:right="379" w:bottom="1440" w:gutter="0" w:footer="0" w:header="0"/>
        </w:sect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Exhibit Number</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4.3</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4.5</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10.4.2</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10.4.3</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10.4.4</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10.4.5</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10.4.6</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10.5#</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Exhibit Description</w:t>
      </w:r>
    </w:p>
    <w:p>
      <w:pPr>
        <w:spacing w:after="0" w:line="104" w:lineRule="exact"/>
        <w:rPr>
          <w:sz w:val="20"/>
          <w:szCs w:val="20"/>
          <w:color w:val="auto"/>
        </w:rPr>
      </w:pPr>
    </w:p>
    <w:p>
      <w:pPr>
        <w:spacing w:after="0"/>
        <w:rPr>
          <w:rFonts w:ascii="Arial" w:cs="Arial" w:eastAsia="Arial" w:hAnsi="Arial"/>
          <w:sz w:val="14"/>
          <w:szCs w:val="14"/>
          <w:u w:val="single" w:color="auto"/>
          <w:color w:val="0000FF"/>
        </w:rPr>
      </w:pPr>
      <w:hyperlink r:id="rId99">
        <w:r>
          <w:rPr>
            <w:rFonts w:ascii="Arial" w:cs="Arial" w:eastAsia="Arial" w:hAnsi="Arial"/>
            <w:sz w:val="14"/>
            <w:szCs w:val="14"/>
            <w:u w:val="single" w:color="auto"/>
            <w:color w:val="0000FF"/>
          </w:rPr>
          <w:t>Articles of Association, as amended and as currently in effect</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00">
        <w:r>
          <w:rPr>
            <w:rFonts w:ascii="Arial" w:cs="Arial" w:eastAsia="Arial" w:hAnsi="Arial"/>
            <w:sz w:val="14"/>
            <w:szCs w:val="14"/>
            <w:u w:val="single" w:color="auto"/>
            <w:color w:val="0000FF"/>
          </w:rPr>
          <w:t>Deposit Agreement</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00">
        <w:r>
          <w:rPr>
            <w:rFonts w:ascii="Arial" w:cs="Arial" w:eastAsia="Arial" w:hAnsi="Arial"/>
            <w:sz w:val="14"/>
            <w:szCs w:val="14"/>
            <w:u w:val="single" w:color="auto"/>
            <w:color w:val="0000FF"/>
          </w:rPr>
          <w:t>Form of American Depositary Receipt (included in Exhibit 4.1)</w:t>
        </w:r>
      </w:hyperlink>
    </w:p>
    <w:p>
      <w:pPr>
        <w:spacing w:after="0" w:line="189" w:lineRule="exact"/>
        <w:rPr>
          <w:sz w:val="20"/>
          <w:szCs w:val="20"/>
          <w:color w:val="auto"/>
        </w:rPr>
      </w:pPr>
    </w:p>
    <w:p>
      <w:pPr>
        <w:spacing w:after="0"/>
        <w:rPr>
          <w:rFonts w:ascii="Arial" w:cs="Arial" w:eastAsia="Arial" w:hAnsi="Arial"/>
          <w:sz w:val="12"/>
          <w:szCs w:val="12"/>
          <w:u w:val="single" w:color="auto"/>
          <w:color w:val="0000FF"/>
        </w:rPr>
      </w:pPr>
      <w:hyperlink r:id="rId101">
        <w:r>
          <w:rPr>
            <w:rFonts w:ascii="Arial" w:cs="Arial" w:eastAsia="Arial" w:hAnsi="Arial"/>
            <w:sz w:val="12"/>
            <w:szCs w:val="12"/>
            <w:u w:val="single" w:color="auto"/>
            <w:color w:val="0000FF"/>
          </w:rPr>
          <w:t>Form of Warrant issued to each of the investors named in Schedule A thereto</w:t>
        </w:r>
      </w:hyperlink>
    </w:p>
    <w:p>
      <w:pPr>
        <w:spacing w:after="0" w:line="212" w:lineRule="exact"/>
        <w:rPr>
          <w:sz w:val="20"/>
          <w:szCs w:val="20"/>
          <w:color w:val="auto"/>
        </w:rPr>
      </w:pPr>
    </w:p>
    <w:p>
      <w:pPr>
        <w:spacing w:after="0"/>
        <w:rPr>
          <w:rFonts w:ascii="Arial" w:cs="Arial" w:eastAsia="Arial" w:hAnsi="Arial"/>
          <w:sz w:val="14"/>
          <w:szCs w:val="14"/>
          <w:u w:val="single" w:color="auto"/>
          <w:color w:val="0000FF"/>
        </w:rPr>
      </w:pPr>
      <w:hyperlink r:id="rId102">
        <w:r>
          <w:rPr>
            <w:rFonts w:ascii="Arial" w:cs="Arial" w:eastAsia="Arial" w:hAnsi="Arial"/>
            <w:sz w:val="14"/>
            <w:szCs w:val="14"/>
            <w:u w:val="single" w:color="auto"/>
            <w:color w:val="0000FF"/>
          </w:rPr>
          <w:t>Warrant Instrument issued to NPlus1 Singer LLP</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Description of Securities</w:t>
        </w:r>
      </w:hyperlink>
    </w:p>
    <w:p>
      <w:pPr>
        <w:spacing w:after="0" w:line="189" w:lineRule="exact"/>
        <w:rPr>
          <w:sz w:val="20"/>
          <w:szCs w:val="20"/>
          <w:color w:val="auto"/>
        </w:rPr>
      </w:pPr>
    </w:p>
    <w:p>
      <w:pPr>
        <w:jc w:val="both"/>
        <w:ind w:right="120"/>
        <w:spacing w:after="0" w:line="236" w:lineRule="auto"/>
        <w:rPr>
          <w:rFonts w:ascii="Arial" w:cs="Arial" w:eastAsia="Arial" w:hAnsi="Arial"/>
          <w:sz w:val="14"/>
          <w:szCs w:val="14"/>
          <w:u w:val="single" w:color="auto"/>
          <w:color w:val="0000FF"/>
        </w:rPr>
      </w:pPr>
      <w:hyperlink r:id="rId103">
        <w:r>
          <w:rPr>
            <w:rFonts w:ascii="Arial" w:cs="Arial" w:eastAsia="Arial" w:hAnsi="Arial"/>
            <w:sz w:val="14"/>
            <w:szCs w:val="14"/>
            <w:u w:val="single" w:color="auto"/>
            <w:color w:val="0000FF"/>
          </w:rPr>
          <w:t>Registration Rights Agreement, dated July 29, 2016, by and among Verona</w:t>
        </w:r>
      </w:hyperlink>
      <w:r>
        <w:rPr>
          <w:rFonts w:ascii="Arial" w:cs="Arial" w:eastAsia="Arial" w:hAnsi="Arial"/>
          <w:sz w:val="14"/>
          <w:szCs w:val="14"/>
          <w:u w:val="single" w:color="auto"/>
          <w:color w:val="0000FF"/>
        </w:rPr>
        <w:t xml:space="preserve"> </w:t>
      </w:r>
      <w:hyperlink r:id="rId103">
        <w:r>
          <w:rPr>
            <w:rFonts w:ascii="Arial" w:cs="Arial" w:eastAsia="Arial" w:hAnsi="Arial"/>
            <w:sz w:val="14"/>
            <w:szCs w:val="14"/>
            <w:u w:val="single" w:color="auto"/>
            <w:color w:val="0000FF"/>
          </w:rPr>
          <w:t>Pharma plc and the investors set forth therein</w:t>
        </w:r>
      </w:hyperlink>
    </w:p>
    <w:p>
      <w:pPr>
        <w:spacing w:after="0" w:line="171" w:lineRule="exact"/>
        <w:rPr>
          <w:sz w:val="20"/>
          <w:szCs w:val="20"/>
          <w:color w:val="auto"/>
        </w:rPr>
      </w:pPr>
    </w:p>
    <w:p>
      <w:pPr>
        <w:jc w:val="both"/>
        <w:ind w:right="120"/>
        <w:spacing w:after="0" w:line="236" w:lineRule="auto"/>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Registration Rights Agreement, dated July 16, 2020, by and among Verona</w:t>
        </w:r>
      </w:hyperlink>
      <w:r>
        <w:rPr>
          <w:rFonts w:ascii="Arial" w:cs="Arial" w:eastAsia="Arial" w:hAnsi="Arial"/>
          <w:sz w:val="14"/>
          <w:szCs w:val="14"/>
          <w:u w:val="single" w:color="auto"/>
          <w:color w:val="0000FF"/>
        </w:rPr>
        <w:t xml:space="preserve"> </w:t>
      </w:r>
      <w:hyperlink r:id="rId104">
        <w:r>
          <w:rPr>
            <w:rFonts w:ascii="Arial" w:cs="Arial" w:eastAsia="Arial" w:hAnsi="Arial"/>
            <w:sz w:val="14"/>
            <w:szCs w:val="14"/>
            <w:u w:val="single" w:color="auto"/>
            <w:color w:val="0000FF"/>
          </w:rPr>
          <w:t>Pharma plc and the investors set forth therein</w:t>
        </w:r>
      </w:hyperlink>
    </w:p>
    <w:p>
      <w:pPr>
        <w:spacing w:after="0" w:line="171" w:lineRule="exact"/>
        <w:rPr>
          <w:sz w:val="20"/>
          <w:szCs w:val="20"/>
          <w:color w:val="auto"/>
        </w:rPr>
      </w:pPr>
    </w:p>
    <w:p>
      <w:pPr>
        <w:jc w:val="both"/>
        <w:ind w:right="100"/>
        <w:spacing w:after="0" w:line="226" w:lineRule="auto"/>
        <w:rPr>
          <w:rFonts w:ascii="Arial" w:cs="Arial" w:eastAsia="Arial" w:hAnsi="Arial"/>
          <w:sz w:val="14"/>
          <w:szCs w:val="14"/>
          <w:u w:val="single" w:color="auto"/>
          <w:color w:val="0000FF"/>
        </w:rPr>
      </w:pPr>
      <w:hyperlink r:id="rId105">
        <w:r>
          <w:rPr>
            <w:rFonts w:ascii="Arial" w:cs="Arial" w:eastAsia="Arial" w:hAnsi="Arial"/>
            <w:sz w:val="14"/>
            <w:szCs w:val="14"/>
            <w:u w:val="single" w:color="auto"/>
            <w:color w:val="0000FF"/>
          </w:rPr>
          <w:t>Intellectual Property Assignment and Licence Agreement between Vernalis</w:t>
        </w:r>
      </w:hyperlink>
      <w:r>
        <w:rPr>
          <w:rFonts w:ascii="Arial" w:cs="Arial" w:eastAsia="Arial" w:hAnsi="Arial"/>
          <w:sz w:val="14"/>
          <w:szCs w:val="14"/>
          <w:u w:val="single" w:color="auto"/>
          <w:color w:val="0000FF"/>
        </w:rPr>
        <w:t xml:space="preserve"> </w:t>
      </w:r>
      <w:hyperlink r:id="rId105">
        <w:r>
          <w:rPr>
            <w:rFonts w:ascii="Arial" w:cs="Arial" w:eastAsia="Arial" w:hAnsi="Arial"/>
            <w:sz w:val="14"/>
            <w:szCs w:val="14"/>
            <w:u w:val="single" w:color="auto"/>
            <w:color w:val="0000FF"/>
          </w:rPr>
          <w:t>Development Limited and Rhinopharma Limited, as predecessor to Verona</w:t>
        </w:r>
      </w:hyperlink>
      <w:r>
        <w:rPr>
          <w:rFonts w:ascii="Arial" w:cs="Arial" w:eastAsia="Arial" w:hAnsi="Arial"/>
          <w:sz w:val="14"/>
          <w:szCs w:val="14"/>
          <w:u w:val="single" w:color="auto"/>
          <w:color w:val="0000FF"/>
        </w:rPr>
        <w:t xml:space="preserve"> </w:t>
      </w:r>
      <w:hyperlink r:id="rId105">
        <w:r>
          <w:rPr>
            <w:rFonts w:ascii="Arial" w:cs="Arial" w:eastAsia="Arial" w:hAnsi="Arial"/>
            <w:sz w:val="14"/>
            <w:szCs w:val="14"/>
            <w:u w:val="single" w:color="auto"/>
            <w:color w:val="0000FF"/>
          </w:rPr>
          <w:t>Pharma plc, dated February 7, 2005</w:t>
        </w:r>
      </w:hyperlink>
    </w:p>
    <w:p>
      <w:pPr>
        <w:spacing w:after="0" w:line="171" w:lineRule="exact"/>
        <w:rPr>
          <w:rFonts w:ascii="Arial" w:cs="Arial" w:eastAsia="Arial" w:hAnsi="Arial"/>
          <w:sz w:val="14"/>
          <w:szCs w:val="14"/>
          <w:u w:val="single" w:color="auto"/>
          <w:color w:val="0000FF"/>
        </w:rPr>
      </w:pPr>
    </w:p>
    <w:p>
      <w:pPr>
        <w:ind w:right="200"/>
        <w:spacing w:after="0" w:line="236" w:lineRule="auto"/>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Renewal Agreement to Lease by and between the Verona Pharma plc and</w:t>
        </w:r>
      </w:hyperlink>
      <w:r>
        <w:rPr>
          <w:rFonts w:ascii="Arial" w:cs="Arial" w:eastAsia="Arial" w:hAnsi="Arial"/>
          <w:sz w:val="14"/>
          <w:szCs w:val="14"/>
          <w:u w:val="single" w:color="auto"/>
          <w:color w:val="0000FF"/>
        </w:rPr>
        <w:t xml:space="preserve"> </w:t>
      </w:r>
      <w:hyperlink r:id="rId106">
        <w:r>
          <w:rPr>
            <w:rFonts w:ascii="Arial" w:cs="Arial" w:eastAsia="Arial" w:hAnsi="Arial"/>
            <w:sz w:val="14"/>
            <w:szCs w:val="14"/>
            <w:u w:val="single" w:color="auto"/>
            <w:color w:val="0000FF"/>
          </w:rPr>
          <w:t>Regus Management (UK) Limited dated October 19, 2017</w:t>
        </w:r>
      </w:hyperlink>
    </w:p>
    <w:p>
      <w:pPr>
        <w:spacing w:after="0" w:line="171" w:lineRule="exact"/>
        <w:rPr>
          <w:sz w:val="20"/>
          <w:szCs w:val="20"/>
          <w:color w:val="auto"/>
        </w:rPr>
      </w:pPr>
    </w:p>
    <w:p>
      <w:pPr>
        <w:ind w:right="200"/>
        <w:spacing w:after="0" w:line="236" w:lineRule="auto"/>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Renewal Agreement to Lease by and between the Verona Pharma plc and</w:t>
        </w:r>
      </w:hyperlink>
      <w:r>
        <w:rPr>
          <w:rFonts w:ascii="Arial" w:cs="Arial" w:eastAsia="Arial" w:hAnsi="Arial"/>
          <w:sz w:val="14"/>
          <w:szCs w:val="14"/>
          <w:u w:val="single" w:color="auto"/>
          <w:color w:val="0000FF"/>
        </w:rPr>
        <w:t xml:space="preserve"> </w:t>
      </w:r>
      <w:hyperlink r:id="rId106">
        <w:r>
          <w:rPr>
            <w:rFonts w:ascii="Arial" w:cs="Arial" w:eastAsia="Arial" w:hAnsi="Arial"/>
            <w:sz w:val="14"/>
            <w:szCs w:val="14"/>
            <w:u w:val="single" w:color="auto"/>
            <w:color w:val="0000FF"/>
          </w:rPr>
          <w:t>Regus Management (UK) Limited dated November 8, 2017</w:t>
        </w:r>
      </w:hyperlink>
    </w:p>
    <w:p>
      <w:pPr>
        <w:spacing w:after="0" w:line="171" w:lineRule="exact"/>
        <w:rPr>
          <w:sz w:val="20"/>
          <w:szCs w:val="20"/>
          <w:color w:val="auto"/>
        </w:rPr>
      </w:pPr>
    </w:p>
    <w:p>
      <w:pPr>
        <w:ind w:right="200"/>
        <w:spacing w:after="0" w:line="236" w:lineRule="auto"/>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Renewal Agreement to Lease by and between the Verona Pharma plc and</w:t>
        </w:r>
      </w:hyperlink>
      <w:r>
        <w:rPr>
          <w:rFonts w:ascii="Arial" w:cs="Arial" w:eastAsia="Arial" w:hAnsi="Arial"/>
          <w:sz w:val="14"/>
          <w:szCs w:val="14"/>
          <w:u w:val="single" w:color="auto"/>
          <w:color w:val="0000FF"/>
        </w:rPr>
        <w:t xml:space="preserve"> </w:t>
      </w:r>
      <w:hyperlink r:id="rId107">
        <w:r>
          <w:rPr>
            <w:rFonts w:ascii="Arial" w:cs="Arial" w:eastAsia="Arial" w:hAnsi="Arial"/>
            <w:sz w:val="14"/>
            <w:szCs w:val="14"/>
            <w:u w:val="single" w:color="auto"/>
            <w:color w:val="0000FF"/>
          </w:rPr>
          <w:t>Regus Management (UK) Limited dated April 3, 2018</w:t>
        </w:r>
      </w:hyperlink>
    </w:p>
    <w:p>
      <w:pPr>
        <w:spacing w:after="0" w:line="171" w:lineRule="exact"/>
        <w:rPr>
          <w:sz w:val="20"/>
          <w:szCs w:val="20"/>
          <w:color w:val="auto"/>
        </w:rPr>
      </w:pPr>
    </w:p>
    <w:p>
      <w:pPr>
        <w:ind w:right="200"/>
        <w:spacing w:after="0" w:line="270" w:lineRule="auto"/>
        <w:rPr>
          <w:rFonts w:ascii="Arial" w:cs="Arial" w:eastAsia="Arial" w:hAnsi="Arial"/>
          <w:sz w:val="13"/>
          <w:szCs w:val="13"/>
          <w:u w:val="single" w:color="auto"/>
          <w:color w:val="0000FF"/>
        </w:rPr>
      </w:pPr>
      <w:hyperlink r:id="rId108">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08">
        <w:r>
          <w:rPr>
            <w:rFonts w:ascii="Arial" w:cs="Arial" w:eastAsia="Arial" w:hAnsi="Arial"/>
            <w:sz w:val="13"/>
            <w:szCs w:val="13"/>
            <w:u w:val="single" w:color="auto"/>
            <w:color w:val="0000FF"/>
          </w:rPr>
          <w:t>Regus Management (UK) Limited dated September 16, 2017#1</w:t>
        </w:r>
      </w:hyperlink>
    </w:p>
    <w:p>
      <w:pPr>
        <w:spacing w:after="0" w:line="152" w:lineRule="exact"/>
        <w:rPr>
          <w:sz w:val="20"/>
          <w:szCs w:val="20"/>
          <w:color w:val="auto"/>
        </w:rPr>
      </w:pPr>
    </w:p>
    <w:p>
      <w:pPr>
        <w:ind w:right="200"/>
        <w:spacing w:after="0" w:line="270" w:lineRule="auto"/>
        <w:rPr>
          <w:rFonts w:ascii="Arial" w:cs="Arial" w:eastAsia="Arial" w:hAnsi="Arial"/>
          <w:sz w:val="13"/>
          <w:szCs w:val="13"/>
          <w:u w:val="single" w:color="auto"/>
          <w:color w:val="0000FF"/>
        </w:rPr>
      </w:pPr>
      <w:hyperlink r:id="rId109">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09">
        <w:r>
          <w:rPr>
            <w:rFonts w:ascii="Arial" w:cs="Arial" w:eastAsia="Arial" w:hAnsi="Arial"/>
            <w:sz w:val="13"/>
            <w:szCs w:val="13"/>
            <w:u w:val="single" w:color="auto"/>
            <w:color w:val="0000FF"/>
          </w:rPr>
          <w:t>Regus Management (UK) Limited dated September 16, 2017#2</w:t>
        </w:r>
      </w:hyperlink>
    </w:p>
    <w:p>
      <w:pPr>
        <w:spacing w:after="0" w:line="152" w:lineRule="exact"/>
        <w:rPr>
          <w:sz w:val="20"/>
          <w:szCs w:val="20"/>
          <w:color w:val="auto"/>
        </w:rPr>
      </w:pPr>
    </w:p>
    <w:p>
      <w:pPr>
        <w:ind w:right="200"/>
        <w:spacing w:after="0" w:line="270" w:lineRule="auto"/>
        <w:rPr>
          <w:rFonts w:ascii="Arial" w:cs="Arial" w:eastAsia="Arial" w:hAnsi="Arial"/>
          <w:sz w:val="13"/>
          <w:szCs w:val="13"/>
          <w:u w:val="single" w:color="auto"/>
          <w:color w:val="0000FF"/>
        </w:rPr>
      </w:pPr>
      <w:hyperlink r:id="rId110">
        <w:r>
          <w:rPr>
            <w:rFonts w:ascii="Arial" w:cs="Arial" w:eastAsia="Arial" w:hAnsi="Arial"/>
            <w:sz w:val="13"/>
            <w:szCs w:val="13"/>
            <w:u w:val="single" w:color="auto"/>
            <w:color w:val="0000FF"/>
          </w:rPr>
          <w:t>Renewal Agreement to Lease by and between the Verona Pharma plc and</w:t>
        </w:r>
      </w:hyperlink>
      <w:r>
        <w:rPr>
          <w:rFonts w:ascii="Arial" w:cs="Arial" w:eastAsia="Arial" w:hAnsi="Arial"/>
          <w:sz w:val="13"/>
          <w:szCs w:val="13"/>
          <w:u w:val="single" w:color="auto"/>
          <w:color w:val="0000FF"/>
        </w:rPr>
        <w:t xml:space="preserve"> </w:t>
      </w:r>
      <w:hyperlink r:id="rId110">
        <w:r>
          <w:rPr>
            <w:rFonts w:ascii="Arial" w:cs="Arial" w:eastAsia="Arial" w:hAnsi="Arial"/>
            <w:sz w:val="13"/>
            <w:szCs w:val="13"/>
            <w:u w:val="single" w:color="auto"/>
            <w:color w:val="0000FF"/>
          </w:rPr>
          <w:t>Regus Management (UK) Limited dated September 16, 2017#3</w:t>
        </w:r>
      </w:hyperlink>
    </w:p>
    <w:p>
      <w:pPr>
        <w:spacing w:after="0" w:line="152" w:lineRule="exact"/>
        <w:rPr>
          <w:sz w:val="20"/>
          <w:szCs w:val="20"/>
          <w:color w:val="auto"/>
        </w:rPr>
      </w:pPr>
    </w:p>
    <w:p>
      <w:pPr>
        <w:ind w:right="160"/>
        <w:spacing w:after="0" w:line="236" w:lineRule="auto"/>
        <w:rPr>
          <w:rFonts w:ascii="Arial" w:cs="Arial" w:eastAsia="Arial" w:hAnsi="Arial"/>
          <w:sz w:val="14"/>
          <w:szCs w:val="14"/>
          <w:u w:val="single" w:color="auto"/>
          <w:color w:val="0000FF"/>
        </w:rPr>
      </w:pPr>
      <w:hyperlink r:id="rId111">
        <w:r>
          <w:rPr>
            <w:rFonts w:ascii="Arial" w:cs="Arial" w:eastAsia="Arial" w:hAnsi="Arial"/>
            <w:sz w:val="14"/>
            <w:szCs w:val="14"/>
            <w:u w:val="single" w:color="auto"/>
            <w:color w:val="0000FF"/>
          </w:rPr>
          <w:t>Renewal Agreement to Lease by and between the Verona Pharma Inc. and</w:t>
        </w:r>
      </w:hyperlink>
      <w:r>
        <w:rPr>
          <w:rFonts w:ascii="Arial" w:cs="Arial" w:eastAsia="Arial" w:hAnsi="Arial"/>
          <w:sz w:val="14"/>
          <w:szCs w:val="14"/>
          <w:u w:val="single" w:color="auto"/>
          <w:color w:val="0000FF"/>
        </w:rPr>
        <w:t xml:space="preserve"> </w:t>
      </w:r>
      <w:hyperlink r:id="rId111">
        <w:r>
          <w:rPr>
            <w:rFonts w:ascii="Arial" w:cs="Arial" w:eastAsia="Arial" w:hAnsi="Arial"/>
            <w:sz w:val="14"/>
            <w:szCs w:val="14"/>
            <w:u w:val="single" w:color="auto"/>
            <w:color w:val="0000FF"/>
          </w:rPr>
          <w:t>Regus Management Group LLC dated July 16, 2019</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r:id="rId112">
        <w:r>
          <w:rPr>
            <w:rFonts w:ascii="Arial" w:cs="Arial" w:eastAsia="Arial" w:hAnsi="Arial"/>
            <w:sz w:val="14"/>
            <w:szCs w:val="14"/>
            <w:u w:val="single" w:color="auto"/>
            <w:color w:val="0000FF"/>
          </w:rPr>
          <w:t>EMI Option Scheme</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Unapproved Share Option Scheme, as amended</w:t>
        </w:r>
      </w:hyperlink>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jc w:val="right"/>
              <w:ind w:right="329"/>
              <w:spacing w:after="0"/>
              <w:rPr>
                <w:sz w:val="20"/>
                <w:szCs w:val="20"/>
                <w:color w:val="auto"/>
              </w:rPr>
            </w:pPr>
            <w:r>
              <w:rPr>
                <w:rFonts w:ascii="Arial" w:cs="Arial" w:eastAsia="Arial" w:hAnsi="Arial"/>
                <w:sz w:val="14"/>
                <w:szCs w:val="14"/>
                <w:color w:val="auto"/>
                <w:w w:val="85"/>
              </w:rPr>
              <w:t>Form</w:t>
            </w:r>
          </w:p>
        </w:tc>
        <w:tc>
          <w:tcPr>
            <w:tcW w:w="1220" w:type="dxa"/>
            <w:vAlign w:val="bottom"/>
            <w:vMerge w:val="restart"/>
          </w:tcPr>
          <w:p>
            <w:pPr>
              <w:jc w:val="right"/>
              <w:ind w:right="89"/>
              <w:spacing w:after="0"/>
              <w:rPr>
                <w:sz w:val="20"/>
                <w:szCs w:val="20"/>
                <w:color w:val="auto"/>
              </w:rPr>
            </w:pPr>
            <w:r>
              <w:rPr>
                <w:rFonts w:ascii="Arial" w:cs="Arial" w:eastAsia="Arial" w:hAnsi="Arial"/>
                <w:sz w:val="14"/>
                <w:szCs w:val="14"/>
                <w:color w:val="auto"/>
              </w:rPr>
              <w:t>File No.</w:t>
            </w:r>
          </w:p>
        </w:tc>
        <w:tc>
          <w:tcPr>
            <w:tcW w:w="1060" w:type="dxa"/>
            <w:vAlign w:val="bottom"/>
            <w:vMerge w:val="restart"/>
          </w:tcPr>
          <w:p>
            <w:pPr>
              <w:jc w:val="right"/>
              <w:ind w:right="189"/>
              <w:spacing w:after="0"/>
              <w:rPr>
                <w:sz w:val="20"/>
                <w:szCs w:val="20"/>
                <w:color w:val="auto"/>
              </w:rPr>
            </w:pPr>
            <w:r>
              <w:rPr>
                <w:rFonts w:ascii="Arial" w:cs="Arial" w:eastAsia="Arial" w:hAnsi="Arial"/>
                <w:sz w:val="14"/>
                <w:szCs w:val="14"/>
                <w:color w:val="auto"/>
              </w:rPr>
              <w:t>Exhibit No.</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Filing date</w:t>
            </w:r>
          </w:p>
        </w:tc>
        <w:tc>
          <w:tcPr>
            <w:tcW w:w="1040" w:type="dxa"/>
            <w:vAlign w:val="bottom"/>
          </w:tcPr>
          <w:p>
            <w:pPr>
              <w:jc w:val="right"/>
              <w:spacing w:after="0"/>
              <w:rPr>
                <w:sz w:val="20"/>
                <w:szCs w:val="20"/>
                <w:color w:val="auto"/>
              </w:rPr>
            </w:pPr>
            <w:r>
              <w:rPr>
                <w:rFonts w:ascii="Arial" w:cs="Arial" w:eastAsia="Arial" w:hAnsi="Arial"/>
                <w:sz w:val="14"/>
                <w:szCs w:val="14"/>
                <w:color w:val="auto"/>
                <w:w w:val="97"/>
              </w:rPr>
              <w:t>Filed / Furnished</w:t>
            </w:r>
          </w:p>
        </w:tc>
        <w:tc>
          <w:tcPr>
            <w:tcW w:w="0" w:type="dxa"/>
            <w:vAlign w:val="bottom"/>
          </w:tcPr>
          <w:p>
            <w:pPr>
              <w:spacing w:after="0"/>
              <w:rPr>
                <w:sz w:val="1"/>
                <w:szCs w:val="1"/>
                <w:color w:val="auto"/>
              </w:rPr>
            </w:pPr>
          </w:p>
        </w:tc>
      </w:tr>
      <w:tr>
        <w:trPr>
          <w:trHeight w:val="180"/>
        </w:trPr>
        <w:tc>
          <w:tcPr>
            <w:tcW w:w="7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12/30/2020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2/27/2018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2/27/2018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7/22/2020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3/19/2019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4.3.1</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3/19/2019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4.3.2</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3/19/2019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4.3.5</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00" w:type="dxa"/>
            <w:vAlign w:val="bottom"/>
          </w:tcPr>
          <w:p>
            <w:pPr>
              <w:jc w:val="right"/>
              <w:ind w:right="329"/>
              <w:spacing w:after="0"/>
              <w:rPr>
                <w:sz w:val="20"/>
                <w:szCs w:val="20"/>
                <w:color w:val="auto"/>
              </w:rPr>
            </w:pPr>
            <w:r>
              <w:rPr>
                <w:rFonts w:ascii="Arial" w:cs="Arial" w:eastAsia="Arial" w:hAnsi="Arial"/>
                <w:sz w:val="14"/>
                <w:szCs w:val="14"/>
                <w:color w:val="auto"/>
                <w:w w:val="97"/>
              </w:rPr>
              <w:t>20-F</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001-38067</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4.3.6</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2/27/2020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29"/>
              <w:spacing w:after="0"/>
              <w:rPr>
                <w:sz w:val="20"/>
                <w:szCs w:val="20"/>
                <w:color w:val="auto"/>
              </w:rPr>
            </w:pPr>
            <w:r>
              <w:rPr>
                <w:rFonts w:ascii="Arial" w:cs="Arial" w:eastAsia="Arial" w:hAnsi="Arial"/>
                <w:sz w:val="14"/>
                <w:szCs w:val="14"/>
                <w:color w:val="auto"/>
              </w:rPr>
              <w:t>10.4</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0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10.5</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4/3/2017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940" w:space="180"/>
            <w:col w:w="4360" w:space="720"/>
            <w:col w:w="5020"/>
          </w:cols>
          <w:pgMar w:left="300" w:top="114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144" w:right="379" w:bottom="1440" w:gutter="0" w:footer="0" w:header="0"/>
          <w:type w:val="continuous"/>
        </w:sectPr>
      </w:pPr>
    </w:p>
    <w:bookmarkStart w:id="83" w:name="page84"/>
    <w:bookmarkEnd w:id="83"/>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10.7#</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10.8#</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10.9#</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10.13#</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10.14#</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10.15</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10.18</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10.19.1</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10.19.2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10.20#</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21.1</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101.SCH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101.CAL</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101.LAB</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101.PRE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101.DEF</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 Filed herewith.</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115">
        <w:r>
          <w:rPr>
            <w:rFonts w:ascii="Arial" w:cs="Arial" w:eastAsia="Arial" w:hAnsi="Arial"/>
            <w:sz w:val="14"/>
            <w:szCs w:val="14"/>
            <w:u w:val="single" w:color="auto"/>
            <w:color w:val="0000FF"/>
          </w:rPr>
          <w:t>2017 Incentive Award Plan and forms of award agreements thereunder</w:t>
        </w:r>
      </w:hyperlink>
    </w:p>
    <w:p>
      <w:pPr>
        <w:spacing w:after="0" w:line="189" w:lineRule="exact"/>
        <w:rPr>
          <w:sz w:val="20"/>
          <w:szCs w:val="20"/>
          <w:color w:val="auto"/>
        </w:rPr>
      </w:pPr>
    </w:p>
    <w:p>
      <w:pPr>
        <w:spacing w:after="0"/>
        <w:rPr>
          <w:rFonts w:ascii="Arial" w:cs="Arial" w:eastAsia="Arial" w:hAnsi="Arial"/>
          <w:sz w:val="12"/>
          <w:szCs w:val="12"/>
          <w:u w:val="single" w:color="auto"/>
          <w:color w:val="0000FF"/>
        </w:rPr>
      </w:pPr>
      <w:hyperlink r:id="rId116">
        <w:r>
          <w:rPr>
            <w:rFonts w:ascii="Arial" w:cs="Arial" w:eastAsia="Arial" w:hAnsi="Arial"/>
            <w:sz w:val="12"/>
            <w:szCs w:val="12"/>
            <w:u w:val="single" w:color="auto"/>
            <w:color w:val="0000FF"/>
          </w:rPr>
          <w:t>Employment Agreement, dated January 28, 2020, between Verona Pharma Inc.</w:t>
        </w:r>
      </w:hyperlink>
    </w:p>
    <w:p>
      <w:pPr>
        <w:spacing w:after="0" w:line="12" w:lineRule="exact"/>
        <w:rPr>
          <w:sz w:val="20"/>
          <w:szCs w:val="20"/>
          <w:color w:val="auto"/>
        </w:rPr>
      </w:pPr>
    </w:p>
    <w:p>
      <w:pPr>
        <w:spacing w:after="0"/>
        <w:rPr>
          <w:rFonts w:ascii="Arial" w:cs="Arial" w:eastAsia="Arial" w:hAnsi="Arial"/>
          <w:sz w:val="14"/>
          <w:szCs w:val="14"/>
          <w:u w:val="single" w:color="auto"/>
          <w:color w:val="0000FF"/>
        </w:rPr>
      </w:pPr>
      <w:hyperlink r:id="rId116">
        <w:r>
          <w:rPr>
            <w:rFonts w:ascii="Arial" w:cs="Arial" w:eastAsia="Arial" w:hAnsi="Arial"/>
            <w:sz w:val="14"/>
            <w:szCs w:val="14"/>
            <w:u w:val="single" w:color="auto"/>
            <w:color w:val="0000FF"/>
          </w:rPr>
          <w:t>and David Zaccardelli, Pharm. D.</w:t>
        </w:r>
      </w:hyperlink>
    </w:p>
    <w:p>
      <w:pPr>
        <w:spacing w:after="0" w:line="177" w:lineRule="exact"/>
        <w:rPr>
          <w:sz w:val="20"/>
          <w:szCs w:val="20"/>
          <w:color w:val="auto"/>
        </w:rPr>
      </w:pPr>
    </w:p>
    <w:p>
      <w:pPr>
        <w:ind w:right="140"/>
        <w:spacing w:after="0" w:line="236" w:lineRule="auto"/>
        <w:rPr>
          <w:rFonts w:ascii="Arial" w:cs="Arial" w:eastAsia="Arial" w:hAnsi="Arial"/>
          <w:sz w:val="14"/>
          <w:szCs w:val="14"/>
          <w:u w:val="single" w:color="auto"/>
          <w:color w:val="0000FF"/>
        </w:rPr>
      </w:pPr>
      <w:hyperlink r:id="rId117">
        <w:r>
          <w:rPr>
            <w:rFonts w:ascii="Arial" w:cs="Arial" w:eastAsia="Arial" w:hAnsi="Arial"/>
            <w:sz w:val="14"/>
            <w:szCs w:val="14"/>
            <w:u w:val="single" w:color="auto"/>
            <w:color w:val="0000FF"/>
          </w:rPr>
          <w:t>Employment Agreement, dated December 21, 2019, between Verona Pharma</w:t>
        </w:r>
      </w:hyperlink>
      <w:r>
        <w:rPr>
          <w:rFonts w:ascii="Arial" w:cs="Arial" w:eastAsia="Arial" w:hAnsi="Arial"/>
          <w:sz w:val="14"/>
          <w:szCs w:val="14"/>
          <w:u w:val="single" w:color="auto"/>
          <w:color w:val="0000FF"/>
        </w:rPr>
        <w:t xml:space="preserve"> </w:t>
      </w:r>
      <w:hyperlink r:id="rId117">
        <w:r>
          <w:rPr>
            <w:rFonts w:ascii="Arial" w:cs="Arial" w:eastAsia="Arial" w:hAnsi="Arial"/>
            <w:sz w:val="14"/>
            <w:szCs w:val="14"/>
            <w:u w:val="single" w:color="auto"/>
            <w:color w:val="0000FF"/>
          </w:rPr>
          <w:t>plc and Kathleen Rickard</w:t>
        </w:r>
      </w:hyperlink>
    </w:p>
    <w:p>
      <w:pPr>
        <w:spacing w:after="0" w:line="171" w:lineRule="exact"/>
        <w:rPr>
          <w:sz w:val="20"/>
          <w:szCs w:val="20"/>
          <w:color w:val="auto"/>
        </w:rPr>
      </w:pPr>
    </w:p>
    <w:p>
      <w:pPr>
        <w:ind w:right="120"/>
        <w:spacing w:after="0" w:line="236" w:lineRule="auto"/>
        <w:rPr>
          <w:rFonts w:ascii="Arial" w:cs="Arial" w:eastAsia="Arial" w:hAnsi="Arial"/>
          <w:sz w:val="14"/>
          <w:szCs w:val="14"/>
          <w:u w:val="single" w:color="auto"/>
          <w:color w:val="0000FF"/>
        </w:rPr>
      </w:pPr>
      <w:hyperlink r:id="rId118">
        <w:r>
          <w:rPr>
            <w:rFonts w:ascii="Arial" w:cs="Arial" w:eastAsia="Arial" w:hAnsi="Arial"/>
            <w:sz w:val="14"/>
            <w:szCs w:val="14"/>
            <w:u w:val="single" w:color="auto"/>
            <w:color w:val="0000FF"/>
          </w:rPr>
          <w:t>Employment Agreement, dated October 1, 2016, between Verona Pharma plc</w:t>
        </w:r>
      </w:hyperlink>
      <w:r>
        <w:rPr>
          <w:rFonts w:ascii="Arial" w:cs="Arial" w:eastAsia="Arial" w:hAnsi="Arial"/>
          <w:sz w:val="14"/>
          <w:szCs w:val="14"/>
          <w:u w:val="single" w:color="auto"/>
          <w:color w:val="0000FF"/>
        </w:rPr>
        <w:t xml:space="preserve"> </w:t>
      </w:r>
      <w:hyperlink r:id="rId118">
        <w:r>
          <w:rPr>
            <w:rFonts w:ascii="Arial" w:cs="Arial" w:eastAsia="Arial" w:hAnsi="Arial"/>
            <w:sz w:val="14"/>
            <w:szCs w:val="14"/>
            <w:u w:val="single" w:color="auto"/>
            <w:color w:val="0000FF"/>
          </w:rPr>
          <w:t>and Claire Poll</w:t>
        </w:r>
      </w:hyperlink>
    </w:p>
    <w:p>
      <w:pPr>
        <w:spacing w:after="0" w:line="171" w:lineRule="exact"/>
        <w:rPr>
          <w:sz w:val="20"/>
          <w:szCs w:val="20"/>
          <w:color w:val="auto"/>
        </w:rPr>
      </w:pPr>
    </w:p>
    <w:p>
      <w:pPr>
        <w:ind w:right="20"/>
        <w:spacing w:after="0" w:line="236" w:lineRule="auto"/>
        <w:rPr>
          <w:rFonts w:ascii="Arial" w:cs="Arial" w:eastAsia="Arial" w:hAnsi="Arial"/>
          <w:sz w:val="14"/>
          <w:szCs w:val="14"/>
          <w:u w:val="single" w:color="auto"/>
          <w:color w:val="0000FF"/>
        </w:rPr>
      </w:pPr>
      <w:hyperlink r:id="rId119">
        <w:r>
          <w:rPr>
            <w:rFonts w:ascii="Arial" w:cs="Arial" w:eastAsia="Arial" w:hAnsi="Arial"/>
            <w:sz w:val="14"/>
            <w:szCs w:val="14"/>
            <w:u w:val="single" w:color="auto"/>
            <w:color w:val="0000FF"/>
          </w:rPr>
          <w:t>Employment Agreement, dated February 1, 2020, between Verona Pharma Inc.</w:t>
        </w:r>
      </w:hyperlink>
      <w:r>
        <w:rPr>
          <w:rFonts w:ascii="Arial" w:cs="Arial" w:eastAsia="Arial" w:hAnsi="Arial"/>
          <w:sz w:val="14"/>
          <w:szCs w:val="14"/>
          <w:u w:val="single" w:color="auto"/>
          <w:color w:val="0000FF"/>
        </w:rPr>
        <w:t xml:space="preserve"> </w:t>
      </w:r>
      <w:hyperlink r:id="rId119">
        <w:r>
          <w:rPr>
            <w:rFonts w:ascii="Arial" w:cs="Arial" w:eastAsia="Arial" w:hAnsi="Arial"/>
            <w:sz w:val="14"/>
            <w:szCs w:val="14"/>
            <w:u w:val="single" w:color="auto"/>
            <w:color w:val="0000FF"/>
          </w:rPr>
          <w:t>and Mark Hahn</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Form of Indemnification Agreement for board members</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r:id="rId121">
        <w:r>
          <w:rPr>
            <w:rFonts w:ascii="Arial" w:cs="Arial" w:eastAsia="Arial" w:hAnsi="Arial"/>
            <w:sz w:val="14"/>
            <w:szCs w:val="14"/>
            <w:u w:val="single" w:color="auto"/>
            <w:color w:val="0000FF"/>
          </w:rPr>
          <w:t>Form of Indemnification Agreement for executive officers</w:t>
        </w:r>
      </w:hyperlink>
    </w:p>
    <w:p>
      <w:pPr>
        <w:spacing w:after="0" w:line="189" w:lineRule="exact"/>
        <w:rPr>
          <w:sz w:val="20"/>
          <w:szCs w:val="20"/>
          <w:color w:val="auto"/>
        </w:rPr>
      </w:pPr>
    </w:p>
    <w:p>
      <w:pPr>
        <w:spacing w:after="0" w:line="226" w:lineRule="auto"/>
        <w:rPr>
          <w:rFonts w:ascii="Arial" w:cs="Arial" w:eastAsia="Arial" w:hAnsi="Arial"/>
          <w:sz w:val="14"/>
          <w:szCs w:val="14"/>
          <w:u w:val="single" w:color="auto"/>
          <w:color w:val="0000FF"/>
        </w:rPr>
      </w:pPr>
      <w:hyperlink r:id="rId122">
        <w:r>
          <w:rPr>
            <w:rFonts w:ascii="Arial" w:cs="Arial" w:eastAsia="Arial" w:hAnsi="Arial"/>
            <w:sz w:val="14"/>
            <w:szCs w:val="14"/>
            <w:u w:val="single" w:color="auto"/>
            <w:color w:val="0000FF"/>
          </w:rPr>
          <w:t>Relationship Agreement relating to Verona Pharma plc, dated July 29, 2016, by</w:t>
        </w:r>
      </w:hyperlink>
      <w:r>
        <w:rPr>
          <w:rFonts w:ascii="Arial" w:cs="Arial" w:eastAsia="Arial" w:hAnsi="Arial"/>
          <w:sz w:val="14"/>
          <w:szCs w:val="14"/>
          <w:u w:val="single" w:color="auto"/>
          <w:color w:val="0000FF"/>
        </w:rPr>
        <w:t xml:space="preserve"> </w:t>
      </w:r>
      <w:hyperlink r:id="rId122">
        <w:r>
          <w:rPr>
            <w:rFonts w:ascii="Arial" w:cs="Arial" w:eastAsia="Arial" w:hAnsi="Arial"/>
            <w:sz w:val="14"/>
            <w:szCs w:val="14"/>
            <w:u w:val="single" w:color="auto"/>
            <w:color w:val="0000FF"/>
          </w:rPr>
          <w:t>and among the Verona Pharma plc, OrbiMed Private Investments VI, LP and</w:t>
        </w:r>
      </w:hyperlink>
      <w:r>
        <w:rPr>
          <w:rFonts w:ascii="Arial" w:cs="Arial" w:eastAsia="Arial" w:hAnsi="Arial"/>
          <w:sz w:val="14"/>
          <w:szCs w:val="14"/>
          <w:u w:val="single" w:color="auto"/>
          <w:color w:val="0000FF"/>
        </w:rPr>
        <w:t xml:space="preserve"> </w:t>
      </w:r>
      <w:hyperlink r:id="rId122">
        <w:r>
          <w:rPr>
            <w:rFonts w:ascii="Arial" w:cs="Arial" w:eastAsia="Arial" w:hAnsi="Arial"/>
            <w:sz w:val="14"/>
            <w:szCs w:val="14"/>
            <w:u w:val="single" w:color="auto"/>
            <w:color w:val="0000FF"/>
          </w:rPr>
          <w:t>NPlus1 Singer Advisory LLP</w:t>
        </w:r>
      </w:hyperlink>
    </w:p>
    <w:p>
      <w:pPr>
        <w:spacing w:after="0" w:line="171" w:lineRule="exact"/>
        <w:rPr>
          <w:rFonts w:ascii="Arial" w:cs="Arial" w:eastAsia="Arial" w:hAnsi="Arial"/>
          <w:sz w:val="14"/>
          <w:szCs w:val="14"/>
          <w:u w:val="single" w:color="auto"/>
          <w:color w:val="0000FF"/>
        </w:rPr>
      </w:pPr>
    </w:p>
    <w:p>
      <w:pPr>
        <w:jc w:val="both"/>
        <w:spacing w:after="0" w:line="226" w:lineRule="auto"/>
        <w:rPr>
          <w:rFonts w:ascii="Arial" w:cs="Arial" w:eastAsia="Arial" w:hAnsi="Arial"/>
          <w:sz w:val="14"/>
          <w:szCs w:val="14"/>
          <w:u w:val="single" w:color="auto"/>
          <w:color w:val="0000FF"/>
        </w:rPr>
      </w:pPr>
      <w:hyperlink r:id="rId123">
        <w:r>
          <w:rPr>
            <w:rFonts w:ascii="Arial" w:cs="Arial" w:eastAsia="Arial" w:hAnsi="Arial"/>
            <w:sz w:val="14"/>
            <w:szCs w:val="14"/>
            <w:u w:val="single" w:color="auto"/>
            <w:color w:val="0000FF"/>
          </w:rPr>
          <w:t>Relationship Agreement relating to Verona Pharma plc, dated July 29, 2016, by</w:t>
        </w:r>
      </w:hyperlink>
      <w:r>
        <w:rPr>
          <w:rFonts w:ascii="Arial" w:cs="Arial" w:eastAsia="Arial" w:hAnsi="Arial"/>
          <w:sz w:val="14"/>
          <w:szCs w:val="14"/>
          <w:u w:val="single" w:color="auto"/>
          <w:color w:val="0000FF"/>
        </w:rPr>
        <w:t xml:space="preserve"> </w:t>
      </w:r>
      <w:hyperlink r:id="rId123">
        <w:r>
          <w:rPr>
            <w:rFonts w:ascii="Arial" w:cs="Arial" w:eastAsia="Arial" w:hAnsi="Arial"/>
            <w:sz w:val="14"/>
            <w:szCs w:val="14"/>
            <w:u w:val="single" w:color="auto"/>
            <w:color w:val="0000FF"/>
          </w:rPr>
          <w:t>and among the Verona Pharma plc, Abingworth Bioventures VI LP and NPlus1</w:t>
        </w:r>
      </w:hyperlink>
      <w:r>
        <w:rPr>
          <w:rFonts w:ascii="Arial" w:cs="Arial" w:eastAsia="Arial" w:hAnsi="Arial"/>
          <w:sz w:val="14"/>
          <w:szCs w:val="14"/>
          <w:u w:val="single" w:color="auto"/>
          <w:color w:val="0000FF"/>
        </w:rPr>
        <w:t xml:space="preserve"> </w:t>
      </w:r>
      <w:hyperlink r:id="rId123">
        <w:r>
          <w:rPr>
            <w:rFonts w:ascii="Arial" w:cs="Arial" w:eastAsia="Arial" w:hAnsi="Arial"/>
            <w:sz w:val="14"/>
            <w:szCs w:val="14"/>
            <w:u w:val="single" w:color="auto"/>
            <w:color w:val="0000FF"/>
          </w:rPr>
          <w:t>Singer Advisory LLP</w:t>
        </w:r>
      </w:hyperlink>
    </w:p>
    <w:p>
      <w:pPr>
        <w:spacing w:after="0" w:line="171" w:lineRule="exact"/>
        <w:rPr>
          <w:rFonts w:ascii="Arial" w:cs="Arial" w:eastAsia="Arial" w:hAnsi="Arial"/>
          <w:sz w:val="14"/>
          <w:szCs w:val="14"/>
          <w:u w:val="single" w:color="auto"/>
          <w:color w:val="0000FF"/>
        </w:rPr>
      </w:pPr>
    </w:p>
    <w:p>
      <w:pPr>
        <w:spacing w:after="0" w:line="238" w:lineRule="auto"/>
        <w:rPr>
          <w:rFonts w:ascii="Arial" w:cs="Arial" w:eastAsia="Arial" w:hAnsi="Arial"/>
          <w:sz w:val="13"/>
          <w:szCs w:val="13"/>
          <w:u w:val="single" w:color="auto"/>
          <w:color w:val="0000FF"/>
        </w:rPr>
      </w:pPr>
      <w:hyperlink r:id="rId124">
        <w:r>
          <w:rPr>
            <w:rFonts w:ascii="Arial" w:cs="Arial" w:eastAsia="Arial" w:hAnsi="Arial"/>
            <w:sz w:val="13"/>
            <w:szCs w:val="13"/>
            <w:u w:val="single" w:color="auto"/>
            <w:color w:val="0000FF"/>
          </w:rPr>
          <w:t>Relationship Agreement relating to Verona Pharma plc, dated July 29, 2016, by</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and among the Verona Pharma plc, Vivo Ventures Fund VII, L.P., Vivo</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Ventures VII Affiliates Fund, L.P., Vivo Ventures Fund VI, L.P., Vivo Ventures</w:t>
        </w:r>
      </w:hyperlink>
      <w:r>
        <w:rPr>
          <w:rFonts w:ascii="Arial" w:cs="Arial" w:eastAsia="Arial" w:hAnsi="Arial"/>
          <w:sz w:val="13"/>
          <w:szCs w:val="13"/>
          <w:u w:val="single" w:color="auto"/>
          <w:color w:val="0000FF"/>
        </w:rPr>
        <w:t xml:space="preserve"> </w:t>
      </w:r>
      <w:hyperlink r:id="rId124">
        <w:r>
          <w:rPr>
            <w:rFonts w:ascii="Arial" w:cs="Arial" w:eastAsia="Arial" w:hAnsi="Arial"/>
            <w:sz w:val="13"/>
            <w:szCs w:val="13"/>
            <w:u w:val="single" w:color="auto"/>
            <w:color w:val="0000FF"/>
          </w:rPr>
          <w:t>VI Affiliates Fund, L.P. and NPlus1 Singer Advisory LLP</w:t>
        </w:r>
      </w:hyperlink>
    </w:p>
    <w:p>
      <w:pPr>
        <w:spacing w:after="0" w:line="171" w:lineRule="exact"/>
        <w:rPr>
          <w:rFonts w:ascii="Arial" w:cs="Arial" w:eastAsia="Arial" w:hAnsi="Arial"/>
          <w:sz w:val="13"/>
          <w:szCs w:val="13"/>
          <w:u w:val="single" w:color="auto"/>
          <w:color w:val="0000FF"/>
        </w:rPr>
      </w:pPr>
    </w:p>
    <w:p>
      <w:pPr>
        <w:spacing w:after="0" w:line="238" w:lineRule="auto"/>
        <w:rPr>
          <w:rFonts w:ascii="Arial" w:cs="Arial" w:eastAsia="Arial" w:hAnsi="Arial"/>
          <w:sz w:val="13"/>
          <w:szCs w:val="13"/>
          <w:u w:val="single" w:color="auto"/>
          <w:color w:val="0000FF"/>
        </w:rPr>
      </w:pPr>
      <w:hyperlink r:id="rId125">
        <w:r>
          <w:rPr>
            <w:rFonts w:ascii="Arial" w:cs="Arial" w:eastAsia="Arial" w:hAnsi="Arial"/>
            <w:sz w:val="13"/>
            <w:szCs w:val="13"/>
            <w:u w:val="single" w:color="auto"/>
            <w:color w:val="0000FF"/>
          </w:rPr>
          <w:t>Relationship Agreement relating to Verona Pharma plc, dated July 29, 2016, by</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and among the Verona Pharma plc, Vivo Ventures Fund VII, L.P., Vivo</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Ventures VII Affiliates Fund, L.P., Vivo Ventures Fund VI, L.P., Vivo Ventures</w:t>
        </w:r>
      </w:hyperlink>
      <w:r>
        <w:rPr>
          <w:rFonts w:ascii="Arial" w:cs="Arial" w:eastAsia="Arial" w:hAnsi="Arial"/>
          <w:sz w:val="13"/>
          <w:szCs w:val="13"/>
          <w:u w:val="single" w:color="auto"/>
          <w:color w:val="0000FF"/>
        </w:rPr>
        <w:t xml:space="preserve"> </w:t>
      </w:r>
      <w:hyperlink r:id="rId125">
        <w:r>
          <w:rPr>
            <w:rFonts w:ascii="Arial" w:cs="Arial" w:eastAsia="Arial" w:hAnsi="Arial"/>
            <w:sz w:val="13"/>
            <w:szCs w:val="13"/>
            <w:u w:val="single" w:color="auto"/>
            <w:color w:val="0000FF"/>
          </w:rPr>
          <w:t>VI Affiliates Fund, L.P. and NPlus1 Singer Advisory LLP</w:t>
        </w:r>
      </w:hyperlink>
    </w:p>
    <w:p>
      <w:pPr>
        <w:spacing w:after="0" w:line="171" w:lineRule="exact"/>
        <w:rPr>
          <w:rFonts w:ascii="Arial" w:cs="Arial" w:eastAsia="Arial" w:hAnsi="Arial"/>
          <w:sz w:val="13"/>
          <w:szCs w:val="13"/>
          <w:u w:val="single" w:color="auto"/>
          <w:color w:val="0000FF"/>
        </w:rPr>
      </w:pPr>
    </w:p>
    <w:p>
      <w:pPr>
        <w:ind w:right="80"/>
        <w:spacing w:after="0" w:line="270" w:lineRule="auto"/>
        <w:rPr>
          <w:rFonts w:ascii="Arial" w:cs="Arial" w:eastAsia="Arial" w:hAnsi="Arial"/>
          <w:sz w:val="13"/>
          <w:szCs w:val="13"/>
          <w:u w:val="single" w:color="auto"/>
          <w:color w:val="0000FF"/>
        </w:rPr>
      </w:pPr>
      <w:hyperlink r:id="rId126">
        <w:r>
          <w:rPr>
            <w:rFonts w:ascii="Arial" w:cs="Arial" w:eastAsia="Arial" w:hAnsi="Arial"/>
            <w:sz w:val="13"/>
            <w:szCs w:val="13"/>
            <w:u w:val="single" w:color="auto"/>
            <w:color w:val="0000FF"/>
          </w:rPr>
          <w:t>Loan and Security Agreement, dated as of November 19, 2020, by and among</w:t>
        </w:r>
      </w:hyperlink>
      <w:r>
        <w:rPr>
          <w:rFonts w:ascii="Arial" w:cs="Arial" w:eastAsia="Arial" w:hAnsi="Arial"/>
          <w:sz w:val="13"/>
          <w:szCs w:val="13"/>
          <w:u w:val="single" w:color="auto"/>
          <w:color w:val="0000FF"/>
        </w:rPr>
        <w:t xml:space="preserve"> </w:t>
      </w:r>
      <w:hyperlink r:id="rId126">
        <w:r>
          <w:rPr>
            <w:rFonts w:ascii="Arial" w:cs="Arial" w:eastAsia="Arial" w:hAnsi="Arial"/>
            <w:sz w:val="13"/>
            <w:szCs w:val="13"/>
            <w:u w:val="single" w:color="auto"/>
            <w:color w:val="0000FF"/>
          </w:rPr>
          <w:t>Silicon Valley Bank, Verona Pharma plc and Verona Pharma, Inc.</w:t>
        </w:r>
      </w:hyperlink>
    </w:p>
    <w:p>
      <w:pPr>
        <w:spacing w:after="0" w:line="152" w:lineRule="exact"/>
        <w:rPr>
          <w:sz w:val="20"/>
          <w:szCs w:val="20"/>
          <w:color w:val="auto"/>
        </w:rPr>
      </w:pPr>
    </w:p>
    <w:p>
      <w:pPr>
        <w:ind w:right="100"/>
        <w:spacing w:after="0" w:line="226" w:lineRule="auto"/>
        <w:rPr>
          <w:rFonts w:ascii="Arial" w:cs="Arial" w:eastAsia="Arial" w:hAnsi="Arial"/>
          <w:sz w:val="14"/>
          <w:szCs w:val="14"/>
          <w:u w:val="single" w:color="auto"/>
          <w:color w:val="0000FF"/>
        </w:rPr>
      </w:pPr>
      <w:hyperlink w:anchor="page148">
        <w:r>
          <w:rPr>
            <w:rFonts w:ascii="Arial" w:cs="Arial" w:eastAsia="Arial" w:hAnsi="Arial"/>
            <w:sz w:val="14"/>
            <w:szCs w:val="14"/>
            <w:u w:val="single" w:color="auto"/>
            <w:color w:val="0000FF"/>
          </w:rPr>
          <w:t>First Amendment to Loan and Security Agreement, dated as of November 19,</w:t>
        </w:r>
      </w:hyperlink>
      <w:r>
        <w:rPr>
          <w:rFonts w:ascii="Arial" w:cs="Arial" w:eastAsia="Arial" w:hAnsi="Arial"/>
          <w:sz w:val="14"/>
          <w:szCs w:val="14"/>
          <w:u w:val="single" w:color="auto"/>
          <w:color w:val="0000FF"/>
        </w:rPr>
        <w:t xml:space="preserve"> </w:t>
      </w:r>
      <w:hyperlink w:anchor="page148">
        <w:r>
          <w:rPr>
            <w:rFonts w:ascii="Arial" w:cs="Arial" w:eastAsia="Arial" w:hAnsi="Arial"/>
            <w:sz w:val="14"/>
            <w:szCs w:val="14"/>
            <w:u w:val="single" w:color="auto"/>
            <w:color w:val="0000FF"/>
          </w:rPr>
          <w:t>2020, by and among Silicon Valley Bank, Verona Pharma plc and Verona</w:t>
        </w:r>
      </w:hyperlink>
      <w:r>
        <w:rPr>
          <w:rFonts w:ascii="Arial" w:cs="Arial" w:eastAsia="Arial" w:hAnsi="Arial"/>
          <w:sz w:val="14"/>
          <w:szCs w:val="14"/>
          <w:u w:val="single" w:color="auto"/>
          <w:color w:val="0000FF"/>
        </w:rPr>
        <w:t xml:space="preserve"> </w:t>
      </w:r>
      <w:hyperlink w:anchor="page148">
        <w:r>
          <w:rPr>
            <w:rFonts w:ascii="Arial" w:cs="Arial" w:eastAsia="Arial" w:hAnsi="Arial"/>
            <w:sz w:val="14"/>
            <w:szCs w:val="14"/>
            <w:u w:val="single" w:color="auto"/>
            <w:color w:val="0000FF"/>
          </w:rPr>
          <w:t>Pharma, Inc.</w:t>
        </w:r>
      </w:hyperlink>
    </w:p>
    <w:p>
      <w:pPr>
        <w:spacing w:after="0" w:line="171"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Form of Non-Executive Director letter of appointment</w:t>
        </w:r>
      </w:hyperlink>
    </w:p>
    <w:p>
      <w:pPr>
        <w:spacing w:after="0" w:line="189"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27">
        <w:r>
          <w:rPr>
            <w:rFonts w:ascii="Arial" w:cs="Arial" w:eastAsia="Arial" w:hAnsi="Arial"/>
            <w:sz w:val="14"/>
            <w:szCs w:val="14"/>
            <w:u w:val="single" w:color="auto"/>
            <w:color w:val="0000FF"/>
          </w:rPr>
          <w:t>List of Subsidiaries of Verona Pharma plc</w:t>
        </w:r>
      </w:hyperlink>
    </w:p>
    <w:p>
      <w:pPr>
        <w:spacing w:after="0" w:line="189" w:lineRule="exact"/>
        <w:rPr>
          <w:rFonts w:ascii="Arial" w:cs="Arial" w:eastAsia="Arial" w:hAnsi="Arial"/>
          <w:sz w:val="14"/>
          <w:szCs w:val="14"/>
          <w:u w:val="single" w:color="auto"/>
          <w:color w:val="0000FF"/>
        </w:rPr>
      </w:pPr>
    </w:p>
    <w:p>
      <w:pPr>
        <w:ind w:right="360"/>
        <w:spacing w:after="0" w:line="236" w:lineRule="auto"/>
        <w:rPr>
          <w:rFonts w:ascii="Arial" w:cs="Arial" w:eastAsia="Arial" w:hAnsi="Arial"/>
          <w:sz w:val="14"/>
          <w:szCs w:val="14"/>
          <w:u w:val="single" w:color="auto"/>
          <w:color w:val="0000FF"/>
        </w:rPr>
      </w:pPr>
      <w:hyperlink w:anchor="page154">
        <w:r>
          <w:rPr>
            <w:rFonts w:ascii="Arial" w:cs="Arial" w:eastAsia="Arial" w:hAnsi="Arial"/>
            <w:sz w:val="14"/>
            <w:szCs w:val="14"/>
            <w:u w:val="single" w:color="auto"/>
            <w:color w:val="0000FF"/>
          </w:rPr>
          <w:t>Consent of PricewaterhouseCoopers LLP, Independent Registered Public</w:t>
        </w:r>
      </w:hyperlink>
      <w:r>
        <w:rPr>
          <w:rFonts w:ascii="Arial" w:cs="Arial" w:eastAsia="Arial" w:hAnsi="Arial"/>
          <w:sz w:val="14"/>
          <w:szCs w:val="14"/>
          <w:u w:val="single" w:color="auto"/>
          <w:color w:val="0000FF"/>
        </w:rPr>
        <w:t xml:space="preserve"> </w:t>
      </w:r>
      <w:hyperlink w:anchor="page154">
        <w:r>
          <w:rPr>
            <w:rFonts w:ascii="Arial" w:cs="Arial" w:eastAsia="Arial" w:hAnsi="Arial"/>
            <w:sz w:val="14"/>
            <w:szCs w:val="14"/>
            <w:u w:val="single" w:color="auto"/>
            <w:color w:val="0000FF"/>
          </w:rPr>
          <w:t>Accounting Firm</w:t>
        </w:r>
      </w:hyperlink>
    </w:p>
    <w:p>
      <w:pPr>
        <w:spacing w:after="0" w:line="171" w:lineRule="exact"/>
        <w:rPr>
          <w:sz w:val="20"/>
          <w:szCs w:val="20"/>
          <w:color w:val="auto"/>
        </w:rPr>
      </w:pPr>
    </w:p>
    <w:p>
      <w:pPr>
        <w:spacing w:after="0"/>
        <w:rPr>
          <w:rFonts w:ascii="Arial" w:cs="Arial" w:eastAsia="Arial" w:hAnsi="Arial"/>
          <w:sz w:val="14"/>
          <w:szCs w:val="14"/>
          <w:u w:val="single" w:color="auto"/>
          <w:color w:val="0000FF"/>
        </w:rPr>
      </w:pPr>
      <w:hyperlink w:anchor="page155">
        <w:r>
          <w:rPr>
            <w:rFonts w:ascii="Arial" w:cs="Arial" w:eastAsia="Arial" w:hAnsi="Arial"/>
            <w:sz w:val="14"/>
            <w:szCs w:val="14"/>
            <w:u w:val="single" w:color="auto"/>
            <w:color w:val="0000FF"/>
          </w:rPr>
          <w:t>Rule 13a-14(a)/15d-14(a) Certification of Chief Executive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56">
        <w:r>
          <w:rPr>
            <w:rFonts w:ascii="Arial" w:cs="Arial" w:eastAsia="Arial" w:hAnsi="Arial"/>
            <w:sz w:val="14"/>
            <w:szCs w:val="14"/>
            <w:u w:val="single" w:color="auto"/>
            <w:color w:val="0000FF"/>
          </w:rPr>
          <w:t>Rule 13a-14(a)/15d-14(a) Certification of Chief Financial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57">
        <w:r>
          <w:rPr>
            <w:rFonts w:ascii="Arial" w:cs="Arial" w:eastAsia="Arial" w:hAnsi="Arial"/>
            <w:sz w:val="14"/>
            <w:szCs w:val="14"/>
            <w:u w:val="single" w:color="auto"/>
            <w:color w:val="0000FF"/>
          </w:rPr>
          <w:t>Section 1350 Certification of Chief Executive Officer</w:t>
        </w:r>
      </w:hyperlink>
    </w:p>
    <w:p>
      <w:pPr>
        <w:spacing w:after="0" w:line="189" w:lineRule="exact"/>
        <w:rPr>
          <w:sz w:val="20"/>
          <w:szCs w:val="20"/>
          <w:color w:val="auto"/>
        </w:rPr>
      </w:pPr>
    </w:p>
    <w:p>
      <w:pPr>
        <w:spacing w:after="0"/>
        <w:rPr>
          <w:rFonts w:ascii="Arial" w:cs="Arial" w:eastAsia="Arial" w:hAnsi="Arial"/>
          <w:sz w:val="14"/>
          <w:szCs w:val="14"/>
          <w:u w:val="single" w:color="auto"/>
          <w:color w:val="0000FF"/>
        </w:rPr>
      </w:pPr>
      <w:hyperlink w:anchor="page158">
        <w:r>
          <w:rPr>
            <w:rFonts w:ascii="Arial" w:cs="Arial" w:eastAsia="Arial" w:hAnsi="Arial"/>
            <w:sz w:val="14"/>
            <w:szCs w:val="14"/>
            <w:u w:val="single" w:color="auto"/>
            <w:color w:val="0000FF"/>
          </w:rPr>
          <w:t>Section 1350 Certification of Chief Financial Officer</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19" w:lineRule="exact"/>
        <w:rPr>
          <w:sz w:val="20"/>
          <w:szCs w:val="20"/>
          <w:color w:val="auto"/>
        </w:rPr>
      </w:pPr>
    </w:p>
    <w:p>
      <w:pPr>
        <w:ind w:right="960"/>
        <w:spacing w:after="0" w:line="305" w:lineRule="auto"/>
        <w:rPr>
          <w:sz w:val="20"/>
          <w:szCs w:val="20"/>
          <w:color w:val="auto"/>
        </w:rPr>
      </w:pPr>
      <w:r>
        <w:rPr>
          <w:rFonts w:ascii="Arial" w:cs="Arial" w:eastAsia="Arial" w:hAnsi="Arial"/>
          <w:sz w:val="13"/>
          <w:szCs w:val="13"/>
          <w:color w:val="auto"/>
        </w:rPr>
        <w:t>XBRL Taxonomy Extension Calculation Linkbase Document XBRL Taxonomy Extension Label Linkbase Document XBRL Taxonomy Extension Presentation Linkbase Document XBRL Taxonomy Extension Definition Linkbase Document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001-38067</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4.6</w:t>
            </w:r>
          </w:p>
        </w:tc>
        <w:tc>
          <w:tcPr>
            <w:tcW w:w="900" w:type="dxa"/>
            <w:vAlign w:val="bottom"/>
          </w:tcPr>
          <w:p>
            <w:pPr>
              <w:jc w:val="right"/>
              <w:spacing w:after="0"/>
              <w:rPr>
                <w:sz w:val="20"/>
                <w:szCs w:val="20"/>
                <w:color w:val="auto"/>
              </w:rPr>
            </w:pPr>
            <w:r>
              <w:rPr>
                <w:rFonts w:ascii="Arial" w:cs="Arial" w:eastAsia="Arial" w:hAnsi="Arial"/>
                <w:sz w:val="14"/>
                <w:szCs w:val="14"/>
                <w:color w:val="auto"/>
              </w:rPr>
              <w:t>2/27/2018</w:t>
            </w: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001-38067</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4.7</w:t>
            </w:r>
          </w:p>
        </w:tc>
        <w:tc>
          <w:tcPr>
            <w:tcW w:w="900" w:type="dxa"/>
            <w:vAlign w:val="bottom"/>
          </w:tcPr>
          <w:p>
            <w:pPr>
              <w:jc w:val="right"/>
              <w:spacing w:after="0"/>
              <w:rPr>
                <w:sz w:val="20"/>
                <w:szCs w:val="20"/>
                <w:color w:val="auto"/>
              </w:rPr>
            </w:pPr>
            <w:r>
              <w:rPr>
                <w:rFonts w:ascii="Arial" w:cs="Arial" w:eastAsia="Arial" w:hAnsi="Arial"/>
                <w:sz w:val="14"/>
                <w:szCs w:val="14"/>
                <w:color w:val="auto"/>
              </w:rPr>
              <w:t>2/27/2020</w:t>
            </w: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20-F</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001-38067</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4.8</w:t>
            </w:r>
          </w:p>
        </w:tc>
        <w:tc>
          <w:tcPr>
            <w:tcW w:w="900" w:type="dxa"/>
            <w:vAlign w:val="bottom"/>
          </w:tcPr>
          <w:p>
            <w:pPr>
              <w:jc w:val="right"/>
              <w:spacing w:after="0"/>
              <w:rPr>
                <w:sz w:val="20"/>
                <w:szCs w:val="20"/>
                <w:color w:val="auto"/>
              </w:rPr>
            </w:pPr>
            <w:r>
              <w:rPr>
                <w:rFonts w:ascii="Arial" w:cs="Arial" w:eastAsia="Arial" w:hAnsi="Arial"/>
                <w:sz w:val="14"/>
                <w:szCs w:val="14"/>
                <w:color w:val="auto"/>
              </w:rPr>
              <w:t>3/19/2019</w:t>
            </w: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10.9</w:t>
            </w:r>
          </w:p>
        </w:tc>
        <w:tc>
          <w:tcPr>
            <w:tcW w:w="900" w:type="dxa"/>
            <w:vAlign w:val="bottom"/>
          </w:tcPr>
          <w:p>
            <w:pPr>
              <w:jc w:val="right"/>
              <w:spacing w:after="0"/>
              <w:rPr>
                <w:sz w:val="20"/>
                <w:szCs w:val="20"/>
                <w:color w:val="auto"/>
              </w:rPr>
            </w:pPr>
            <w:r>
              <w:rPr>
                <w:rFonts w:ascii="Arial" w:cs="Arial" w:eastAsia="Arial" w:hAnsi="Arial"/>
                <w:sz w:val="14"/>
                <w:szCs w:val="14"/>
                <w:color w:val="auto"/>
              </w:rPr>
              <w:t>4/3/2017</w:t>
            </w: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333-247928</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10.12</w:t>
            </w:r>
          </w:p>
        </w:tc>
        <w:tc>
          <w:tcPr>
            <w:tcW w:w="900" w:type="dxa"/>
            <w:vAlign w:val="bottom"/>
          </w:tcPr>
          <w:p>
            <w:pPr>
              <w:jc w:val="right"/>
              <w:spacing w:after="0"/>
              <w:rPr>
                <w:sz w:val="20"/>
                <w:szCs w:val="20"/>
                <w:color w:val="auto"/>
              </w:rPr>
            </w:pPr>
            <w:r>
              <w:rPr>
                <w:rFonts w:ascii="Arial" w:cs="Arial" w:eastAsia="Arial" w:hAnsi="Arial"/>
                <w:sz w:val="14"/>
                <w:szCs w:val="14"/>
                <w:color w:val="auto"/>
              </w:rPr>
              <w:t>8/17/2020</w:t>
            </w: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w w:val="93"/>
              </w:rPr>
              <w:t>F-1/A</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10.11.1</w:t>
            </w:r>
          </w:p>
        </w:tc>
        <w:tc>
          <w:tcPr>
            <w:tcW w:w="900" w:type="dxa"/>
            <w:vAlign w:val="bottom"/>
          </w:tcPr>
          <w:p>
            <w:pPr>
              <w:jc w:val="right"/>
              <w:spacing w:after="0"/>
              <w:rPr>
                <w:sz w:val="20"/>
                <w:szCs w:val="20"/>
                <w:color w:val="auto"/>
              </w:rPr>
            </w:pPr>
            <w:r>
              <w:rPr>
                <w:rFonts w:ascii="Arial" w:cs="Arial" w:eastAsia="Arial" w:hAnsi="Arial"/>
                <w:sz w:val="14"/>
                <w:szCs w:val="14"/>
                <w:color w:val="auto"/>
              </w:rPr>
              <w:t>4/18/2017</w:t>
            </w:r>
          </w:p>
        </w:tc>
      </w:tr>
      <w:tr>
        <w:trPr>
          <w:trHeight w:val="350"/>
        </w:trPr>
        <w:tc>
          <w:tcPr>
            <w:tcW w:w="740" w:type="dxa"/>
            <w:vAlign w:val="bottom"/>
          </w:tcPr>
          <w:p>
            <w:pPr>
              <w:jc w:val="right"/>
              <w:ind w:right="329"/>
              <w:spacing w:after="0"/>
              <w:rPr>
                <w:sz w:val="20"/>
                <w:szCs w:val="20"/>
                <w:color w:val="auto"/>
              </w:rPr>
            </w:pPr>
            <w:r>
              <w:rPr>
                <w:rFonts w:ascii="Arial" w:cs="Arial" w:eastAsia="Arial" w:hAnsi="Arial"/>
                <w:sz w:val="14"/>
                <w:szCs w:val="14"/>
                <w:color w:val="auto"/>
                <w:w w:val="93"/>
              </w:rPr>
              <w:t>F-1/A</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10.11.2</w:t>
            </w:r>
          </w:p>
        </w:tc>
        <w:tc>
          <w:tcPr>
            <w:tcW w:w="900" w:type="dxa"/>
            <w:vAlign w:val="bottom"/>
          </w:tcPr>
          <w:p>
            <w:pPr>
              <w:jc w:val="right"/>
              <w:spacing w:after="0"/>
              <w:rPr>
                <w:sz w:val="20"/>
                <w:szCs w:val="20"/>
                <w:color w:val="auto"/>
              </w:rPr>
            </w:pPr>
            <w:r>
              <w:rPr>
                <w:rFonts w:ascii="Arial" w:cs="Arial" w:eastAsia="Arial" w:hAnsi="Arial"/>
                <w:sz w:val="14"/>
                <w:szCs w:val="14"/>
                <w:color w:val="auto"/>
              </w:rPr>
              <w:t>4/18/2017</w:t>
            </w: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10.12</w:t>
            </w:r>
          </w:p>
        </w:tc>
        <w:tc>
          <w:tcPr>
            <w:tcW w:w="900" w:type="dxa"/>
            <w:vAlign w:val="bottom"/>
          </w:tcPr>
          <w:p>
            <w:pPr>
              <w:jc w:val="right"/>
              <w:spacing w:after="0"/>
              <w:rPr>
                <w:sz w:val="20"/>
                <w:szCs w:val="20"/>
                <w:color w:val="auto"/>
              </w:rPr>
            </w:pPr>
            <w:r>
              <w:rPr>
                <w:rFonts w:ascii="Arial" w:cs="Arial" w:eastAsia="Arial" w:hAnsi="Arial"/>
                <w:sz w:val="14"/>
                <w:szCs w:val="14"/>
                <w:color w:val="auto"/>
              </w:rPr>
              <w:t>4/3/2017</w:t>
            </w:r>
          </w:p>
        </w:tc>
      </w:tr>
      <w:tr>
        <w:trPr>
          <w:trHeight w:val="626"/>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10.13</w:t>
            </w:r>
          </w:p>
        </w:tc>
        <w:tc>
          <w:tcPr>
            <w:tcW w:w="900" w:type="dxa"/>
            <w:vAlign w:val="bottom"/>
          </w:tcPr>
          <w:p>
            <w:pPr>
              <w:jc w:val="right"/>
              <w:spacing w:after="0"/>
              <w:rPr>
                <w:sz w:val="20"/>
                <w:szCs w:val="20"/>
                <w:color w:val="auto"/>
              </w:rPr>
            </w:pPr>
            <w:r>
              <w:rPr>
                <w:rFonts w:ascii="Arial" w:cs="Arial" w:eastAsia="Arial" w:hAnsi="Arial"/>
                <w:sz w:val="14"/>
                <w:szCs w:val="14"/>
                <w:color w:val="auto"/>
              </w:rPr>
              <w:t>4/3/2017</w:t>
            </w:r>
          </w:p>
        </w:tc>
      </w:tr>
      <w:tr>
        <w:trPr>
          <w:trHeight w:val="764"/>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F-1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333-217124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10.14</w:t>
            </w:r>
          </w:p>
        </w:tc>
        <w:tc>
          <w:tcPr>
            <w:tcW w:w="900" w:type="dxa"/>
            <w:vAlign w:val="bottom"/>
          </w:tcPr>
          <w:p>
            <w:pPr>
              <w:jc w:val="right"/>
              <w:spacing w:after="0"/>
              <w:rPr>
                <w:sz w:val="20"/>
                <w:szCs w:val="20"/>
                <w:color w:val="auto"/>
              </w:rPr>
            </w:pPr>
            <w:r>
              <w:rPr>
                <w:rFonts w:ascii="Arial" w:cs="Arial" w:eastAsia="Arial" w:hAnsi="Arial"/>
                <w:sz w:val="14"/>
                <w:szCs w:val="14"/>
                <w:color w:val="auto"/>
              </w:rPr>
              <w:t>4/3/2017</w:t>
            </w:r>
          </w:p>
        </w:tc>
      </w:tr>
      <w:tr>
        <w:trPr>
          <w:trHeight w:val="764"/>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001-38067</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7/22/2020</w:t>
            </w:r>
          </w:p>
        </w:tc>
      </w:tr>
      <w:tr>
        <w:trPr>
          <w:trHeight w:val="488"/>
        </w:trPr>
        <w:tc>
          <w:tcPr>
            <w:tcW w:w="740" w:type="dxa"/>
            <w:vAlign w:val="bottom"/>
          </w:tcPr>
          <w:p>
            <w:pPr>
              <w:jc w:val="right"/>
              <w:ind w:right="329"/>
              <w:spacing w:after="0"/>
              <w:rPr>
                <w:sz w:val="20"/>
                <w:szCs w:val="20"/>
                <w:color w:val="auto"/>
              </w:rPr>
            </w:pPr>
            <w:r>
              <w:rPr>
                <w:rFonts w:ascii="Arial" w:cs="Arial" w:eastAsia="Arial" w:hAnsi="Arial"/>
                <w:sz w:val="14"/>
                <w:szCs w:val="14"/>
                <w:color w:val="auto"/>
              </w:rPr>
              <w:t>6-K</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001-38067</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11/24/2020</w:t>
            </w:r>
          </w:p>
        </w:tc>
      </w:tr>
    </w:tbl>
    <w:p>
      <w:pPr>
        <w:spacing w:after="0" w:line="200" w:lineRule="exact"/>
        <w:rPr>
          <w:sz w:val="20"/>
          <w:szCs w:val="20"/>
          <w:color w:val="auto"/>
        </w:rPr>
      </w:pPr>
    </w:p>
    <w:p>
      <w:pPr>
        <w:spacing w:after="0" w:line="24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140"/>
        <w:spacing w:after="0"/>
        <w:tabs>
          <w:tab w:leader="none" w:pos="1100" w:val="left"/>
          <w:tab w:leader="none" w:pos="2500" w:val="left"/>
          <w:tab w:leader="none" w:pos="3400" w:val="left"/>
        </w:tabs>
        <w:rPr>
          <w:sz w:val="20"/>
          <w:szCs w:val="20"/>
          <w:color w:val="auto"/>
        </w:rPr>
      </w:pPr>
      <w:r>
        <w:rPr>
          <w:rFonts w:ascii="Arial" w:cs="Arial" w:eastAsia="Arial" w:hAnsi="Arial"/>
          <w:sz w:val="14"/>
          <w:szCs w:val="14"/>
          <w:color w:val="auto"/>
        </w:rPr>
        <w:t>F-1</w:t>
      </w:r>
      <w:r>
        <w:rPr>
          <w:sz w:val="20"/>
          <w:szCs w:val="20"/>
          <w:color w:val="auto"/>
        </w:rPr>
        <w:tab/>
      </w:r>
      <w:r>
        <w:rPr>
          <w:rFonts w:ascii="Arial" w:cs="Arial" w:eastAsia="Arial" w:hAnsi="Arial"/>
          <w:sz w:val="14"/>
          <w:szCs w:val="14"/>
          <w:color w:val="auto"/>
        </w:rPr>
        <w:t>333-217124</w:t>
      </w:r>
      <w:r>
        <w:rPr>
          <w:sz w:val="20"/>
          <w:szCs w:val="20"/>
          <w:color w:val="auto"/>
        </w:rPr>
        <w:tab/>
      </w:r>
      <w:r>
        <w:rPr>
          <w:rFonts w:ascii="Arial" w:cs="Arial" w:eastAsia="Arial" w:hAnsi="Arial"/>
          <w:sz w:val="14"/>
          <w:szCs w:val="14"/>
          <w:color w:val="auto"/>
        </w:rPr>
        <w:t>21.1</w:t>
      </w:r>
      <w:r>
        <w:rPr>
          <w:sz w:val="20"/>
          <w:szCs w:val="20"/>
          <w:color w:val="auto"/>
        </w:rPr>
        <w:tab/>
      </w:r>
      <w:r>
        <w:rPr>
          <w:rFonts w:ascii="Arial" w:cs="Arial" w:eastAsia="Arial" w:hAnsi="Arial"/>
          <w:sz w:val="12"/>
          <w:szCs w:val="12"/>
          <w:color w:val="auto"/>
        </w:rPr>
        <w:t>4/3/2017</w:t>
      </w: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w:t>
      </w:r>
    </w:p>
    <w:p>
      <w:pPr>
        <w:spacing w:after="0" w:line="390" w:lineRule="exact"/>
        <w:rPr>
          <w:sz w:val="20"/>
          <w:szCs w:val="20"/>
          <w:color w:val="auto"/>
        </w:rPr>
      </w:pPr>
    </w:p>
    <w:p>
      <w:pPr>
        <w:sectPr>
          <w:pgSz w:w="11900" w:h="16838" w:orient="portrait"/>
          <w:cols w:equalWidth="0" w:num="3">
            <w:col w:w="960" w:space="160"/>
            <w:col w:w="4500" w:space="540"/>
            <w:col w:w="4580"/>
          </w:cols>
          <w:pgMar w:left="300" w:top="1349" w:right="859" w:bottom="1440" w:gutter="0" w:footer="0" w:header="0"/>
        </w:sectPr>
      </w:pPr>
    </w:p>
    <w:p>
      <w:pPr>
        <w:spacing w:after="0"/>
        <w:rPr>
          <w:sz w:val="20"/>
          <w:szCs w:val="20"/>
          <w:color w:val="auto"/>
        </w:rPr>
      </w:pPr>
      <w:r>
        <w:rPr>
          <w:rFonts w:ascii="Arial" w:cs="Arial" w:eastAsia="Arial" w:hAnsi="Arial"/>
          <w:sz w:val="14"/>
          <w:szCs w:val="14"/>
          <w:color w:val="auto"/>
        </w:rPr>
        <w:t>** Furnished herewith.</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 Indicates management contract or compensatory plan.</w:t>
      </w:r>
    </w:p>
    <w:p>
      <w:pPr>
        <w:sectPr>
          <w:pgSz w:w="11900" w:h="16838" w:orient="portrait"/>
          <w:cols w:equalWidth="0" w:num="1">
            <w:col w:w="10740"/>
          </w:cols>
          <w:pgMar w:left="300" w:top="134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5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740"/>
          </w:cols>
          <w:pgMar w:left="300" w:top="1349" w:right="859" w:bottom="1440" w:gutter="0" w:footer="0" w:header="0"/>
          <w:type w:val="continuous"/>
        </w:sectPr>
      </w:pPr>
    </w:p>
    <w:bookmarkStart w:id="84" w:name="page85"/>
    <w:bookmarkEnd w:id="84"/>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1302" w:right="1440" w:bottom="1440" w:gutter="0" w:footer="0" w:header="0"/>
        </w:sectPr>
      </w:pPr>
    </w:p>
    <w:bookmarkStart w:id="85" w:name="page86"/>
    <w:bookmarkEnd w:id="85"/>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80"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40" w:type="dxa"/>
            <w:vAlign w:val="bottom"/>
          </w:tcPr>
          <w:p>
            <w:pPr>
              <w:spacing w:after="0"/>
              <w:rPr>
                <w:sz w:val="15"/>
                <w:szCs w:val="15"/>
                <w:color w:val="auto"/>
              </w:rPr>
            </w:pPr>
          </w:p>
        </w:tc>
        <w:tc>
          <w:tcPr>
            <w:tcW w:w="4800" w:type="dxa"/>
            <w:vAlign w:val="bottom"/>
          </w:tcPr>
          <w:p>
            <w:pPr>
              <w:ind w:left="2060"/>
              <w:spacing w:after="0"/>
              <w:rPr>
                <w:sz w:val="20"/>
                <w:szCs w:val="20"/>
                <w:color w:val="auto"/>
              </w:rPr>
            </w:pPr>
            <w:r>
              <w:rPr>
                <w:rFonts w:ascii="Arial" w:cs="Arial" w:eastAsia="Arial" w:hAnsi="Arial"/>
                <w:sz w:val="14"/>
                <w:szCs w:val="14"/>
                <w:color w:val="auto"/>
              </w:rPr>
              <w:t>VERONA PHARMA PLC</w:t>
            </w:r>
          </w:p>
        </w:tc>
        <w:tc>
          <w:tcPr>
            <w:tcW w:w="3020" w:type="dxa"/>
            <w:vAlign w:val="bottom"/>
          </w:tcPr>
          <w:p>
            <w:pPr>
              <w:spacing w:after="0"/>
              <w:rPr>
                <w:sz w:val="15"/>
                <w:szCs w:val="15"/>
                <w:color w:val="auto"/>
              </w:rPr>
            </w:pPr>
          </w:p>
        </w:tc>
      </w:tr>
      <w:tr>
        <w:trPr>
          <w:trHeight w:val="419"/>
        </w:trPr>
        <w:tc>
          <w:tcPr>
            <w:tcW w:w="3440" w:type="dxa"/>
            <w:vAlign w:val="bottom"/>
          </w:tcPr>
          <w:p>
            <w:pPr>
              <w:spacing w:after="0"/>
              <w:rPr>
                <w:sz w:val="20"/>
                <w:szCs w:val="20"/>
                <w:color w:val="auto"/>
              </w:rPr>
            </w:pPr>
            <w:r>
              <w:rPr>
                <w:rFonts w:ascii="Arial" w:cs="Arial" w:eastAsia="Arial" w:hAnsi="Arial"/>
                <w:sz w:val="14"/>
                <w:szCs w:val="14"/>
                <w:color w:val="auto"/>
              </w:rPr>
              <w:t>Date: February 25, 2021</w:t>
            </w:r>
          </w:p>
        </w:tc>
        <w:tc>
          <w:tcPr>
            <w:tcW w:w="4800" w:type="dxa"/>
            <w:vAlign w:val="bottom"/>
          </w:tcPr>
          <w:p>
            <w:pPr>
              <w:ind w:left="2060"/>
              <w:spacing w:after="0"/>
              <w:rPr>
                <w:sz w:val="20"/>
                <w:szCs w:val="20"/>
                <w:color w:val="auto"/>
              </w:rPr>
            </w:pPr>
            <w:r>
              <w:rPr>
                <w:rFonts w:ascii="Arial" w:cs="Arial" w:eastAsia="Arial" w:hAnsi="Arial"/>
                <w:sz w:val="14"/>
                <w:szCs w:val="14"/>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Zaccardelli</w:t>
            </w:r>
          </w:p>
        </w:tc>
      </w:tr>
      <w:tr>
        <w:trPr>
          <w:trHeight w:val="187"/>
        </w:trPr>
        <w:tc>
          <w:tcPr>
            <w:tcW w:w="34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David Zaccardelli, Pharm. D.</w:t>
            </w:r>
          </w:p>
        </w:tc>
      </w:tr>
      <w:tr>
        <w:trPr>
          <w:trHeight w:val="202"/>
        </w:trPr>
        <w:tc>
          <w:tcPr>
            <w:tcW w:w="34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488"/>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3"/>
              </w:rPr>
              <w:t>/s/ David Zaccardelli</w:t>
            </w:r>
          </w:p>
        </w:tc>
        <w:tc>
          <w:tcPr>
            <w:tcW w:w="2700" w:type="dxa"/>
            <w:vAlign w:val="bottom"/>
          </w:tcPr>
          <w:p>
            <w:pPr>
              <w:ind w:left="240"/>
              <w:spacing w:after="0"/>
              <w:rPr>
                <w:sz w:val="20"/>
                <w:szCs w:val="20"/>
                <w:color w:val="auto"/>
              </w:rPr>
            </w:pPr>
            <w:r>
              <w:rPr>
                <w:rFonts w:ascii="Arial" w:cs="Arial" w:eastAsia="Arial" w:hAnsi="Arial"/>
                <w:sz w:val="14"/>
                <w:szCs w:val="14"/>
                <w:color w:val="auto"/>
              </w:rPr>
              <w:t>President and Chief Executive Officer</w:t>
            </w:r>
          </w:p>
        </w:tc>
      </w:tr>
      <w:tr>
        <w:trPr>
          <w:trHeight w:val="244"/>
        </w:trPr>
        <w:tc>
          <w:tcPr>
            <w:tcW w:w="3480" w:type="dxa"/>
            <w:vAlign w:val="bottom"/>
            <w:tcBorders>
              <w:left w:val="single" w:sz="8" w:color="auto"/>
            </w:tcBorders>
          </w:tcPr>
          <w:p>
            <w:pPr>
              <w:spacing w:after="0"/>
              <w:rPr>
                <w:sz w:val="21"/>
                <w:szCs w:val="21"/>
                <w:color w:val="auto"/>
              </w:rPr>
            </w:pPr>
          </w:p>
        </w:tc>
        <w:tc>
          <w:tcPr>
            <w:tcW w:w="2700" w:type="dxa"/>
            <w:vAlign w:val="bottom"/>
          </w:tcPr>
          <w:p>
            <w:pPr>
              <w:ind w:left="240"/>
              <w:spacing w:after="0"/>
              <w:rPr>
                <w:sz w:val="20"/>
                <w:szCs w:val="20"/>
                <w:color w:val="auto"/>
              </w:rPr>
            </w:pPr>
            <w:r>
              <w:rPr>
                <w:rFonts w:ascii="Arial" w:cs="Arial" w:eastAsia="Arial" w:hAnsi="Arial"/>
                <w:sz w:val="14"/>
                <w:szCs w:val="14"/>
                <w:i w:val="1"/>
                <w:iCs w:val="1"/>
                <w:color w:val="auto"/>
              </w:rPr>
              <w:t>(principal executive officer)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David Zaccardelli, Pharm. 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2"/>
              </w:rPr>
              <w:t>/s/ Mark W. Hahn</w:t>
            </w:r>
          </w:p>
        </w:tc>
        <w:tc>
          <w:tcPr>
            <w:tcW w:w="2700" w:type="dxa"/>
            <w:vAlign w:val="bottom"/>
          </w:tcPr>
          <w:p>
            <w:pPr>
              <w:ind w:left="240"/>
              <w:spacing w:after="0"/>
              <w:rPr>
                <w:sz w:val="20"/>
                <w:szCs w:val="20"/>
                <w:color w:val="auto"/>
              </w:rPr>
            </w:pPr>
            <w:r>
              <w:rPr>
                <w:rFonts w:ascii="Arial" w:cs="Arial" w:eastAsia="Arial" w:hAnsi="Arial"/>
                <w:sz w:val="14"/>
                <w:szCs w:val="14"/>
                <w:color w:val="auto"/>
              </w:rPr>
              <w:t>Chief Financial Officer</w:t>
            </w:r>
          </w:p>
        </w:tc>
      </w:tr>
      <w:tr>
        <w:trPr>
          <w:trHeight w:val="244"/>
        </w:trPr>
        <w:tc>
          <w:tcPr>
            <w:tcW w:w="3480" w:type="dxa"/>
            <w:vAlign w:val="bottom"/>
            <w:tcBorders>
              <w:left w:val="single" w:sz="8" w:color="auto"/>
            </w:tcBorders>
          </w:tcPr>
          <w:p>
            <w:pPr>
              <w:spacing w:after="0"/>
              <w:rPr>
                <w:sz w:val="21"/>
                <w:szCs w:val="21"/>
                <w:color w:val="auto"/>
              </w:rPr>
            </w:pPr>
          </w:p>
        </w:tc>
        <w:tc>
          <w:tcPr>
            <w:tcW w:w="2700" w:type="dxa"/>
            <w:vAlign w:val="bottom"/>
          </w:tcPr>
          <w:p>
            <w:pPr>
              <w:ind w:left="240"/>
              <w:spacing w:after="0"/>
              <w:rPr>
                <w:sz w:val="20"/>
                <w:szCs w:val="20"/>
                <w:color w:val="auto"/>
              </w:rPr>
            </w:pPr>
            <w:r>
              <w:rPr>
                <w:rFonts w:ascii="Arial" w:cs="Arial" w:eastAsia="Arial" w:hAnsi="Arial"/>
                <w:sz w:val="14"/>
                <w:szCs w:val="14"/>
                <w:i w:val="1"/>
                <w:iCs w:val="1"/>
                <w:color w:val="auto"/>
                <w:w w:val="94"/>
              </w:rPr>
              <w:t>(principal financial and accounting officer)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Mark W. Hahn</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2"/>
              </w:rPr>
              <w:t>/s/ David Ebsworth, Ph.D.</w:t>
            </w:r>
          </w:p>
        </w:tc>
        <w:tc>
          <w:tcPr>
            <w:tcW w:w="2700" w:type="dxa"/>
            <w:vAlign w:val="bottom"/>
          </w:tcPr>
          <w:p>
            <w:pPr>
              <w:ind w:left="240"/>
              <w:spacing w:after="0"/>
              <w:rPr>
                <w:sz w:val="20"/>
                <w:szCs w:val="20"/>
                <w:color w:val="auto"/>
              </w:rPr>
            </w:pPr>
            <w:r>
              <w:rPr>
                <w:rFonts w:ascii="Arial" w:cs="Arial" w:eastAsia="Arial" w:hAnsi="Arial"/>
                <w:sz w:val="14"/>
                <w:szCs w:val="14"/>
                <w:color w:val="auto"/>
              </w:rPr>
              <w:t>Chairperson of the Board of Directors</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David Ebsworth, Ph.D.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3"/>
              </w:rPr>
              <w:t>/s/ Ken Cunningham, M.D.</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Ken Cunningham, M.D.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5"/>
              </w:rPr>
              <w:t>/s/ Martin Edwards, M.D.</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Martin Edwards, M.D.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1"/>
              </w:rPr>
              <w:t>/s/ Rishi Gupta</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Rishi Gupta</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0"/>
              </w:rPr>
              <w:t>/s/ Mahendra Shah, Ph.D.</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Mahendra Shah, Ph.D.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3"/>
              </w:rPr>
              <w:t>/s/ Andrew Sinclair, Ph.D.</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Andrew Sinclair, Ph.D.</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0"/>
              </w:rPr>
              <w:t>/s/ Vikas Sinha</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Vikas Sinha</w:t>
            </w:r>
          </w:p>
        </w:tc>
        <w:tc>
          <w:tcPr>
            <w:tcW w:w="2700" w:type="dxa"/>
            <w:vAlign w:val="bottom"/>
          </w:tcPr>
          <w:p>
            <w:pPr>
              <w:spacing w:after="0"/>
              <w:rPr>
                <w:sz w:val="23"/>
                <w:szCs w:val="23"/>
                <w:color w:val="auto"/>
              </w:rPr>
            </w:pPr>
          </w:p>
        </w:tc>
      </w:tr>
      <w:tr>
        <w:trPr>
          <w:trHeight w:val="584"/>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color w:val="auto"/>
                <w:w w:val="94"/>
              </w:rPr>
              <w:t>/s/ Anders Ullman, M.D., Ph.D.</w:t>
            </w:r>
          </w:p>
        </w:tc>
        <w:tc>
          <w:tcPr>
            <w:tcW w:w="2700" w:type="dxa"/>
            <w:vAlign w:val="bottom"/>
          </w:tcPr>
          <w:p>
            <w:pPr>
              <w:ind w:left="240"/>
              <w:spacing w:after="0"/>
              <w:rPr>
                <w:sz w:val="20"/>
                <w:szCs w:val="20"/>
                <w:color w:val="auto"/>
              </w:rPr>
            </w:pPr>
            <w:r>
              <w:rPr>
                <w:rFonts w:ascii="Arial" w:cs="Arial" w:eastAsia="Arial" w:hAnsi="Arial"/>
                <w:sz w:val="14"/>
                <w:szCs w:val="14"/>
                <w:color w:val="auto"/>
              </w:rPr>
              <w:t>Director</w:t>
            </w:r>
          </w:p>
        </w:tc>
      </w:tr>
      <w:tr>
        <w:trPr>
          <w:trHeight w:val="96"/>
        </w:trPr>
        <w:tc>
          <w:tcPr>
            <w:tcW w:w="3480" w:type="dxa"/>
            <w:vAlign w:val="bottom"/>
            <w:tcBorders>
              <w:left w:val="single" w:sz="8" w:color="auto"/>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r>
      <w:tr>
        <w:trPr>
          <w:trHeight w:val="266"/>
        </w:trPr>
        <w:tc>
          <w:tcPr>
            <w:tcW w:w="348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Anders Ullman, M.D., Ph.D.</w:t>
            </w:r>
          </w:p>
        </w:tc>
        <w:tc>
          <w:tcPr>
            <w:tcW w:w="2700" w:type="dxa"/>
            <w:vAlign w:val="bottom"/>
          </w:tcPr>
          <w:p>
            <w:pPr>
              <w:spacing w:after="0"/>
              <w:rPr>
                <w:sz w:val="23"/>
                <w:szCs w:val="23"/>
                <w:color w:val="auto"/>
              </w:rPr>
            </w:pPr>
          </w:p>
        </w:tc>
      </w:tr>
      <w:tr>
        <w:trPr>
          <w:trHeight w:val="107"/>
        </w:trPr>
        <w:tc>
          <w:tcPr>
            <w:tcW w:w="3480" w:type="dxa"/>
            <w:vAlign w:val="bottom"/>
            <w:tcBorders>
              <w:left w:val="single" w:sz="8" w:color="auto"/>
            </w:tcBorders>
          </w:tcPr>
          <w:p>
            <w:pPr>
              <w:spacing w:after="0"/>
              <w:rPr>
                <w:sz w:val="9"/>
                <w:szCs w:val="9"/>
                <w:color w:val="auto"/>
              </w:rPr>
            </w:pPr>
          </w:p>
        </w:tc>
        <w:tc>
          <w:tcPr>
            <w:tcW w:w="2700" w:type="dxa"/>
            <w:vAlign w:val="bottom"/>
          </w:tcPr>
          <w:p>
            <w:pPr>
              <w:spacing w:after="0"/>
              <w:rPr>
                <w:sz w:val="9"/>
                <w:szCs w:val="9"/>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856615</wp:posOffset>
            </wp:positionV>
            <wp:extent cx="7121525" cy="6447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21525" cy="644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February 25, 2021</w:t>
      </w:r>
    </w:p>
    <w:p>
      <w:pPr>
        <w:sectPr>
          <w:pgSz w:w="11900" w:h="16838" w:orient="portrait"/>
          <w:cols w:equalWidth="0" w:num="2">
            <w:col w:w="8900" w:space="720"/>
            <w:col w:w="1040"/>
          </w:cols>
          <w:pgMar w:left="300" w:top="1349" w:right="939" w:bottom="1440" w:gutter="0" w:footer="0" w:header="0"/>
        </w:sectPr>
      </w:pPr>
    </w:p>
    <w:bookmarkStart w:id="87" w:name="page88"/>
    <w:bookmarkEnd w:id="87"/>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shd w:val="clear" w:color="auto" w:fill="CCEEFF"/>
          </w:tcPr>
          <w:p>
            <w:pPr>
              <w:spacing w:after="0"/>
              <w:rPr>
                <w:sz w:val="23"/>
                <w:szCs w:val="23"/>
                <w:color w:val="auto"/>
              </w:rPr>
            </w:pPr>
          </w:p>
        </w:tc>
        <w:tc>
          <w:tcPr>
            <w:tcW w:w="8780" w:type="dxa"/>
            <w:vAlign w:val="bottom"/>
            <w:gridSpan w:val="2"/>
            <w:shd w:val="clear" w:color="auto" w:fill="CCEEFF"/>
          </w:tcPr>
          <w:p>
            <w:pPr>
              <w:spacing w:after="0"/>
              <w:rPr>
                <w:rFonts w:ascii="Arial" w:cs="Arial" w:eastAsia="Arial" w:hAnsi="Arial"/>
                <w:sz w:val="14"/>
                <w:szCs w:val="14"/>
                <w:u w:val="single" w:color="auto"/>
                <w:color w:val="0000FF"/>
              </w:rPr>
            </w:pPr>
            <w:hyperlink w:anchor="page88">
              <w:r>
                <w:rPr>
                  <w:rFonts w:ascii="Arial" w:cs="Arial" w:eastAsia="Arial" w:hAnsi="Arial"/>
                  <w:sz w:val="14"/>
                  <w:szCs w:val="14"/>
                  <w:u w:val="single" w:color="auto"/>
                  <w:color w:val="0000FF"/>
                </w:rPr>
                <w:t>Report of Independent Registered Public Accounting Firm</w:t>
              </w:r>
            </w:hyperlink>
          </w:p>
        </w:tc>
        <w:tc>
          <w:tcPr>
            <w:tcW w:w="2480" w:type="dxa"/>
            <w:vAlign w:val="bottom"/>
            <w:shd w:val="clear" w:color="auto" w:fill="CCEEFF"/>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88">
              <w:r>
                <w:rPr>
                  <w:rFonts w:ascii="Arial" w:cs="Arial" w:eastAsia="Arial" w:hAnsi="Arial"/>
                  <w:sz w:val="14"/>
                  <w:szCs w:val="14"/>
                  <w:color w:val="auto"/>
                  <w:w w:val="85"/>
                </w:rPr>
                <w:t>2</w:t>
              </w:r>
            </w:hyperlink>
          </w:p>
        </w:tc>
      </w:tr>
      <w:tr>
        <w:trPr>
          <w:trHeight w:val="85"/>
        </w:trPr>
        <w:tc>
          <w:tcPr>
            <w:tcW w:w="2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630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r>
      <w:tr>
        <w:trPr>
          <w:trHeight w:val="265"/>
        </w:trPr>
        <w:tc>
          <w:tcPr>
            <w:tcW w:w="20" w:type="dxa"/>
            <w:vAlign w:val="bottom"/>
          </w:tcPr>
          <w:p>
            <w:pPr>
              <w:spacing w:after="0"/>
              <w:rPr>
                <w:sz w:val="23"/>
                <w:szCs w:val="23"/>
                <w:color w:val="auto"/>
              </w:rPr>
            </w:pPr>
          </w:p>
        </w:tc>
        <w:tc>
          <w:tcPr>
            <w:tcW w:w="8780" w:type="dxa"/>
            <w:vAlign w:val="bottom"/>
            <w:gridSpan w:val="2"/>
          </w:tcPr>
          <w:p>
            <w:pPr>
              <w:spacing w:after="0"/>
              <w:rPr>
                <w:rFonts w:ascii="Arial" w:cs="Arial" w:eastAsia="Arial" w:hAnsi="Arial"/>
                <w:sz w:val="14"/>
                <w:szCs w:val="14"/>
                <w:u w:val="single" w:color="auto"/>
                <w:color w:val="0000FF"/>
              </w:rPr>
            </w:pPr>
            <w:hyperlink w:anchor="page89">
              <w:r>
                <w:rPr>
                  <w:rFonts w:ascii="Arial" w:cs="Arial" w:eastAsia="Arial" w:hAnsi="Arial"/>
                  <w:sz w:val="14"/>
                  <w:szCs w:val="14"/>
                  <w:u w:val="single" w:color="auto"/>
                  <w:color w:val="0000FF"/>
                </w:rPr>
                <w:t>Consolidated Balance Sheets as of December 31, 2020 and 2019</w:t>
              </w:r>
            </w:hyperlink>
          </w:p>
        </w:tc>
        <w:tc>
          <w:tcPr>
            <w:tcW w:w="2480" w:type="dxa"/>
            <w:vAlign w:val="bottom"/>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89">
              <w:r>
                <w:rPr>
                  <w:rFonts w:ascii="Arial" w:cs="Arial" w:eastAsia="Arial" w:hAnsi="Arial"/>
                  <w:sz w:val="14"/>
                  <w:szCs w:val="14"/>
                  <w:color w:val="auto"/>
                  <w:w w:val="85"/>
                </w:rPr>
                <w:t>3</w:t>
              </w:r>
            </w:hyperlink>
          </w:p>
        </w:tc>
      </w:tr>
      <w:tr>
        <w:trPr>
          <w:trHeight w:val="85"/>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6300" w:type="dxa"/>
            <w:vAlign w:val="bottom"/>
          </w:tcPr>
          <w:p>
            <w:pPr>
              <w:spacing w:after="0"/>
              <w:rPr>
                <w:sz w:val="7"/>
                <w:szCs w:val="7"/>
                <w:color w:val="auto"/>
              </w:rPr>
            </w:pPr>
          </w:p>
        </w:tc>
        <w:tc>
          <w:tcPr>
            <w:tcW w:w="2480" w:type="dxa"/>
            <w:vAlign w:val="bottom"/>
          </w:tcPr>
          <w:p>
            <w:pPr>
              <w:spacing w:after="0"/>
              <w:rPr>
                <w:sz w:val="7"/>
                <w:szCs w:val="7"/>
                <w:color w:val="auto"/>
              </w:rPr>
            </w:pPr>
          </w:p>
        </w:tc>
      </w:tr>
      <w:tr>
        <w:trPr>
          <w:trHeight w:val="265"/>
        </w:trPr>
        <w:tc>
          <w:tcPr>
            <w:tcW w:w="20" w:type="dxa"/>
            <w:vAlign w:val="bottom"/>
            <w:shd w:val="clear" w:color="auto" w:fill="CCEEFF"/>
          </w:tcPr>
          <w:p>
            <w:pPr>
              <w:spacing w:after="0"/>
              <w:rPr>
                <w:sz w:val="23"/>
                <w:szCs w:val="23"/>
                <w:color w:val="auto"/>
              </w:rPr>
            </w:pPr>
          </w:p>
        </w:tc>
        <w:tc>
          <w:tcPr>
            <w:tcW w:w="8780" w:type="dxa"/>
            <w:vAlign w:val="bottom"/>
            <w:gridSpan w:val="2"/>
            <w:shd w:val="clear" w:color="auto" w:fill="CCEEFF"/>
          </w:tcPr>
          <w:p>
            <w:pPr>
              <w:spacing w:after="0"/>
              <w:rPr>
                <w:rFonts w:ascii="Arial" w:cs="Arial" w:eastAsia="Arial" w:hAnsi="Arial"/>
                <w:sz w:val="14"/>
                <w:szCs w:val="14"/>
                <w:u w:val="single" w:color="auto"/>
                <w:color w:val="0000FF"/>
              </w:rPr>
            </w:pPr>
            <w:hyperlink w:anchor="page90">
              <w:r>
                <w:rPr>
                  <w:rFonts w:ascii="Arial" w:cs="Arial" w:eastAsia="Arial" w:hAnsi="Arial"/>
                  <w:sz w:val="14"/>
                  <w:szCs w:val="14"/>
                  <w:u w:val="single" w:color="auto"/>
                  <w:color w:val="0000FF"/>
                </w:rPr>
                <w:t>Consolidated Statements of Operations and Comprehensive Loss for the years ended December 31, 2020 and 2019</w:t>
              </w:r>
            </w:hyperlink>
          </w:p>
        </w:tc>
        <w:tc>
          <w:tcPr>
            <w:tcW w:w="2480" w:type="dxa"/>
            <w:vAlign w:val="bottom"/>
            <w:shd w:val="clear" w:color="auto" w:fill="CCEEFF"/>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0">
              <w:r>
                <w:rPr>
                  <w:rFonts w:ascii="Arial" w:cs="Arial" w:eastAsia="Arial" w:hAnsi="Arial"/>
                  <w:sz w:val="14"/>
                  <w:szCs w:val="14"/>
                  <w:color w:val="auto"/>
                  <w:w w:val="85"/>
                </w:rPr>
                <w:t>4</w:t>
              </w:r>
            </w:hyperlink>
          </w:p>
        </w:tc>
      </w:tr>
      <w:tr>
        <w:trPr>
          <w:trHeight w:val="85"/>
        </w:trPr>
        <w:tc>
          <w:tcPr>
            <w:tcW w:w="2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630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r>
      <w:tr>
        <w:trPr>
          <w:trHeight w:val="265"/>
        </w:trPr>
        <w:tc>
          <w:tcPr>
            <w:tcW w:w="20" w:type="dxa"/>
            <w:vAlign w:val="bottom"/>
          </w:tcPr>
          <w:p>
            <w:pPr>
              <w:spacing w:after="0"/>
              <w:rPr>
                <w:sz w:val="23"/>
                <w:szCs w:val="23"/>
                <w:color w:val="auto"/>
              </w:rPr>
            </w:pPr>
          </w:p>
        </w:tc>
        <w:tc>
          <w:tcPr>
            <w:tcW w:w="8780" w:type="dxa"/>
            <w:vAlign w:val="bottom"/>
            <w:gridSpan w:val="2"/>
          </w:tcPr>
          <w:p>
            <w:pPr>
              <w:spacing w:after="0"/>
              <w:rPr>
                <w:rFonts w:ascii="Arial" w:cs="Arial" w:eastAsia="Arial" w:hAnsi="Arial"/>
                <w:sz w:val="14"/>
                <w:szCs w:val="14"/>
                <w:u w:val="single" w:color="auto"/>
                <w:color w:val="0000FF"/>
              </w:rPr>
            </w:pPr>
            <w:hyperlink w:anchor="page91">
              <w:r>
                <w:rPr>
                  <w:rFonts w:ascii="Arial" w:cs="Arial" w:eastAsia="Arial" w:hAnsi="Arial"/>
                  <w:sz w:val="14"/>
                  <w:szCs w:val="14"/>
                  <w:u w:val="single" w:color="auto"/>
                  <w:color w:val="0000FF"/>
                </w:rPr>
                <w:t>Consolidated Statements of Changes in Shareholders’ Equity for the years ended December 31, 2020 and 2019</w:t>
              </w:r>
            </w:hyperlink>
          </w:p>
        </w:tc>
        <w:tc>
          <w:tcPr>
            <w:tcW w:w="2480" w:type="dxa"/>
            <w:vAlign w:val="bottom"/>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1">
              <w:r>
                <w:rPr>
                  <w:rFonts w:ascii="Arial" w:cs="Arial" w:eastAsia="Arial" w:hAnsi="Arial"/>
                  <w:sz w:val="14"/>
                  <w:szCs w:val="14"/>
                  <w:color w:val="auto"/>
                  <w:w w:val="85"/>
                </w:rPr>
                <w:t>5</w:t>
              </w:r>
            </w:hyperlink>
          </w:p>
        </w:tc>
      </w:tr>
      <w:tr>
        <w:trPr>
          <w:trHeight w:val="85"/>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6300" w:type="dxa"/>
            <w:vAlign w:val="bottom"/>
          </w:tcPr>
          <w:p>
            <w:pPr>
              <w:spacing w:after="0"/>
              <w:rPr>
                <w:sz w:val="7"/>
                <w:szCs w:val="7"/>
                <w:color w:val="auto"/>
              </w:rPr>
            </w:pPr>
          </w:p>
        </w:tc>
        <w:tc>
          <w:tcPr>
            <w:tcW w:w="2480" w:type="dxa"/>
            <w:vAlign w:val="bottom"/>
          </w:tcPr>
          <w:p>
            <w:pPr>
              <w:spacing w:after="0"/>
              <w:rPr>
                <w:sz w:val="7"/>
                <w:szCs w:val="7"/>
                <w:color w:val="auto"/>
              </w:rPr>
            </w:pPr>
          </w:p>
        </w:tc>
      </w:tr>
      <w:tr>
        <w:trPr>
          <w:trHeight w:val="265"/>
        </w:trPr>
        <w:tc>
          <w:tcPr>
            <w:tcW w:w="20" w:type="dxa"/>
            <w:vAlign w:val="bottom"/>
            <w:shd w:val="clear" w:color="auto" w:fill="CCEEFF"/>
          </w:tcPr>
          <w:p>
            <w:pPr>
              <w:spacing w:after="0"/>
              <w:rPr>
                <w:sz w:val="23"/>
                <w:szCs w:val="23"/>
                <w:color w:val="auto"/>
              </w:rPr>
            </w:pPr>
          </w:p>
        </w:tc>
        <w:tc>
          <w:tcPr>
            <w:tcW w:w="8780" w:type="dxa"/>
            <w:vAlign w:val="bottom"/>
            <w:gridSpan w:val="2"/>
            <w:shd w:val="clear" w:color="auto" w:fill="CCEEFF"/>
          </w:tcPr>
          <w:p>
            <w:pPr>
              <w:spacing w:after="0"/>
              <w:rPr>
                <w:rFonts w:ascii="Arial" w:cs="Arial" w:eastAsia="Arial" w:hAnsi="Arial"/>
                <w:sz w:val="14"/>
                <w:szCs w:val="14"/>
                <w:u w:val="single" w:color="auto"/>
                <w:color w:val="0000FF"/>
              </w:rPr>
            </w:pPr>
            <w:hyperlink w:anchor="page92">
              <w:r>
                <w:rPr>
                  <w:rFonts w:ascii="Arial" w:cs="Arial" w:eastAsia="Arial" w:hAnsi="Arial"/>
                  <w:sz w:val="14"/>
                  <w:szCs w:val="14"/>
                  <w:u w:val="single" w:color="auto"/>
                  <w:color w:val="0000FF"/>
                </w:rPr>
                <w:t>Consolidated Statements of Cash Flows for the years ended December 31, 2020 and 2019</w:t>
              </w:r>
            </w:hyperlink>
          </w:p>
        </w:tc>
        <w:tc>
          <w:tcPr>
            <w:tcW w:w="2480" w:type="dxa"/>
            <w:vAlign w:val="bottom"/>
            <w:shd w:val="clear" w:color="auto" w:fill="CCEEFF"/>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2">
              <w:r>
                <w:rPr>
                  <w:rFonts w:ascii="Arial" w:cs="Arial" w:eastAsia="Arial" w:hAnsi="Arial"/>
                  <w:sz w:val="14"/>
                  <w:szCs w:val="14"/>
                  <w:color w:val="auto"/>
                  <w:w w:val="85"/>
                </w:rPr>
                <w:t>6</w:t>
              </w:r>
            </w:hyperlink>
          </w:p>
        </w:tc>
      </w:tr>
      <w:tr>
        <w:trPr>
          <w:trHeight w:val="85"/>
        </w:trPr>
        <w:tc>
          <w:tcPr>
            <w:tcW w:w="2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6300" w:type="dxa"/>
            <w:vAlign w:val="bottom"/>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r>
      <w:tr>
        <w:trPr>
          <w:trHeight w:val="233"/>
        </w:trPr>
        <w:tc>
          <w:tcPr>
            <w:tcW w:w="20" w:type="dxa"/>
            <w:vAlign w:val="bottom"/>
          </w:tcPr>
          <w:p>
            <w:pPr>
              <w:spacing w:after="0"/>
              <w:rPr>
                <w:sz w:val="20"/>
                <w:szCs w:val="20"/>
                <w:color w:val="auto"/>
              </w:rPr>
            </w:pPr>
          </w:p>
        </w:tc>
        <w:tc>
          <w:tcPr>
            <w:tcW w:w="2480" w:type="dxa"/>
            <w:vAlign w:val="bottom"/>
            <w:tcBorders>
              <w:bottom w:val="single" w:sz="8" w:color="0000FF"/>
            </w:tcBorders>
          </w:tcPr>
          <w:p>
            <w:pPr>
              <w:spacing w:after="0"/>
              <w:rPr>
                <w:rFonts w:ascii="Arial" w:cs="Arial" w:eastAsia="Arial" w:hAnsi="Arial"/>
                <w:sz w:val="14"/>
                <w:szCs w:val="14"/>
                <w:color w:val="0000FF"/>
                <w:w w:val="90"/>
              </w:rPr>
            </w:pPr>
            <w:hyperlink w:anchor="page93">
              <w:r>
                <w:rPr>
                  <w:rFonts w:ascii="Arial" w:cs="Arial" w:eastAsia="Arial" w:hAnsi="Arial"/>
                  <w:sz w:val="14"/>
                  <w:szCs w:val="14"/>
                  <w:color w:val="0000FF"/>
                  <w:w w:val="90"/>
                </w:rPr>
                <w:t>Notes to Consolidated Financial Statements</w:t>
              </w:r>
            </w:hyperlink>
          </w:p>
        </w:tc>
        <w:tc>
          <w:tcPr>
            <w:tcW w:w="6300" w:type="dxa"/>
            <w:vAlign w:val="bottom"/>
          </w:tcPr>
          <w:p>
            <w:pPr>
              <w:spacing w:after="0"/>
              <w:rPr>
                <w:sz w:val="20"/>
                <w:szCs w:val="20"/>
                <w:color w:val="auto"/>
              </w:rPr>
            </w:pPr>
          </w:p>
        </w:tc>
        <w:tc>
          <w:tcPr>
            <w:tcW w:w="2480" w:type="dxa"/>
            <w:vAlign w:val="bottom"/>
          </w:tcPr>
          <w:p>
            <w:pPr>
              <w:ind w:left="2280"/>
              <w:spacing w:after="0"/>
              <w:rPr>
                <w:rFonts w:ascii="Arial" w:cs="Arial" w:eastAsia="Arial" w:hAnsi="Arial"/>
                <w:sz w:val="14"/>
                <w:szCs w:val="14"/>
                <w:color w:val="auto"/>
                <w:w w:val="85"/>
              </w:rPr>
            </w:pPr>
            <w:r>
              <w:rPr>
                <w:rFonts w:ascii="Arial" w:cs="Arial" w:eastAsia="Arial" w:hAnsi="Arial"/>
                <w:sz w:val="14"/>
                <w:szCs w:val="14"/>
                <w:color w:val="auto"/>
                <w:w w:val="85"/>
              </w:rPr>
              <w:t>F-</w:t>
            </w:r>
            <w:hyperlink w:anchor="page93">
              <w:r>
                <w:rPr>
                  <w:rFonts w:ascii="Arial" w:cs="Arial" w:eastAsia="Arial" w:hAnsi="Arial"/>
                  <w:sz w:val="14"/>
                  <w:szCs w:val="14"/>
                  <w:color w:val="auto"/>
                  <w:w w:val="85"/>
                </w:rPr>
                <w:t>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Verona Pharma Plc</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0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We have audited the accompanying consolidated balance sheets of Verona Pharma Plc and its subsidiaries (the “Company”) as of December 31, 2020 and 2019, and the related consolidated statements of operations and comprehensive loss, of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4"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 and par value of shares)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538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187,986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10,380</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Tax and tax incentive receivables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8,260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9,814</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1"/>
        </w:trPr>
        <w:tc>
          <w:tcPr>
            <w:tcW w:w="8400" w:type="dxa"/>
            <w:vAlign w:val="bottom"/>
          </w:tcPr>
          <w:p>
            <w:pPr>
              <w:ind w:left="280"/>
              <w:spacing w:after="0"/>
              <w:rPr>
                <w:sz w:val="20"/>
                <w:szCs w:val="20"/>
                <w:color w:val="auto"/>
              </w:rPr>
            </w:pPr>
            <w:r>
              <w:rPr>
                <w:rFonts w:ascii="Arial" w:cs="Arial" w:eastAsia="Arial" w:hAnsi="Arial"/>
                <w:sz w:val="14"/>
                <w:szCs w:val="14"/>
                <w:b w:val="1"/>
                <w:bCs w:val="1"/>
                <w:color w:val="auto"/>
              </w:rPr>
              <w:t>Total current assets: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202,504</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54,298</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Furniture and equipment, net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Right-of-use assets</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non-current assets: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204,206</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56,234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410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10,863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8,971</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1"/>
        </w:trPr>
        <w:tc>
          <w:tcPr>
            <w:tcW w:w="8400" w:type="dxa"/>
            <w:vAlign w:val="bottom"/>
          </w:tcPr>
          <w:p>
            <w:pPr>
              <w:ind w:left="280"/>
              <w:spacing w:after="0"/>
              <w:rPr>
                <w:sz w:val="20"/>
                <w:szCs w:val="20"/>
                <w:color w:val="auto"/>
              </w:rPr>
            </w:pPr>
            <w:r>
              <w:rPr>
                <w:rFonts w:ascii="Arial" w:cs="Arial" w:eastAsia="Arial" w:hAnsi="Arial"/>
                <w:sz w:val="14"/>
                <w:szCs w:val="14"/>
                <w:b w:val="1"/>
                <w:bCs w:val="1"/>
                <w:color w:val="auto"/>
              </w:rPr>
              <w:t>Total current liabilities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14,203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12,841</w:t>
            </w:r>
          </w:p>
        </w:tc>
        <w:tc>
          <w:tcPr>
            <w:tcW w:w="0" w:type="dxa"/>
            <w:vAlign w:val="bottom"/>
          </w:tcPr>
          <w:p>
            <w:pPr>
              <w:spacing w:after="0"/>
              <w:rPr>
                <w:sz w:val="1"/>
                <w:szCs w:val="1"/>
                <w:color w:val="auto"/>
              </w:rPr>
            </w:pPr>
          </w:p>
        </w:tc>
      </w:tr>
      <w:tr>
        <w:trPr>
          <w:trHeight w:val="127"/>
        </w:trPr>
        <w:tc>
          <w:tcPr>
            <w:tcW w:w="8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lease liability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Total non-current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5,149</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71"/>
        </w:trPr>
        <w:tc>
          <w:tcPr>
            <w:tcW w:w="8400" w:type="dxa"/>
            <w:vAlign w:val="bottom"/>
          </w:tcPr>
          <w:p>
            <w:pPr>
              <w:ind w:left="360"/>
              <w:spacing w:after="0"/>
              <w:rPr>
                <w:sz w:val="20"/>
                <w:szCs w:val="20"/>
                <w:color w:val="auto"/>
              </w:rPr>
            </w:pPr>
            <w:r>
              <w:rPr>
                <w:rFonts w:ascii="Arial" w:cs="Arial" w:eastAsia="Arial" w:hAnsi="Arial"/>
                <w:sz w:val="14"/>
                <w:szCs w:val="14"/>
                <w:b w:val="1"/>
                <w:bCs w:val="1"/>
                <w:color w:val="auto"/>
              </w:rPr>
              <w:t>Total liabilities</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19,352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13,493</w:t>
            </w:r>
          </w:p>
        </w:tc>
        <w:tc>
          <w:tcPr>
            <w:tcW w:w="0" w:type="dxa"/>
            <w:vAlign w:val="bottom"/>
          </w:tcPr>
          <w:p>
            <w:pPr>
              <w:spacing w:after="0"/>
              <w:rPr>
                <w:sz w:val="1"/>
                <w:szCs w:val="1"/>
                <w:color w:val="auto"/>
              </w:rPr>
            </w:pPr>
          </w:p>
        </w:tc>
      </w:tr>
      <w:tr>
        <w:trPr>
          <w:trHeight w:val="127"/>
        </w:trPr>
        <w:tc>
          <w:tcPr>
            <w:tcW w:w="8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Ordinary £0.05 par value shares; 488,304,446 and 105,326,638 issued, and 463,304,446 and 105,326,638 outstanding, at December 31, 2020</w:t>
            </w:r>
          </w:p>
        </w:tc>
        <w:tc>
          <w:tcPr>
            <w:tcW w:w="34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0" w:type="dxa"/>
            <w:vAlign w:val="bottom"/>
          </w:tcPr>
          <w:p>
            <w:pPr>
              <w:spacing w:after="0"/>
              <w:rPr>
                <w:sz w:val="1"/>
                <w:szCs w:val="1"/>
                <w:color w:val="auto"/>
              </w:rPr>
            </w:pPr>
          </w:p>
        </w:tc>
      </w:tr>
      <w:tr>
        <w:trPr>
          <w:trHeight w:val="106"/>
        </w:trPr>
        <w:tc>
          <w:tcPr>
            <w:tcW w:w="84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and 2019, respectively</w:t>
            </w:r>
          </w:p>
        </w:tc>
        <w:tc>
          <w:tcPr>
            <w:tcW w:w="34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840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8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366,411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179,535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Ordinary shares held in treasury</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(207,050)</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(141,779)</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Total shareholders' equity</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184,854</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42,741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204,206</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56,234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w w:val="89"/>
              </w:rPr>
              <w:t>2019</w:t>
            </w: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44,505</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42,417</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29,772</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9,986</w:t>
            </w:r>
          </w:p>
        </w:tc>
      </w:tr>
      <w:tr>
        <w:trPr>
          <w:trHeight w:val="17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74,277</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52,403</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(74,277)</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(52,403)</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Other income / (expense)</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from R&amp;D tax credit</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9,283</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2,066</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exchange gain / (loss)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r>
      <w:tr>
        <w:trPr>
          <w:trHeight w:val="17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net</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9,277</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11,914</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(65,000)</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(40,489)</w:t>
            </w: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820" w:type="dxa"/>
            <w:vAlign w:val="bottom"/>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(65,146)</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(40,561)</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(loss) / income:</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w:t>
            </w: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shareholders of the Company</w:t>
            </w: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(67,467)</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(39,213)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8"/>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per ordinary share — basic and diluted</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80" w:type="dxa"/>
            <w:vAlign w:val="bottom"/>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Ordinary shares</w:t>
            </w: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Additional paid-in</w:t>
            </w:r>
          </w:p>
        </w:tc>
        <w:tc>
          <w:tcPr>
            <w:tcW w:w="11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9"/>
              </w:rPr>
              <w:t>Ordinary shares held</w:t>
            </w: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 other</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w w:val="92"/>
              </w:rPr>
              <w:t>Total shareholders'</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380" w:type="dxa"/>
            <w:vAlign w:val="bottom"/>
            <w:gridSpan w:val="2"/>
          </w:tcPr>
          <w:p>
            <w:pPr>
              <w:ind w:left="44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capital</w:t>
            </w:r>
          </w:p>
        </w:tc>
        <w:tc>
          <w:tcPr>
            <w:tcW w:w="16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in treasury</w:t>
            </w: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loss</w:t>
            </w: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3"/>
                <w:szCs w:val="13"/>
                <w:color w:val="auto"/>
              </w:rPr>
            </w:pPr>
          </w:p>
        </w:tc>
        <w:tc>
          <w:tcPr>
            <w:tcW w:w="1140" w:type="dxa"/>
            <w:vAlign w:val="bottom"/>
          </w:tcPr>
          <w:p>
            <w:pPr>
              <w:jc w:val="right"/>
              <w:ind w:right="411"/>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2019</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105,326,638</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176,416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78,861</w:t>
            </w:r>
          </w:p>
        </w:tc>
        <w:tc>
          <w:tcPr>
            <w:tcW w:w="0" w:type="dxa"/>
            <w:vAlign w:val="bottom"/>
          </w:tcPr>
          <w:p>
            <w:pPr>
              <w:spacing w:after="0"/>
              <w:rPr>
                <w:sz w:val="1"/>
                <w:szCs w:val="1"/>
                <w:color w:val="auto"/>
              </w:rPr>
            </w:pPr>
          </w:p>
        </w:tc>
      </w:tr>
      <w:tr>
        <w:trPr>
          <w:trHeight w:val="118"/>
        </w:trPr>
        <w:tc>
          <w:tcPr>
            <w:tcW w:w="2480" w:type="dxa"/>
            <w:vAlign w:val="bottom"/>
          </w:tcPr>
          <w:p>
            <w:pPr>
              <w:ind w:left="180"/>
              <w:spacing w:after="0" w:line="118" w:lineRule="exact"/>
              <w:rPr>
                <w:sz w:val="20"/>
                <w:szCs w:val="20"/>
                <w:color w:val="auto"/>
              </w:rPr>
            </w:pPr>
            <w:r>
              <w:rPr>
                <w:rFonts w:ascii="Arial" w:cs="Arial" w:eastAsia="Arial" w:hAnsi="Arial"/>
                <w:sz w:val="13"/>
                <w:szCs w:val="13"/>
                <w:color w:val="auto"/>
              </w:rPr>
              <w:t>Cumulative effect adjustment for ASU</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2016-02 adoption</w:t>
            </w:r>
          </w:p>
        </w:tc>
        <w:tc>
          <w:tcPr>
            <w:tcW w:w="1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balance at January 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105,326,638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176,416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(101,218)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78,835</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(40,561)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(40,561)</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Effect of foreign currency translation</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38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105,326,638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179,535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42,741</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(65,146)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(65,146)</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Effect of foreign currency translation</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38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Issuance of ordinary shares, net of</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355,831,184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22,700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164,660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187,360</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Issuance of ordinary shares to treasury</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4"/>
              </w:rPr>
              <w:t>(1,700)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Issuance of ordinary shares from</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Arial" w:cs="Arial" w:eastAsia="Arial" w:hAnsi="Arial"/>
                <w:sz w:val="14"/>
                <w:szCs w:val="14"/>
                <w:color w:val="auto"/>
              </w:rPr>
              <w:t>restricted share units and share</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2,146,624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Arial" w:cs="Arial" w:eastAsia="Arial" w:hAnsi="Arial"/>
                <w:sz w:val="14"/>
                <w:szCs w:val="14"/>
                <w:color w:val="auto"/>
              </w:rPr>
              <w:t>options</w:t>
            </w: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0" w:type="dxa"/>
            <w:vAlign w:val="bottom"/>
          </w:tcPr>
          <w:p>
            <w:pPr>
              <w:spacing w:after="0"/>
              <w:rPr>
                <w:sz w:val="1"/>
                <w:szCs w:val="1"/>
                <w:color w:val="auto"/>
              </w:rPr>
            </w:pPr>
          </w:p>
        </w:tc>
      </w:tr>
      <w:tr>
        <w:trPr>
          <w:trHeight w:val="171"/>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488,304,446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366,411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w w:val="94"/>
              </w:rPr>
              <w:t>(1,700)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(207,050)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184,854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w w:val="89"/>
              </w:rPr>
              <w:t>2019</w:t>
            </w: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(65,146)</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(40,561)</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Foreign exchange (gain) / loss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(2,060)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debt issue costs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Accretion of redemption premium on debt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movement on warrants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Impairment of right-of-use asset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510</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Changes in operating assets and liabilities: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Prepaid expenses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and tax incentive receivables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assets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(1,734)</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r>
      <w:tr>
        <w:trPr>
          <w:trHeight w:val="180"/>
        </w:trPr>
        <w:tc>
          <w:tcPr>
            <w:tcW w:w="840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849</w:t>
            </w:r>
          </w:p>
        </w:tc>
      </w:tr>
      <w:tr>
        <w:trPr>
          <w:trHeight w:val="18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71"/>
        </w:trPr>
        <w:tc>
          <w:tcPr>
            <w:tcW w:w="8400" w:type="dxa"/>
            <w:vAlign w:val="bottom"/>
          </w:tcPr>
          <w:p>
            <w:pPr>
              <w:ind w:left="36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(45,076)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(42,868)</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Purchases of furniture and equipment</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short-term investments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(9,777)</w:t>
            </w:r>
          </w:p>
        </w:tc>
      </w:tr>
      <w:tr>
        <w:trPr>
          <w:trHeight w:val="18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Sale of short-term investments</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9,792</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57,144</w:t>
            </w:r>
          </w:p>
        </w:tc>
      </w:tr>
      <w:tr>
        <w:trPr>
          <w:trHeight w:val="171"/>
        </w:trPr>
        <w:tc>
          <w:tcPr>
            <w:tcW w:w="8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investing activities</w:t>
            </w: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47,314</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ordinary shares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200,156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Payment of offering costs in connection with the issuance of ordinary shares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(12,748)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term loan</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Term loan issuance costs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share options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192,343</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1"/>
        </w:trPr>
        <w:tc>
          <w:tcPr>
            <w:tcW w:w="8400" w:type="dxa"/>
            <w:vAlign w:val="bottom"/>
          </w:tcPr>
          <w:p>
            <w:pPr>
              <w:ind w:left="280"/>
              <w:spacing w:after="0"/>
              <w:rPr>
                <w:sz w:val="20"/>
                <w:szCs w:val="20"/>
                <w:color w:val="auto"/>
              </w:rPr>
            </w:pPr>
            <w:r>
              <w:rPr>
                <w:rFonts w:ascii="Arial" w:cs="Arial" w:eastAsia="Arial" w:hAnsi="Arial"/>
                <w:sz w:val="14"/>
                <w:szCs w:val="14"/>
                <w:color w:val="auto"/>
              </w:rPr>
              <w:t>Net increase in cash and cash equivalents</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157,558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5,185</w:t>
            </w:r>
          </w:p>
        </w:tc>
      </w:tr>
      <w:tr>
        <w:trPr>
          <w:trHeight w:val="181"/>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25,243</w:t>
            </w:r>
          </w:p>
        </w:tc>
      </w:tr>
      <w:tr>
        <w:trPr>
          <w:trHeight w:val="171"/>
        </w:trPr>
        <w:tc>
          <w:tcPr>
            <w:tcW w:w="8400" w:type="dxa"/>
            <w:vAlign w:val="bottom"/>
          </w:tcPr>
          <w:p>
            <w:pPr>
              <w:ind w:left="18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187,986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2"/>
        </w:trPr>
        <w:tc>
          <w:tcPr>
            <w:tcW w:w="8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80"/>
        </w:trPr>
        <w:tc>
          <w:tcPr>
            <w:tcW w:w="8400" w:type="dxa"/>
            <w:vAlign w:val="bottom"/>
          </w:tcPr>
          <w:p>
            <w:pPr>
              <w:ind w:left="180"/>
              <w:spacing w:after="0"/>
              <w:rPr>
                <w:sz w:val="20"/>
                <w:szCs w:val="20"/>
                <w:color w:val="auto"/>
              </w:rPr>
            </w:pPr>
            <w:r>
              <w:rPr>
                <w:rFonts w:ascii="Arial" w:cs="Arial" w:eastAsia="Arial" w:hAnsi="Arial"/>
                <w:sz w:val="14"/>
                <w:szCs w:val="14"/>
                <w:color w:val="auto"/>
              </w:rPr>
              <w:t>Income taxes paid</w:t>
            </w:r>
          </w:p>
        </w:tc>
        <w:tc>
          <w:tcPr>
            <w:tcW w:w="8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8"/>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description of business operations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Verona Pharma plc (the "Company") is incorporated and domiciled in the United Kingdom. Verona Pharma plc has two wholly-owned subsidiaries, Verona Pharma, Inc., a Delaware corporation and Rhinopharma Limited ("Rhinopharma"), a Canadian company. The address of the registered office is 1 Central Square, Cardiff, CF10 1FS, United Kingdom.</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Company is a clinical-stage biopharmaceutical group focused on developing and commercializing innovative therapeutics for the treatment of respiratory diseases with significant unmet medical needs. The Company listed its American Depositary Shares ("ADSs") on Nasdaq in April, 2017, which trade under the symbol “VRNA". The Company’s ordinary shares were also listed on the Alternative Investment Market of the London Stock Exchange (“AIM”) until October 30, 2020, when the shares were delisted from AIM in an effort to enhance liquidity of trading by combining all transactions on Nasdaq and to reduce costs through removing duplicative listing and compliance fees.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has incurred recurring losses and negative cashflows from operations since inception, and has an accumulated deficit of $207.1 million as of December 31, 2020. The Company expects to incur additional losses and negative cash flows from operations until its products potentially gain regulatory approval and reach commercial profitability, if at all.</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July, 2020, the Company raised $200 million in a private placement (the "Private Placement"), with net proceeds after transaction related fees and expenses of $185.5 million. Additionally, in November, 2020, the Company entered into a term loan facility with Silicon Valley Bank for up to $30 million (the “Term Loan”). As of December 31, 2020, $5 million had been drawn down. The Company expects that its cash and cash equivalents as of December 31, 2020, will be sufficient to fund its operating expenses and capital expenditure requirements for at least the next 12 months from the date of issuance.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Basis of Presentation and Summary of Significant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 and consolidation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consolidated financial statements include the accounts of Verona Pharma plc and its wholly-owned subsidiaries Verona Pharma, Inc. and Rhinopharma. All inter-company balances and transactions have been eliminated.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consolidated financial statements have been prepared in accordance with accounting principles generally accepted in the U.S. ("US GAAP") and the following accounting policies have been consistently applied.</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Previously, the Company prepared its consolidated financial statements in accordance with International Financial Reporting Standards as issued by the International Accounting Standards Board ("IFRS").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At the end of the second quarter of 2020, the Company determined that it no longer qualified as a Foreign Private Issuer under SEC rules. As a result, beginning January 1, 2020, the Company is required to report with the SEC on domestic forms and comply with domestic company rules in the United States. The transition to US GAAP was made retrospectively for all periods from the Company’s inception.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7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accrual and prepayment of research and development expenses, the fair value of share-based compensation and the fair value of warrants. Estimates are periodically reviewed in light of changes in circumstances, facts and experience. Changes in estimates are recorded in the period in which they become known. Actual results could differ from the Company’s estimates.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fair value of any asset or liability resulting from a contingent consideration arrangement. The excess of the cost of acquisition over the fair value of the Company's share of the identifiable net assets acquired is recorded as goodwill.</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considers all highly liquid investments purchased with original maturities of ninety days or less at acquisition to be cash equivalents. Cash and cash equivalents includes deposits held at call with banks, term deposits with maturities of less than three months at inception, and in money market funds investing in U.S. and U.K. government debt and liquid securities from highly rated institutions.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Short-term investments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Short-term investments include fixed term deposits held at banks with original maturities between three months and a year. They are classified as loans and receivables and are measured at amortized cost using the effective interest method.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Furniture and equipment, net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Furniture and equipment comprise office furniture and computer equipment and are stated at cost less accumulated depreciation, which is calculated on a straight-line basis over the expected useful economic lives, generally two to five years.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Goodwill consists of goodwill related to the acquisition of Rhinopharma. Goodwill is not amortized but periodically tested for impairment.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Company reviews long lived assets for impairment annually or whenever events or changes in circumstances indicate that the carrying amount of assets may not be fully recoverable. The Company initially compares the market capitalization of the Company to the book value of its assets. If the value of the market capitalization does not support the valuation of the assets, the Company reviews estimates of the cash flows over the remaining lives of its other intangible assets, or related group of assets where applicable, in measuring whether the assets to be held and used will be realizable. In the event of impairment, the Company would discount the future cash flows using its then estimated incremental borrowing rate to estimate the amount of the impairment.</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Effective January 1, 2019, the Company adopted ASC 842, Leases (“ASC842”) using the modified retrospective transition approach and did not restate comparative periods. The Company determines if an arrangement is a lease at inception. Leases are classified as operating or finance leases in accordance with the recognition criteria in ASC 842-20-25. The Company’s lease portfolio consists entirely of operating leases as of December 31, 2020. The Company’s leases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Ligand agreement</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is obligated to pay a milestone payment on obtaining the first approval of any regulatory authority for the commercialization of a Licensed Product, low single digit royalties based on the future sales performance of all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At the time each contingency is resolved, the Company will record the contingent consideration payment (or payable) in connection with the Ligand Agreement as an expense and will classify it within R&amp;D expenses.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Research and development (“R&amp;D”) costs are expensed as incurred. Research and development expenses include salaries, share-based compensation and benefits of employees, and other costs related to the Company’s R&amp;D activities, including contracts with clinical research organizations and contract manufacturers. As part of the process of preparing financial statements the Company is required to estimate its expenses resulting from its obligation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financial statements by matching those expenses with the period in which services and efforts are expended. The Company accounts for these expenses according to the progress of the trials and other development activities measured by patient progression and the timing of various aspects of the trial. The Company determines prepaid and accrual estimates through discussions with applicable personnel and outside service providers as to the progress of clinical trials, or other services completed. During the course of a clinical trial, the Company adjusts its rate of clinical trial expense recognition if actual results differ from its estimates. The Company makes estimates of its prepaid and accrued expenses as of each balance sheet date in its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compensation</w:t>
      </w:r>
    </w:p>
    <w:p>
      <w:pPr>
        <w:spacing w:after="0" w:line="72"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Company has a share-based compensation plan under which various types of equity-based awards may be granted, including stock options and restricted stock units (RSUs). The fair value of share options and RSUs, which are subject to service conditions with graded vesting, are recognized as compensation expense using the cliff vesting method; forfeitures are recognized as they occur.</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Company uses the fair-value based method to determine compensation for all arrangements under which employees receive shares. The fair value of each option and RSU is estimated on the date of grant using the Black-Scholes valuation model that uses assumptions for expected volatility, expected dividends, expected term, and the risk-free interest rate. Expected volatility is based on the historical volatility of the Company’s ordinary shares over the expected term of the options. The expected term of options granted is derived using the simplified method, which computes the expected term as the average of the sum of the vesting term plus the contract term. Historically the risk-free rate has been based on the appropriate U.K. government debt yield. After delisting its Ordinary shares from AIM on October 30, 2020, the Company began using U.S. government debt yields.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Details of the assumptions used are set out in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 United Kingdom R&amp;D tax credits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Other operating income relates to R&amp;D tax credits receivable in the UK. As a company that carries out extensive research and development activities, Verona is subject to the UK R&amp;D Small and Medium Enterprise (“SME”) Program. Qualifying expenditures largely comprise employment costs for research staff, consumables, a proportion of relevant, permitted sub-contract costs and certain internal overhead costs incurred as part of research projects for which it does not receive income.</w:t>
      </w:r>
    </w:p>
    <w:p>
      <w:pPr>
        <w:spacing w:after="0" w:line="54" w:lineRule="exact"/>
        <w:rPr>
          <w:sz w:val="20"/>
          <w:szCs w:val="20"/>
          <w:color w:val="auto"/>
        </w:rPr>
      </w:pPr>
    </w:p>
    <w:p>
      <w:pPr>
        <w:ind w:right="120"/>
        <w:spacing w:after="0" w:line="347" w:lineRule="auto"/>
        <w:rPr>
          <w:sz w:val="20"/>
          <w:szCs w:val="20"/>
          <w:color w:val="auto"/>
        </w:rPr>
      </w:pPr>
      <w:r>
        <w:rPr>
          <w:rFonts w:ascii="Arial" w:cs="Arial" w:eastAsia="Arial" w:hAnsi="Arial"/>
          <w:sz w:val="14"/>
          <w:szCs w:val="14"/>
          <w:color w:val="auto"/>
        </w:rPr>
        <w:t xml:space="preserve">Tax credits related to the SME Program are received as cash and are recorded as other income, as they are akin to grant income, in the consolidated statements of operations and comprehensive loss. </w:t>
      </w:r>
      <w:r>
        <w:rPr>
          <w:rFonts w:ascii="Arial" w:cs="Arial" w:eastAsia="Arial" w:hAnsi="Arial"/>
          <w:sz w:val="14"/>
          <w:szCs w:val="14"/>
          <w:i w:val="1"/>
          <w:iCs w:val="1"/>
          <w:color w:val="auto"/>
        </w:rPr>
        <w:t>Income taxes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accounts for income taxes in accordance with ASC 740, “Income Taxes” (“ASC 740”).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Comprehensive loss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accounts for comprehensive loss in accordance with ASC 220, “Income Statement - Reporting Comprehensive Income”. Comprehensive income represents all changes in stockholders’ equity during the period except those resulting from investments by, or distributions to, stockholders.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Reporting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one operating and reportable segment, pharmaceutical development. The Company’s long-lived assets are held in the United Kingdom.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Currencies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Reporting currency</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Company’s reporting currency is U.S. dollars. Prior to July 1, 2020, Verona Pharma plc’s functional currency was pounds sterling and its financial statements were translated to U.S. dollars. The statement of comprehensive income was translated at average rates for the period, assets and liabilities at the balance sheet date exchange rate and equity balances at historical rates. Translation differences were recorded in accumulated other comprehensive income / (loss).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Functional currency</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Company's consolidated financial statements are measured using the currency of the primary economic environment in which the entity operates, which was pounds sterling for Verona Pharma plc until June 30, 2020.</w:t>
      </w:r>
    </w:p>
    <w:p>
      <w:pPr>
        <w:spacing w:after="0" w:line="4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the six months to June 30, 2020, management changes resulted in lower people costs being paid in pounds sterling. Following the Private Placement the Company entered into contracts to commence Phase 3 trials for ensifentrine and the majority of the costs are incurred in U.S. dollars. Management reviewed budgeted activities over the next five years and identified that the majority of costs from the second half of 2020 onwards will be incurred in U.S. dollars. Furthermore, the Private Placement in July, 2020, raised funds in U.S. dollars and having delisted from AIM any future fundraises will be in U.S. dollars. Also, the commercial focus of Company is the U.S. market.</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As a consequence, management determined the Company's functional currency changed from pounds sterling to U.S. dollars and this has been accounted for prospectively from July 1, 2020. To convert Verona Pharma plc’s books and records into U.S. dollars income and expenses were translated at average rates, assets and liabilities at the June 30, 2020, exchange rate and equity balances at historical rates. Translation differences were recorded in accumulated other comprehensive income / (loss).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the year ended December 31, 2020, the Company incorporated a trust to facilitate the acquisition of shares, by or for the benefit of employees and former employees. The Company issued 25 million ordinary shares (equivalent to 3.125 million ADSs) to cover expected shares issued upon the vesting of share awards to employees.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 as treasury shares.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financial instruments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Our financial instruments include cash equivalents, short-term investments, other assets, accounts payable and accrued expenses and other liabilities. Fair value estimates of these instruments are made at a specific point in time, based on relevant market information. These estimates may be subjective in nature and involve uncertainties and matters of significant judgement and therefore cannot be determined with precision. The carrying amounts of these instruments are considered to be representative of their fair values because of their short-term nature.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 of credit risk</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Financial instruments that potentially subject the Company to concentration of credit risk consist of principally cash and cash equivalents, bank deposits and certain receivables.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holds cash and cash equivalents with highly rated financial institutions and in highly rated money market funds and the Company has not experienced any significant credit losses in these accounts and does not believe the Company is exposed to any significant credit risk on these instruments.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In February 2016, the FASB issued ASU No. 2016-02, “Leases” (Topic 842) (“ASC 842”). The standard requires lessees to recognize almost all leases on the balance sheet as right-of-use (“ROU”) assets and lease liabilities, and requires leases to be classified as either an operating or a finance type lease. The standard excludes leases of intangible assets or inventory. The standard became effective for the Company beginning January 1, 2019. The Company adopted ASC 842 using the modified retrospective approach, by applying the new standard to all leases existing at the date of initial application. Results and disclosure requirements for reporting periods beginning after January 1, 2019, are presented under ASC 842, while prior period amounts have not been adjusted and continue to be reported in accordance with our historical accounting under ASC 840 “Leases”. The Company elected the package of practical expedients permitted under ASC 842, which also allowed the Company to carry forward historical lease classifications. The Company also elected the practical expedient related to treating lease and non-lease components as a single lease component for all equipment leases as well as electing a policy exclusion permitting leases with an original lease term of less than one year to be excluded from the ROU assets and lease liabilities.</w:t>
      </w:r>
    </w:p>
    <w:p>
      <w:pPr>
        <w:spacing w:after="0" w:line="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a result of the adoption of ASC 842 on January 1, 2019, the Company recorded an operating lease ROU asset of $415 thousand and an operating lease liability of $441 thousand. The adoption increased opening accumulated losses by $26 thousand but did not impact the Company's prior year financial statements.</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ASC 842, the Company determines if an arrangement is a lease at inception. ROU assets and liabilities are recognized at the commencement date based on the present value of remaining lease payments over the lease term. For this purpose, the Company considers only payments that are fixed and determinable at the time of commencement.</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the Company's leases do not provide an implicit rate, the Company determined the incremental borrowing rate in determining the present value of lease payments. The ROU assets also include any lease payments made prior to commencement and are recorded net of any lease incentives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leases are included in operating lease ROU assets and current and non-current operating lease liabilities, on the Company's consolidated balance sheets.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FASB issued ASU 2020-04 to provide optional expedients and exceptions for applying US GAAP to contract modifications, hedging relationships, and other transactions affected by the anticipated transition away from LIBOR. There is no material impact of the adoption of ASU 2020-04 on our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 not yet adopted</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In June 2016, the FASB issued ASU 2016-13, Financial Instruments-Credit Losses (Topic 326)-Measurement of Credit Losses on Financial Instruments. This guidance replaces the current incurred loss impairment methodology.</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Under the new guidance,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In November 2019, the FASB issued ASU No. 2019-10, Financial Instruments - Credit Losses (Topic 326), Derivatives and Hedging (Topic 815), and Leases (Topic 842): Effective Dates (“ASU 2019-10”). The purpose of this amendment is to create a two tier rollout of major updates, staggering the effective dates between larger public companies and all other entities. This granted certain classes of companies, including Smaller Reporting Companies (“SRCs”), additional time to implement major FASB standards, including ASU 2016-13. Larger public companies will have an effective date for fiscal years beginning after December 15, 2019, including interim periods within those fiscal years. All other entities are permitted to defer adoption of ASU 2016-13, and its related amendments, until the earlier of fiscal periods beginning after December 15, 2022. Under the current SEC definitions, we meet the definition of an SRC as of the ASU 2019-10 issuance date and are deferring adoption for ASU 2016-13. The guidance requires a modified retrospective transition approach through a cumulative-effect adjustment to retained earnings as of the beginning of the period of adoption. We are currently evaluating the impact of the adoption of ASU 2016-13 on our consolidated financial statements, but do not believe the adoption of this standard will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Prepaid expenses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Clinical trial and other development costs</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Insurance</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prepaid expenses and other current assets</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Note 4 - Tax and tax incentive receivables</w:t>
            </w: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0" w:type="dxa"/>
            <w:vAlign w:val="bottom"/>
          </w:tcPr>
          <w:p>
            <w:pPr>
              <w:spacing w:after="0"/>
              <w:rPr>
                <w:sz w:val="20"/>
                <w:szCs w:val="20"/>
                <w:color w:val="auto"/>
              </w:rPr>
            </w:pPr>
            <w:r>
              <w:rPr>
                <w:rFonts w:ascii="Arial" w:cs="Arial" w:eastAsia="Arial" w:hAnsi="Arial"/>
                <w:sz w:val="14"/>
                <w:szCs w:val="14"/>
                <w:color w:val="auto"/>
              </w:rPr>
              <w:t>Taxes receivable consisted of the following (in thousands):</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R&amp;D tax credit receivable - U.K.</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 receivable - U.S.</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tax receivable</w:t>
            </w: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Property leases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right-of-use assets (“ROU”) relate to rented office space in London and North Carolina, with leases ending in 2022 and 2024, respectively.</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the year ended December 31, 2019, the Company determined that it was reasonably likely to extend its existing London lease. As a consequence it modified its accounting for the lease and recorded an additional $0.7 million ROU and associated liability. The Company has the option to further extend this lease but is not reasonably certain to do so and therefore has not recognized this extension as an asset and liability.</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In the year ended December 31, 2019, the Company entered in to a lease arrangement in New York for serviced offices and recognized a right of use asset and corresponding lease liability of $0.4 million. In the year ended December 31, 2020, the Company’s New York office was closed and the related ROU asset of $290 thousand was subsequently expensed in the consolidated statements of operations and comprehensive loss. The Company retains a liability of $195 thousand relating to this lease arrangement.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In the year ended December 31, 2020, the Company entered into a lease arrangement in North Carolina for office space and recognized an ROU asset and corresponding lease liability of $0.7 million.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80" w:type="dxa"/>
            <w:vAlign w:val="bottom"/>
            <w:gridSpan w:val="2"/>
          </w:tcPr>
          <w:p>
            <w:pPr>
              <w:spacing w:after="0"/>
              <w:rPr>
                <w:sz w:val="20"/>
                <w:szCs w:val="20"/>
                <w:color w:val="auto"/>
              </w:rPr>
            </w:pPr>
            <w:r>
              <w:rPr>
                <w:rFonts w:ascii="Arial" w:cs="Arial" w:eastAsia="Arial" w:hAnsi="Arial"/>
                <w:sz w:val="14"/>
                <w:szCs w:val="14"/>
                <w:color w:val="auto"/>
              </w:rPr>
              <w:t>To calculate lease liabilities the Company used a weighted average discount rate of 8%. The weighted average remaining lease term is 2.2 years.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9480" w:type="dxa"/>
            <w:vAlign w:val="bottom"/>
            <w:gridSpan w:val="2"/>
          </w:tcPr>
          <w:p>
            <w:pPr>
              <w:spacing w:after="0"/>
              <w:rPr>
                <w:sz w:val="20"/>
                <w:szCs w:val="20"/>
                <w:color w:val="auto"/>
              </w:rPr>
            </w:pPr>
            <w:r>
              <w:rPr>
                <w:rFonts w:ascii="Arial" w:cs="Arial" w:eastAsia="Arial" w:hAnsi="Arial"/>
                <w:sz w:val="14"/>
                <w:szCs w:val="14"/>
                <w:color w:val="auto"/>
              </w:rPr>
              <w:t>Minimum annual payments over the remaining lease periods as of December 31, 2020 are as follows (in thousands):</w:t>
            </w: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2022</w:t>
            </w:r>
          </w:p>
        </w:tc>
        <w:tc>
          <w:tcPr>
            <w:tcW w:w="7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7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4"/>
                <w:szCs w:val="14"/>
                <w:color w:val="auto"/>
              </w:rPr>
              <w:t>Total minimum future lease payments</w:t>
            </w: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imputed interest</w:t>
            </w:r>
          </w:p>
        </w:tc>
        <w:tc>
          <w:tcPr>
            <w:tcW w:w="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operating lease liabilities</w:t>
            </w: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total operating lease expense included in general and administrative costs was $692,000.</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Under the prior lease accounting guidance minimum rental commitments under non-cancelable leases, for each of the five years and total thereafter as of December 31, 2019,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w w:val="89"/>
              </w:rPr>
              <w:t>2024</w:t>
            </w:r>
          </w:p>
        </w:tc>
        <w:tc>
          <w:tcPr>
            <w:tcW w:w="0" w:type="dxa"/>
            <w:vAlign w:val="bottom"/>
          </w:tcPr>
          <w:p>
            <w:pPr>
              <w:spacing w:after="0"/>
              <w:rPr>
                <w:sz w:val="1"/>
                <w:szCs w:val="1"/>
                <w:color w:val="auto"/>
              </w:rPr>
            </w:pPr>
          </w:p>
        </w:tc>
      </w:tr>
      <w:tr>
        <w:trPr>
          <w:trHeight w:val="20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Minimum lease payments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Note 6 - Accrued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940" w:type="dxa"/>
            <w:vAlign w:val="bottom"/>
          </w:tcPr>
          <w:p>
            <w:pPr>
              <w:spacing w:after="0"/>
              <w:rPr>
                <w:sz w:val="20"/>
                <w:szCs w:val="20"/>
                <w:color w:val="auto"/>
              </w:rPr>
            </w:pPr>
            <w:r>
              <w:rPr>
                <w:rFonts w:ascii="Arial" w:cs="Arial" w:eastAsia="Arial" w:hAnsi="Arial"/>
                <w:sz w:val="14"/>
                <w:szCs w:val="14"/>
                <w:color w:val="auto"/>
              </w:rPr>
              <w:t>Accrued expenses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39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Clinical trial and other development costs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6,394</w:t>
            </w:r>
          </w:p>
        </w:tc>
        <w:tc>
          <w:tcPr>
            <w:tcW w:w="0" w:type="dxa"/>
            <w:vAlign w:val="bottom"/>
          </w:tcPr>
          <w:p>
            <w:pPr>
              <w:spacing w:after="0"/>
              <w:rPr>
                <w:sz w:val="1"/>
                <w:szCs w:val="1"/>
                <w:color w:val="auto"/>
              </w:rPr>
            </w:pPr>
          </w:p>
        </w:tc>
      </w:tr>
      <w:tr>
        <w:trPr>
          <w:trHeight w:val="180"/>
        </w:trPr>
        <w:tc>
          <w:tcPr>
            <w:tcW w:w="3940" w:type="dxa"/>
            <w:vAlign w:val="bottom"/>
          </w:tcPr>
          <w:p>
            <w:pPr>
              <w:ind w:left="20"/>
              <w:spacing w:after="0"/>
              <w:rPr>
                <w:sz w:val="20"/>
                <w:szCs w:val="20"/>
                <w:color w:val="auto"/>
              </w:rPr>
            </w:pPr>
            <w:r>
              <w:rPr>
                <w:rFonts w:ascii="Arial" w:cs="Arial" w:eastAsia="Arial" w:hAnsi="Arial"/>
                <w:sz w:val="14"/>
                <w:szCs w:val="14"/>
                <w:color w:val="auto"/>
              </w:rPr>
              <w:t>Professional fees, listing and general corporate costs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2,191</w:t>
            </w: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People related costs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Total accrued expenses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10,863</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include people costs, professional fees and other accrued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Warrants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2016, the Company issued 31,115,926 units to new and existing investors at the placing price of £1.4365 per unit. Each unit comprised one ordinary share and one warrant. The warrant holders can subscribe for 0.4 of an ordinary share at a per share exercise price of £1.7238 until May 2, 2022. The warrant holders can opt for a cashless exercise of their warrants, whereby the warrant holders can choose to exchange the warrants held for a reduced number of warrants exercisable at nil consideration. The reduced number of warrants is calculated based on a formula considering the share price and the exercise price of the warrants.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2020, 31,003,155 warrants remain outstanding and entitle the investors to subscribe for, in aggregate, a maximum of 12,401,262 ordinary shares.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If, after a transaction, should the warrants be exercisable for unlisted securities, the warrant holders may demand a cash payment instead of the delivery of the underlying securities. Accordingly, the warrants are accounted for as a liability under ASC 480 “Distinguishing Liabilities from Equity”.The warrants are measured at fair value, Level 3 in the fair value hierarchy, with movements recorded in finance income / (expense) in the consolidated statements of operations and comprehensive loss.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In the years ended December 31, 2020, and 2019, no warrants were exercised or forfeited.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warrants had no intrinsic value as at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changes in valuation techniques or transfers between fair value measurement levels during the years ended December 31, 2020 and 2019. The warrants are valued using the Black-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Scholes model and the table below presents the assumptions used: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potentially issued under warrants</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12,401,262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12,401,262</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Exercise price in pounds sterling</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1.7238</w:t>
            </w:r>
          </w:p>
        </w:tc>
        <w:tc>
          <w:tcPr>
            <w:tcW w:w="10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1.7238</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Equivalent price of ordinary share (ADS price divided by eight)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0.54 %</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to exercise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Annualized volatility</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65.6 %</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rate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Calculated value of the warrants, in thousands of U.S. dollars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color w:val="auto"/>
              </w:rPr>
              <w:t>The following table shows the movement of the value of the warrants (in thousands):</w:t>
            </w: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center"/>
              <w:ind w:left="573"/>
              <w:spacing w:after="0"/>
              <w:rPr>
                <w:sz w:val="20"/>
                <w:szCs w:val="20"/>
                <w:color w:val="auto"/>
              </w:rPr>
            </w:pPr>
            <w:r>
              <w:rPr>
                <w:rFonts w:ascii="Arial" w:cs="Arial" w:eastAsia="Arial" w:hAnsi="Arial"/>
                <w:sz w:val="11"/>
                <w:szCs w:val="11"/>
                <w:b w:val="1"/>
                <w:bCs w:val="1"/>
                <w:color w:val="auto"/>
                <w:w w:val="91"/>
              </w:rPr>
              <w:t>Year ended 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79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Fair value adjustment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differences recognized in loss for the period</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differences recognized in other comprehensive loss</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40" w:type="dxa"/>
            <w:vAlign w:val="bottom"/>
            <w:gridSpan w:val="5"/>
          </w:tcPr>
          <w:p>
            <w:pPr>
              <w:spacing w:after="0"/>
              <w:rPr>
                <w:sz w:val="20"/>
                <w:szCs w:val="20"/>
                <w:color w:val="auto"/>
              </w:rPr>
            </w:pPr>
            <w:r>
              <w:rPr>
                <w:rFonts w:ascii="Arial" w:cs="Arial" w:eastAsia="Arial" w:hAnsi="Arial"/>
                <w:sz w:val="14"/>
                <w:szCs w:val="14"/>
                <w:color w:val="auto"/>
                <w:w w:val="98"/>
              </w:rPr>
              <w:t>For the amount recognized at December 31, 2020, the effect when the following parameter deviates up or down is presented in the below table (in 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volatility increase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Base case, reported fair value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2,246</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 volatility decrease</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Term loan</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In November 2020, the Company and its wholly owned subsidiary, Verona Pharma, Inc. (the “Borrowers”) entered into a term loan facility of up to $30.0 million (the “Term Loan”),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a California corporation (“SVB”), the proceeds of which will be used for general corporate and working capital purposes.</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Term Loan is governed by a loan and security agreement, dated as of November 19, 2020, between the Borrowers and SVB (the “Loan Agreement”). The Term B Loan will be available, subject to and customary terms and conditions, only during the period commencing upon the achievement of a specific clinical milestone relating to ensifentrine through and including June 30, 2022. The Term C Loan will be available, subject to customary terms and conditions, only during the period commencing upon the achievement of an additional specific clinical milestone relating to ensifentrine through and including June 30, 2023.</w:t>
      </w:r>
    </w:p>
    <w:p>
      <w:pPr>
        <w:spacing w:after="0" w:line="5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Term Loan will mature on November 1, 2024. Each advance under the Term Loan accrues interest at a floating per annum rate equal to the greater of (a) 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 (ii) pays on the date of such prepayment (A) all outstanding principal plus accrued and 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 2 and/or Enhance 1, which in the reasonable business discretion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or the occurrence of any default under any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obligation of any Borrower involving indebtedness in excess of $500,000. If an event of default occurs, SVB is entitled to take enforcement action, including acceleration of amounts due under the Loan Agreement.</w:t>
      </w:r>
    </w:p>
    <w:p>
      <w:pPr>
        <w:spacing w:after="0" w:line="4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 connection with the Term Loan the Company incurred debt issuance costs totaling approximately $400 thousand which were deducted from the carrying amount of the debt and are being amortized over the estimated term of the debt using the effective interest method.</w:t>
      </w:r>
    </w:p>
    <w:p>
      <w:pPr>
        <w:spacing w:after="0" w:line="4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As of December 31, 2020, the carrying value of the Term Loan was approximately $4.6 million, of which all was due in greater than 12 months. The debt balance has been categorized within Level 3 of the fair value hierarchy. The carrying amount of the debt approximates its fair value based on prevailing interest rates as of the balance sheet date.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Benefit plans</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Company maintains a 401(k) defined contribution retirement plan in the U.S. and a defined contribution plan in the U.K. for its employees and executive director. The assets of the plans are held separately from those of the Company in independently administered funds.</w:t>
      </w:r>
    </w:p>
    <w:p>
      <w:pPr>
        <w:spacing w:after="0" w:line="4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retirement plan cost charge represents the contributions payable by the Company to the plans during the year. Defined contribution costs during the years ended December 31, 2020 and 2019 amounted to $315 thousand and $203 thousand,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Taxation</w:t>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Verona Pharma plc operates in the United Kingdom and Verona Pharma, Inc. in the United States and they are subject to income taxes in those countries. U.K. corporation tax is charged at 19% and the U.S. Federal Income tax rate is 21%.</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loss before income taxes are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51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9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United Kingdom</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68,191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components of income tax expense are as follows (in thousands):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tax expense</w:t>
            </w: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8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expense</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Total income tax expense</w:t>
            </w:r>
          </w:p>
        </w:tc>
        <w:tc>
          <w:tcPr>
            <w:tcW w:w="8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U.K. statutory income tax rate to our effective income tax rate is as follows (in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97"/>
              </w:rPr>
              <w:t>2019</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tax rate</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Non-deductible expenses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incentive</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Share options exercised</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tax valuation allowance</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Difference in overseas statutory tax rates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Significant components of the Company’s deferred tax assets and liabilities were as follows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6"/>
          </w:tcPr>
          <w:p>
            <w:pPr>
              <w:jc w:val="right"/>
              <w:ind w:right="751"/>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200" w:type="dxa"/>
            <w:vAlign w:val="bottom"/>
          </w:tcPr>
          <w:p>
            <w:pPr>
              <w:ind w:left="20"/>
              <w:spacing w:after="0"/>
              <w:rPr>
                <w:sz w:val="20"/>
                <w:szCs w:val="20"/>
                <w:color w:val="auto"/>
              </w:rPr>
            </w:pPr>
            <w:r>
              <w:rPr>
                <w:rFonts w:ascii="Arial" w:cs="Arial" w:eastAsia="Arial" w:hAnsi="Arial"/>
                <w:sz w:val="14"/>
                <w:szCs w:val="14"/>
                <w:color w:val="auto"/>
              </w:rPr>
              <w:t xml:space="preserve">Contingent liability </w:t>
            </w:r>
            <w:r>
              <w:rPr>
                <w:rFonts w:ascii="Arial" w:cs="Arial" w:eastAsia="Arial" w:hAnsi="Arial"/>
                <w:sz w:val="18"/>
                <w:szCs w:val="18"/>
                <w:color w:val="auto"/>
                <w:vertAlign w:val="superscript"/>
              </w:rPr>
              <w:t>(1)</w:t>
            </w:r>
          </w:p>
        </w:tc>
        <w:tc>
          <w:tcPr>
            <w:tcW w:w="460" w:type="dxa"/>
            <w:vAlign w:val="bottom"/>
            <w:gridSpan w:val="2"/>
            <w:vMerge w:val="restart"/>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(5,860)</w:t>
            </w:r>
          </w:p>
        </w:tc>
        <w:tc>
          <w:tcPr>
            <w:tcW w:w="20" w:type="dxa"/>
            <w:vAlign w:val="bottom"/>
          </w:tcPr>
          <w:p>
            <w:pPr>
              <w:spacing w:after="0"/>
              <w:rPr>
                <w:sz w:val="24"/>
                <w:szCs w:val="24"/>
                <w:color w:val="auto"/>
              </w:rPr>
            </w:pPr>
          </w:p>
        </w:tc>
        <w:tc>
          <w:tcPr>
            <w:tcW w:w="600" w:type="dxa"/>
            <w:vAlign w:val="bottom"/>
            <w:gridSpan w:val="2"/>
            <w:vMerge w:val="restart"/>
          </w:tcPr>
          <w:p>
            <w:pPr>
              <w:jc w:val="right"/>
              <w:ind w:right="34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42"/>
        </w:trPr>
        <w:tc>
          <w:tcPr>
            <w:tcW w:w="82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 liabilities</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(5,860)</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50"/>
        </w:trPr>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Net operating losses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19,855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12,835</w:t>
            </w:r>
          </w:p>
        </w:tc>
        <w:tc>
          <w:tcPr>
            <w:tcW w:w="0" w:type="dxa"/>
            <w:vAlign w:val="bottom"/>
          </w:tcPr>
          <w:p>
            <w:pPr>
              <w:spacing w:after="0"/>
              <w:rPr>
                <w:sz w:val="1"/>
                <w:szCs w:val="1"/>
                <w:color w:val="auto"/>
              </w:rPr>
            </w:pPr>
          </w:p>
        </w:tc>
      </w:tr>
      <w:tr>
        <w:trPr>
          <w:trHeight w:val="3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IPR&amp;D asset </w:t>
            </w:r>
            <w:r>
              <w:rPr>
                <w:rFonts w:ascii="Arial" w:cs="Arial" w:eastAsia="Arial" w:hAnsi="Arial"/>
                <w:sz w:val="18"/>
                <w:szCs w:val="18"/>
                <w:color w:val="auto"/>
                <w:vertAlign w:val="superscript"/>
              </w:rPr>
              <w:t>(1)</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5,631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Future exercisable shares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10,480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Total deferred tax assets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36,181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13,599</w:t>
            </w: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valuation allowance</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(30,321)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(13,504)</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Movements in the deferred tax valuation allowance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Valuation allowance at January 1</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13,504</w:t>
            </w:r>
          </w:p>
        </w:tc>
        <w:tc>
          <w:tcPr>
            <w:tcW w:w="20" w:type="dxa"/>
            <w:vAlign w:val="bottom"/>
          </w:tcPr>
          <w:p>
            <w:pPr>
              <w:spacing w:after="0"/>
              <w:rPr>
                <w:sz w:val="15"/>
                <w:szCs w:val="15"/>
                <w:color w:val="auto"/>
              </w:rPr>
            </w:pPr>
          </w:p>
        </w:tc>
        <w:tc>
          <w:tcPr>
            <w:tcW w:w="60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9,322</w:t>
            </w:r>
          </w:p>
        </w:tc>
        <w:tc>
          <w:tcPr>
            <w:tcW w:w="0" w:type="dxa"/>
            <w:vAlign w:val="bottom"/>
          </w:tcPr>
          <w:p>
            <w:pPr>
              <w:spacing w:after="0"/>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tax rates</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1,632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Increase in valuation allowance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14,815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Valuation allowance at December 31</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30,321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140" w:hanging="135"/>
        <w:spacing w:after="0"/>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color w:val="auto"/>
        </w:rPr>
        <w:t>These relate to the difference in the tax base of the IP R&amp;D asset and assumed contingent liability and the accounting base, which is nil under US GAAP.</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At December 31, 2020 and December 31, 2019, the Company had U.K. net operating losses (“NOLs”) of $95.7 million and $75.5 million, respectively.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files separate income tax returns in the U.K. and the U.S. All necessary income tax filings have been completed for all years up to and including December 31, 2019, and there are no ongoing tax examinations in any jurisdiction. No interest or penalties were recognized in the consolidated statements of operations or consolidated balance sheets. As of December 31, 2020, the Company has no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Share-based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Company operates various share based incentive plans for its staff and issues ordinary shares or ADSs when share-based awards are exercised.</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Company records share-based compensation expense related to share options and RSUs granted to employees and directors. The expense is included in R&amp;D and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Options are issued with an exercise price of the market price on the day of grant and generally vest over a period of one to four years and the contractual life of all options is ten years.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allocation of share-based compensation between R&amp;D and general and administrative costs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245"/>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vMerge w:val="restart"/>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20" w:type="dxa"/>
            <w:vAlign w:val="bottom"/>
            <w:shd w:val="clear" w:color="auto" w:fill="CCEEFF"/>
          </w:tcPr>
          <w:p>
            <w:pPr>
              <w:spacing w:after="0"/>
              <w:rPr>
                <w:sz w:val="21"/>
                <w:szCs w:val="21"/>
                <w:color w:val="auto"/>
              </w:rPr>
            </w:pPr>
          </w:p>
        </w:tc>
        <w:tc>
          <w:tcPr>
            <w:tcW w:w="56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84"/>
        </w:trPr>
        <w:tc>
          <w:tcPr>
            <w:tcW w:w="84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auto"/>
            </w:tcBorders>
            <w:vMerge w:val="continue"/>
            <w:shd w:val="clear" w:color="auto" w:fill="CCEEFF"/>
          </w:tcPr>
          <w:p>
            <w:pPr>
              <w:spacing w:after="0"/>
              <w:rPr>
                <w:sz w:val="7"/>
                <w:szCs w:val="7"/>
                <w:color w:val="auto"/>
              </w:rPr>
            </w:pPr>
          </w:p>
        </w:tc>
        <w:tc>
          <w:tcPr>
            <w:tcW w:w="5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auto"/>
            </w:tcBorders>
            <w:vMerge w:val="continue"/>
            <w:shd w:val="clear" w:color="auto" w:fill="CCEEFF"/>
          </w:tcPr>
          <w:p>
            <w:pPr>
              <w:spacing w:after="0"/>
              <w:rPr>
                <w:sz w:val="7"/>
                <w:szCs w:val="7"/>
                <w:color w:val="auto"/>
              </w:rPr>
            </w:pPr>
          </w:p>
        </w:tc>
        <w:tc>
          <w:tcPr>
            <w:tcW w:w="8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EMI Option Plan and Pre-IPO Option Plan</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EMI Option Plan and the Pre-IPO Option Plan were adopted by our board of directors on September 18, 2006, and July 24, 2012, respectively. The total number of shares that may be issued under these plans is the current number of outstanding options, or 114,000 ordinary shares, or 14,250 ADSs, for the EMI Option Plan and 1,860,000 ordinary shares, or 232,500 ADSs, for the Pre-IPO Option Plan.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No further awards have been granted since the 2017 Incentive Plan was adopted, and no further awards will be granted under them.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Incentive Plan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2017 Incentive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 the year ended December 31, 2019, the Company modified the terms of all RSUs issued prior to January 1, 2019 to include a market based condition, which was also included in the terms of RSUs issued during 2019. The Company's stock price must be maintained above the equivalent of £2 per ordinary share for thirty days for the RSUs to vest, in addition to the existing service condition. The RSUs vest five years after the date of grant irrespective of whether the £2 market condition was met. This modification did not result in an increase in the fair value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activity</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share option activity and includes the options outstanding from all three plans :</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Weighted average</w:t>
            </w: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400" w:type="dxa"/>
            <w:vAlign w:val="bottom"/>
          </w:tcPr>
          <w:p>
            <w:pPr>
              <w:spacing w:after="0"/>
              <w:rPr>
                <w:sz w:val="10"/>
                <w:szCs w:val="10"/>
                <w:color w:val="auto"/>
              </w:rPr>
            </w:pPr>
          </w:p>
        </w:tc>
        <w:tc>
          <w:tcPr>
            <w:tcW w:w="150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92"/>
              </w:rPr>
              <w:t>Number of share options</w:t>
            </w:r>
          </w:p>
        </w:tc>
        <w:tc>
          <w:tcPr>
            <w:tcW w:w="1500" w:type="dxa"/>
            <w:vAlign w:val="bottom"/>
            <w:gridSpan w:val="3"/>
          </w:tcPr>
          <w:p>
            <w:pPr>
              <w:jc w:val="right"/>
              <w:ind w:right="160"/>
              <w:spacing w:after="0" w:line="124" w:lineRule="exact"/>
              <w:rPr>
                <w:sz w:val="20"/>
                <w:szCs w:val="20"/>
                <w:color w:val="auto"/>
              </w:rPr>
            </w:pPr>
            <w:r>
              <w:rPr>
                <w:rFonts w:ascii="Arial" w:cs="Arial" w:eastAsia="Arial" w:hAnsi="Arial"/>
                <w:sz w:val="11"/>
                <w:szCs w:val="11"/>
                <w:b w:val="1"/>
                <w:bCs w:val="1"/>
                <w:color w:val="auto"/>
                <w:w w:val="93"/>
              </w:rPr>
              <w:t>Weighted average exercise</w:t>
            </w:r>
          </w:p>
        </w:tc>
        <w:tc>
          <w:tcPr>
            <w:tcW w:w="15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4"/>
              </w:rPr>
              <w:t>remaining contractual term</w:t>
            </w: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outstanding</w:t>
            </w:r>
          </w:p>
        </w:tc>
        <w:tc>
          <w:tcPr>
            <w:tcW w:w="980" w:type="dxa"/>
            <w:vAlign w:val="bottom"/>
          </w:tcPr>
          <w:p>
            <w:pPr>
              <w:jc w:val="right"/>
              <w:ind w:right="33"/>
              <w:spacing w:after="0"/>
              <w:rPr>
                <w:sz w:val="20"/>
                <w:szCs w:val="20"/>
                <w:color w:val="auto"/>
              </w:rPr>
            </w:pPr>
            <w:r>
              <w:rPr>
                <w:rFonts w:ascii="Arial" w:cs="Arial" w:eastAsia="Arial" w:hAnsi="Arial"/>
                <w:sz w:val="11"/>
                <w:szCs w:val="11"/>
                <w:b w:val="1"/>
                <w:bCs w:val="1"/>
                <w:color w:val="auto"/>
              </w:rPr>
              <w:t xml:space="preserve">price </w:t>
            </w:r>
            <w:r>
              <w:rPr>
                <w:rFonts w:ascii="Arial" w:cs="Arial" w:eastAsia="Arial" w:hAnsi="Arial"/>
                <w:sz w:val="14"/>
                <w:szCs w:val="14"/>
                <w:b w:val="1"/>
                <w:bCs w:val="1"/>
                <w:color w:val="auto"/>
                <w:vertAlign w:val="superscript"/>
              </w:rPr>
              <w:t>(1)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(years)</w:t>
            </w:r>
          </w:p>
        </w:tc>
        <w:tc>
          <w:tcPr>
            <w:tcW w:w="80" w:type="dxa"/>
            <w:vAlign w:val="bottom"/>
          </w:tcPr>
          <w:p>
            <w:pPr>
              <w:spacing w:after="0"/>
              <w:rPr>
                <w:sz w:val="14"/>
                <w:szCs w:val="14"/>
                <w:color w:val="auto"/>
              </w:rPr>
            </w:pPr>
          </w:p>
        </w:tc>
        <w:tc>
          <w:tcPr>
            <w:tcW w:w="1300" w:type="dxa"/>
            <w:vAlign w:val="bottom"/>
          </w:tcPr>
          <w:p>
            <w:pPr>
              <w:jc w:val="right"/>
              <w:ind w:right="13"/>
              <w:spacing w:after="0"/>
              <w:rPr>
                <w:sz w:val="20"/>
                <w:szCs w:val="20"/>
                <w:color w:val="auto"/>
              </w:rPr>
            </w:pPr>
            <w:r>
              <w:rPr>
                <w:rFonts w:ascii="Arial" w:cs="Arial" w:eastAsia="Arial" w:hAnsi="Arial"/>
                <w:sz w:val="11"/>
                <w:szCs w:val="11"/>
                <w:b w:val="1"/>
                <w:bCs w:val="1"/>
                <w:color w:val="auto"/>
                <w:w w:val="91"/>
              </w:rPr>
              <w:t>Aggregate intrinsic value</w:t>
            </w:r>
          </w:p>
        </w:tc>
        <w:tc>
          <w:tcPr>
            <w:tcW w:w="0" w:type="dxa"/>
            <w:vAlign w:val="bottom"/>
          </w:tcPr>
          <w:p>
            <w:pPr>
              <w:spacing w:after="0"/>
              <w:rPr>
                <w:sz w:val="1"/>
                <w:szCs w:val="1"/>
                <w:color w:val="auto"/>
              </w:rPr>
            </w:pPr>
          </w:p>
        </w:tc>
      </w:tr>
      <w:tr>
        <w:trPr>
          <w:trHeight w:val="171"/>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January 1, 2019</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8,752,114</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5,569,050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(121,970)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(19,998)</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December 31, 2019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14,179,196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vMerge w:val="continue"/>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2,096,285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0.73</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Expired</w:t>
            </w:r>
          </w:p>
        </w:tc>
        <w:tc>
          <w:tcPr>
            <w:tcW w:w="1400" w:type="dxa"/>
            <w:vAlign w:val="bottom"/>
          </w:tcPr>
          <w:p>
            <w:pPr>
              <w:jc w:val="right"/>
              <w:spacing w:after="0"/>
              <w:rPr>
                <w:sz w:val="20"/>
                <w:szCs w:val="20"/>
                <w:color w:val="auto"/>
              </w:rPr>
            </w:pPr>
            <w:r>
              <w:rPr>
                <w:rFonts w:ascii="Arial" w:cs="Arial" w:eastAsia="Arial" w:hAnsi="Arial"/>
                <w:sz w:val="14"/>
                <w:szCs w:val="14"/>
                <w:color w:val="auto"/>
              </w:rPr>
              <w:t>(589,128)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(54,664)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Outstanding at 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13,125,672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Exercisable at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7,749,296</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40" w:hanging="135"/>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The exercise prices relate to the equivalent price for an ordinary share, calculated as one eighth of the ADS price.</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Determining the fair value of share options and RSUs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The total fair values of the options and RSUs were estimated using the Black-Scholes option-pricing model for equity-settled compensation, amounted to $62.1 million for instruments granted in the year ended December 31, 2020 (2019: $3.1 million). The cost is amortized over the vesting period of the options and RSUs on a straight-line basis using the cliff-vesting method.The following assumptions were used for the Black-Scholes valuation of share options granted in 2020 and 2019.</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volatility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Volatility is calculated using historical weekly averages of the Company's share price over a period that is in line with the expected life of the options and RSUs.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Fair value of ordinary shares.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fair value of ordinary shares has been based on the share price of the Company’s shares on AIM on the evening before the date of grant, as the Company’s primary listing was previously on this market.</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Risk-free interest rate</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risk-free interest rate has been based on the U.K. Government debt yield for the relevant term at the time of grant, as the Company’s primary listing was previously on AIM. Effective from the delisting from AIM the Company will use appropriate U.S Government debt yields.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term.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expected term is determined using the simplified method.</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Expected dividend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There are no expected dividends.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weighted-average assumptions applicable to the share options granted in the applicable years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Notes to Consolidated Financial Statements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lives (years)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volatility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dividend yield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Grant date fair value (per share)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activity</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RSU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top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1"/>
                <w:szCs w:val="11"/>
                <w:b w:val="1"/>
                <w:bCs w:val="1"/>
                <w:color w:val="auto"/>
              </w:rPr>
              <w:t>2019</w:t>
            </w:r>
          </w:p>
        </w:tc>
      </w:tr>
      <w:tr>
        <w:trPr>
          <w:trHeight w:val="265"/>
        </w:trPr>
        <w:tc>
          <w:tcPr>
            <w:tcW w:w="2080" w:type="dxa"/>
            <w:vAlign w:val="bottom"/>
          </w:tcPr>
          <w:p>
            <w:pPr>
              <w:jc w:val="right"/>
              <w:spacing w:after="0"/>
              <w:rPr>
                <w:sz w:val="20"/>
                <w:szCs w:val="20"/>
                <w:color w:val="auto"/>
              </w:rPr>
            </w:pPr>
            <w:r>
              <w:rPr>
                <w:rFonts w:ascii="Arial" w:cs="Arial" w:eastAsia="Arial" w:hAnsi="Arial"/>
                <w:sz w:val="14"/>
                <w:szCs w:val="14"/>
                <w:color w:val="auto"/>
              </w:rPr>
              <w:t>0% - 0.21%</w:t>
            </w:r>
          </w:p>
        </w:tc>
        <w:tc>
          <w:tcPr>
            <w:tcW w:w="1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0.39% - 0.82%</w:t>
            </w:r>
          </w:p>
        </w:tc>
      </w:tr>
      <w:tr>
        <w:trPr>
          <w:trHeight w:val="350"/>
        </w:trPr>
        <w:tc>
          <w:tcPr>
            <w:tcW w:w="2080" w:type="dxa"/>
            <w:vAlign w:val="bottom"/>
          </w:tcPr>
          <w:p>
            <w:pPr>
              <w:jc w:val="right"/>
              <w:spacing w:after="0"/>
              <w:rPr>
                <w:sz w:val="20"/>
                <w:szCs w:val="20"/>
                <w:color w:val="auto"/>
              </w:rPr>
            </w:pPr>
            <w:r>
              <w:rPr>
                <w:rFonts w:ascii="Arial" w:cs="Arial" w:eastAsia="Arial" w:hAnsi="Arial"/>
                <w:sz w:val="14"/>
                <w:szCs w:val="14"/>
                <w:color w:val="auto"/>
              </w:rPr>
              <w:t>5.05 - 7</w:t>
            </w:r>
          </w:p>
        </w:tc>
        <w:tc>
          <w:tcPr>
            <w:tcW w:w="1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350"/>
        </w:trPr>
        <w:tc>
          <w:tcPr>
            <w:tcW w:w="2080" w:type="dxa"/>
            <w:vAlign w:val="bottom"/>
          </w:tcPr>
          <w:p>
            <w:pPr>
              <w:jc w:val="right"/>
              <w:spacing w:after="0"/>
              <w:rPr>
                <w:sz w:val="20"/>
                <w:szCs w:val="20"/>
                <w:color w:val="auto"/>
              </w:rPr>
            </w:pPr>
            <w:r>
              <w:rPr>
                <w:rFonts w:ascii="Arial" w:cs="Arial" w:eastAsia="Arial" w:hAnsi="Arial"/>
                <w:sz w:val="14"/>
                <w:szCs w:val="14"/>
                <w:color w:val="auto"/>
              </w:rPr>
              <w:t>65.83% - 75.40%</w:t>
            </w:r>
          </w:p>
        </w:tc>
        <w:tc>
          <w:tcPr>
            <w:tcW w:w="1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67.98% - 68.71%</w:t>
            </w:r>
          </w:p>
        </w:tc>
      </w:tr>
      <w:tr>
        <w:trPr>
          <w:trHeight w:val="265"/>
        </w:trPr>
        <w:tc>
          <w:tcPr>
            <w:tcW w:w="22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65"/>
        </w:trPr>
        <w:tc>
          <w:tcPr>
            <w:tcW w:w="2080" w:type="dxa"/>
            <w:vAlign w:val="bottom"/>
          </w:tcPr>
          <w:p>
            <w:pPr>
              <w:jc w:val="right"/>
              <w:spacing w:after="0"/>
              <w:rPr>
                <w:sz w:val="20"/>
                <w:szCs w:val="20"/>
                <w:color w:val="auto"/>
              </w:rPr>
            </w:pPr>
            <w:r>
              <w:rPr>
                <w:rFonts w:ascii="Arial" w:cs="Arial" w:eastAsia="Arial" w:hAnsi="Arial"/>
                <w:sz w:val="14"/>
                <w:szCs w:val="14"/>
                <w:color w:val="auto"/>
              </w:rPr>
              <w:t>$0.40 - $0.62</w:t>
            </w:r>
          </w:p>
        </w:tc>
        <w:tc>
          <w:tcPr>
            <w:tcW w:w="1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$0.31 - $0.49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-955675</wp:posOffset>
            </wp:positionV>
            <wp:extent cx="7161530" cy="229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-504190</wp:posOffset>
            </wp:positionV>
            <wp:extent cx="7161530" cy="222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-167640</wp:posOffset>
            </wp:positionV>
            <wp:extent cx="7161530" cy="2222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Arial" w:cs="Arial" w:eastAsia="Arial" w:hAnsi="Arial"/>
          <w:sz w:val="11"/>
          <w:szCs w:val="11"/>
          <w:b w:val="1"/>
          <w:bCs w:val="1"/>
          <w:color w:val="auto"/>
        </w:rPr>
        <w:t>Weighted average</w:t>
      </w:r>
    </w:p>
    <w:p>
      <w:pPr>
        <w:spacing w:after="0" w:line="13" w:lineRule="exact"/>
        <w:rPr>
          <w:sz w:val="20"/>
          <w:szCs w:val="20"/>
          <w:color w:val="auto"/>
        </w:rPr>
      </w:pPr>
    </w:p>
    <w:p>
      <w:pPr>
        <w:ind w:left="1680"/>
        <w:spacing w:after="0"/>
        <w:tabs>
          <w:tab w:leader="none" w:pos="2900" w:val="left"/>
        </w:tabs>
        <w:rPr>
          <w:sz w:val="20"/>
          <w:szCs w:val="20"/>
          <w:color w:val="auto"/>
        </w:rPr>
      </w:pPr>
      <w:r>
        <w:rPr>
          <w:rFonts w:ascii="Arial" w:cs="Arial" w:eastAsia="Arial" w:hAnsi="Arial"/>
          <w:sz w:val="11"/>
          <w:szCs w:val="11"/>
          <w:b w:val="1"/>
          <w:bCs w:val="1"/>
          <w:color w:val="auto"/>
        </w:rPr>
        <w:t>Number of RSUs</w:t>
      </w:r>
      <w:r>
        <w:rPr>
          <w:sz w:val="20"/>
          <w:szCs w:val="20"/>
          <w:color w:val="auto"/>
        </w:rPr>
        <w:tab/>
      </w:r>
      <w:r>
        <w:rPr>
          <w:rFonts w:ascii="Arial" w:cs="Arial" w:eastAsia="Arial" w:hAnsi="Arial"/>
          <w:sz w:val="10"/>
          <w:szCs w:val="10"/>
          <w:b w:val="1"/>
          <w:bCs w:val="1"/>
          <w:color w:val="auto"/>
        </w:rPr>
        <w:t>remaining contractual term</w:t>
      </w:r>
    </w:p>
    <w:p>
      <w:pPr>
        <w:spacing w:after="0" w:line="1" w:lineRule="exact"/>
        <w:rPr>
          <w:sz w:val="20"/>
          <w:szCs w:val="20"/>
          <w:color w:val="auto"/>
        </w:rPr>
      </w:pPr>
    </w:p>
    <w:p>
      <w:pPr>
        <w:ind w:left="1800"/>
        <w:spacing w:after="0"/>
        <w:tabs>
          <w:tab w:leader="none" w:pos="3400" w:val="left"/>
        </w:tabs>
        <w:rPr>
          <w:sz w:val="20"/>
          <w:szCs w:val="20"/>
          <w:color w:val="auto"/>
        </w:rPr>
      </w:pPr>
      <w:r>
        <w:rPr>
          <w:rFonts w:ascii="Arial" w:cs="Arial" w:eastAsia="Arial" w:hAnsi="Arial"/>
          <w:sz w:val="11"/>
          <w:szCs w:val="11"/>
          <w:b w:val="1"/>
          <w:bCs w:val="1"/>
          <w:color w:val="auto"/>
        </w:rPr>
        <w:t>outstanding</w:t>
      </w:r>
      <w:r>
        <w:rPr>
          <w:sz w:val="20"/>
          <w:szCs w:val="20"/>
          <w:color w:val="auto"/>
        </w:rPr>
        <w:tab/>
      </w:r>
      <w:r>
        <w:rPr>
          <w:rFonts w:ascii="Arial" w:cs="Arial" w:eastAsia="Arial" w:hAnsi="Arial"/>
          <w:sz w:val="11"/>
          <w:szCs w:val="11"/>
          <w:b w:val="1"/>
          <w:bCs w:val="1"/>
          <w:color w:val="auto"/>
        </w:rPr>
        <w:t>(years)</w:t>
      </w:r>
    </w:p>
    <w:p>
      <w:pPr>
        <w:spacing w:after="0" w:line="8" w:lineRule="exact"/>
        <w:rPr>
          <w:sz w:val="20"/>
          <w:szCs w:val="20"/>
          <w:color w:val="auto"/>
        </w:rPr>
      </w:pPr>
    </w:p>
    <w:p>
      <w:pPr>
        <w:sectPr>
          <w:pgSz w:w="11900" w:h="16838" w:orient="portrait"/>
          <w:cols w:equalWidth="0" w:num="2">
            <w:col w:w="6280" w:space="720"/>
            <w:col w:w="42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January 1, 2019</w:t>
            </w:r>
          </w:p>
        </w:tc>
        <w:tc>
          <w:tcPr>
            <w:tcW w:w="1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862,473</w:t>
            </w: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740,496</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December 31, 2019</w:t>
            </w: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1,602,969</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Granted</w:t>
            </w: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4"/>
                <w:szCs w:val="14"/>
                <w:color w:val="auto"/>
              </w:rPr>
              <w:t>62,566,271</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(84,920)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w:t>
            </w: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(2,091,960)</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at December 31, 2020</w:t>
            </w: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61,992,360</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690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Number of RSUs</w:t>
            </w: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Weighted average</w:t>
            </w:r>
          </w:p>
        </w:tc>
        <w:tc>
          <w:tcPr>
            <w:tcW w:w="1380" w:type="dxa"/>
            <w:vAlign w:val="bottom"/>
          </w:tcPr>
          <w:p>
            <w:pPr>
              <w:jc w:val="right"/>
              <w:spacing w:after="0"/>
              <w:rPr>
                <w:sz w:val="20"/>
                <w:szCs w:val="20"/>
                <w:color w:val="auto"/>
              </w:rPr>
            </w:pPr>
            <w:r>
              <w:rPr>
                <w:rFonts w:ascii="Arial" w:cs="Arial" w:eastAsia="Arial" w:hAnsi="Arial"/>
                <w:sz w:val="11"/>
                <w:szCs w:val="11"/>
                <w:b w:val="1"/>
                <w:bCs w:val="1"/>
                <w:color w:val="auto"/>
                <w:w w:val="96"/>
              </w:rPr>
              <w:t>Period in which the target</w:t>
            </w: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outstanding</w:t>
            </w: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remaining vesting Period</w:t>
            </w:r>
          </w:p>
        </w:tc>
        <w:tc>
          <w:tcPr>
            <w:tcW w:w="1380" w:type="dxa"/>
            <w:vAlign w:val="bottom"/>
          </w:tcPr>
          <w:p>
            <w:pPr>
              <w:jc w:val="right"/>
              <w:ind w:right="214"/>
              <w:spacing w:after="0"/>
              <w:rPr>
                <w:sz w:val="20"/>
                <w:szCs w:val="20"/>
                <w:color w:val="auto"/>
              </w:rPr>
            </w:pPr>
            <w:r>
              <w:rPr>
                <w:rFonts w:ascii="Arial" w:cs="Arial" w:eastAsia="Arial" w:hAnsi="Arial"/>
                <w:sz w:val="11"/>
                <w:szCs w:val="11"/>
                <w:b w:val="1"/>
                <w:bCs w:val="1"/>
                <w:color w:val="auto"/>
              </w:rPr>
              <w:t>must be achieved</w:t>
            </w:r>
          </w:p>
        </w:tc>
        <w:tc>
          <w:tcPr>
            <w:tcW w:w="0" w:type="dxa"/>
            <w:vAlign w:val="bottom"/>
          </w:tcPr>
          <w:p>
            <w:pPr>
              <w:spacing w:after="0"/>
              <w:rPr>
                <w:sz w:val="1"/>
                <w:szCs w:val="1"/>
                <w:color w:val="auto"/>
              </w:rPr>
            </w:pPr>
          </w:p>
        </w:tc>
      </w:tr>
      <w:tr>
        <w:trPr>
          <w:trHeight w:val="18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RSUs subject to time based vesting</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61,416,336</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RSUs subject to milestone based vesting</w:t>
            </w:r>
          </w:p>
        </w:tc>
        <w:tc>
          <w:tcPr>
            <w:tcW w:w="1400" w:type="dxa"/>
            <w:vAlign w:val="bottom"/>
          </w:tcPr>
          <w:p>
            <w:pPr>
              <w:jc w:val="right"/>
              <w:spacing w:after="0"/>
              <w:rPr>
                <w:sz w:val="20"/>
                <w:szCs w:val="20"/>
                <w:color w:val="auto"/>
              </w:rPr>
            </w:pPr>
            <w:r>
              <w:rPr>
                <w:rFonts w:ascii="Arial" w:cs="Arial" w:eastAsia="Arial" w:hAnsi="Arial"/>
                <w:sz w:val="14"/>
                <w:szCs w:val="14"/>
                <w:color w:val="auto"/>
              </w:rPr>
              <w:t>576,024</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2022 - 2024</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intrinsic and fair value of RSUs that vested in the year ended December 31, 2020, was $1.5 million (2019: $nil).</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of December 31, 2020, total compensation cost related to share options and RSUs granted but not yet recognized was $41.8 million. This cost will be amortized to expense over a weighted average remaining period of 1.5 years and will be adjusted for subsequent forfeitures.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Net loss per share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Net loss per share is calculated on an ordinary share basis. The Company’s ADSs that are listed on the Nasdaq Global Market each represent eight ordinary shares.The following table shows the computation of basic and diluted earnings per share for 2020 and 2019 (net loss in thousands, loss per share in cents):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65,146</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40,561</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available to ordinary shareholders - basic and diluted</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65,146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40,561</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262,932,653</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105,326,638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409"/>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7" w:name="page108"/>
    <w:bookmarkEnd w:id="107"/>
    <w:p>
      <w:pPr>
        <w:ind w:left="5060"/>
        <w:spacing w:after="0"/>
        <w:rPr>
          <w:sz w:val="20"/>
          <w:szCs w:val="20"/>
          <w:color w:val="auto"/>
        </w:rPr>
      </w:pPr>
      <w:r>
        <w:rPr>
          <w:rFonts w:ascii="Arial" w:cs="Arial" w:eastAsia="Arial" w:hAnsi="Arial"/>
          <w:sz w:val="14"/>
          <w:szCs w:val="14"/>
          <w:b w:val="1"/>
          <w:bCs w:val="1"/>
          <w:color w:val="auto"/>
        </w:rPr>
        <w:t>Verona Pharma plc</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During the years ended December 31, 2020 and 2019, outstanding share options, RSUs and warrants of 87,519,294 and 28,183,427, respectively, were not included in the computation of diluted earnings per ordinary share, because to do so would be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Related party transactions and other shareholder matters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2019, Anders Ullman, a director of the Company, provided consultancy services to the Company for which the Company paid him $33 thousand.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2020, certain directors and officers participated in the Private Placement, summarized below (in thousands, except for number of shares acquired):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Participation in Private Placement</w:t>
            </w:r>
          </w:p>
        </w:tc>
        <w:tc>
          <w:tcPr>
            <w:tcW w:w="2260" w:type="dxa"/>
            <w:vAlign w:val="bottom"/>
            <w:gridSpan w:val="2"/>
          </w:tcPr>
          <w:p>
            <w:pPr>
              <w:ind w:left="680"/>
              <w:spacing w:after="0"/>
              <w:rPr>
                <w:sz w:val="20"/>
                <w:szCs w:val="20"/>
                <w:color w:val="auto"/>
              </w:rPr>
            </w:pPr>
            <w:r>
              <w:rPr>
                <w:rFonts w:ascii="Arial" w:cs="Arial" w:eastAsia="Arial" w:hAnsi="Arial"/>
                <w:sz w:val="11"/>
                <w:szCs w:val="11"/>
                <w:b w:val="1"/>
                <w:bCs w:val="1"/>
                <w:color w:val="auto"/>
              </w:rPr>
              <w:t>Ordinary Shares</w:t>
            </w:r>
          </w:p>
        </w:tc>
        <w:tc>
          <w:tcPr>
            <w:tcW w:w="420" w:type="dxa"/>
            <w:vAlign w:val="bottom"/>
          </w:tcPr>
          <w:p>
            <w:pPr>
              <w:spacing w:after="0"/>
              <w:rPr>
                <w:sz w:val="16"/>
                <w:szCs w:val="16"/>
                <w:color w:val="auto"/>
              </w:rPr>
            </w:pPr>
          </w:p>
        </w:tc>
        <w:tc>
          <w:tcPr>
            <w:tcW w:w="1780" w:type="dxa"/>
            <w:vAlign w:val="bottom"/>
          </w:tcPr>
          <w:p>
            <w:pPr>
              <w:jc w:val="right"/>
              <w:ind w:right="691"/>
              <w:spacing w:after="0"/>
              <w:rPr>
                <w:sz w:val="20"/>
                <w:szCs w:val="20"/>
                <w:color w:val="auto"/>
              </w:rPr>
            </w:pPr>
            <w:r>
              <w:rPr>
                <w:rFonts w:ascii="Arial" w:cs="Arial" w:eastAsia="Arial" w:hAnsi="Arial"/>
                <w:sz w:val="11"/>
                <w:szCs w:val="11"/>
                <w:b w:val="1"/>
                <w:bCs w:val="1"/>
                <w:color w:val="auto"/>
              </w:rPr>
              <w:t>Consideration</w:t>
            </w:r>
          </w:p>
        </w:tc>
      </w:tr>
      <w:tr>
        <w:trPr>
          <w:trHeight w:val="171"/>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Ebsworth</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222,216</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80"/>
        </w:trPr>
        <w:tc>
          <w:tcPr>
            <w:tcW w:w="6680" w:type="dxa"/>
            <w:vAlign w:val="bottom"/>
          </w:tcPr>
          <w:p>
            <w:pPr>
              <w:ind w:left="20"/>
              <w:spacing w:after="0"/>
              <w:rPr>
                <w:sz w:val="20"/>
                <w:szCs w:val="20"/>
                <w:color w:val="auto"/>
              </w:rPr>
            </w:pPr>
            <w:r>
              <w:rPr>
                <w:rFonts w:ascii="Arial" w:cs="Arial" w:eastAsia="Arial" w:hAnsi="Arial"/>
                <w:sz w:val="14"/>
                <w:szCs w:val="14"/>
                <w:color w:val="auto"/>
              </w:rPr>
              <w:t>Dr. Zaccardelli</w:t>
            </w:r>
          </w:p>
        </w:tc>
        <w:tc>
          <w:tcPr>
            <w:tcW w:w="2180" w:type="dxa"/>
            <w:vAlign w:val="bottom"/>
          </w:tcPr>
          <w:p>
            <w:pPr>
              <w:jc w:val="right"/>
              <w:spacing w:after="0"/>
              <w:rPr>
                <w:sz w:val="20"/>
                <w:szCs w:val="20"/>
                <w:color w:val="auto"/>
              </w:rPr>
            </w:pPr>
            <w:r>
              <w:rPr>
                <w:rFonts w:ascii="Arial" w:cs="Arial" w:eastAsia="Arial" w:hAnsi="Arial"/>
                <w:sz w:val="14"/>
                <w:szCs w:val="14"/>
                <w:color w:val="auto"/>
              </w:rPr>
              <w:t>444,440</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249,998</w:t>
            </w:r>
          </w:p>
        </w:tc>
      </w:tr>
      <w:tr>
        <w:trPr>
          <w:trHeight w:val="181"/>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Mr. Sinha (through connected persons)</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533,328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299,997</w:t>
            </w:r>
          </w:p>
        </w:tc>
      </w:tr>
      <w:tr>
        <w:trPr>
          <w:trHeight w:val="180"/>
        </w:trPr>
        <w:tc>
          <w:tcPr>
            <w:tcW w:w="6680" w:type="dxa"/>
            <w:vAlign w:val="bottom"/>
          </w:tcPr>
          <w:p>
            <w:pPr>
              <w:ind w:left="20"/>
              <w:spacing w:after="0"/>
              <w:rPr>
                <w:sz w:val="20"/>
                <w:szCs w:val="20"/>
                <w:color w:val="auto"/>
              </w:rPr>
            </w:pPr>
            <w:r>
              <w:rPr>
                <w:rFonts w:ascii="Arial" w:cs="Arial" w:eastAsia="Arial" w:hAnsi="Arial"/>
                <w:sz w:val="14"/>
                <w:szCs w:val="14"/>
                <w:color w:val="auto"/>
              </w:rPr>
              <w:t>Dr. Ullman</w:t>
            </w:r>
          </w:p>
        </w:tc>
        <w:tc>
          <w:tcPr>
            <w:tcW w:w="2180" w:type="dxa"/>
            <w:vAlign w:val="bottom"/>
          </w:tcPr>
          <w:p>
            <w:pPr>
              <w:jc w:val="right"/>
              <w:spacing w:after="0"/>
              <w:rPr>
                <w:sz w:val="20"/>
                <w:szCs w:val="20"/>
                <w:color w:val="auto"/>
              </w:rPr>
            </w:pPr>
            <w:r>
              <w:rPr>
                <w:rFonts w:ascii="Arial" w:cs="Arial" w:eastAsia="Arial" w:hAnsi="Arial"/>
                <w:sz w:val="14"/>
                <w:szCs w:val="14"/>
                <w:color w:val="auto"/>
              </w:rPr>
              <w:t>266,664</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149,983</w:t>
            </w:r>
          </w:p>
        </w:tc>
      </w:tr>
      <w:tr>
        <w:trPr>
          <w:trHeight w:val="181"/>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 Edwards</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29,997</w:t>
            </w:r>
          </w:p>
        </w:tc>
      </w:tr>
      <w:tr>
        <w:trPr>
          <w:trHeight w:val="180"/>
        </w:trPr>
        <w:tc>
          <w:tcPr>
            <w:tcW w:w="6680" w:type="dxa"/>
            <w:vAlign w:val="bottom"/>
          </w:tcPr>
          <w:p>
            <w:pPr>
              <w:ind w:left="20"/>
              <w:spacing w:after="0"/>
              <w:rPr>
                <w:sz w:val="20"/>
                <w:szCs w:val="20"/>
                <w:color w:val="auto"/>
              </w:rPr>
            </w:pPr>
            <w:r>
              <w:rPr>
                <w:rFonts w:ascii="Arial" w:cs="Arial" w:eastAsia="Arial" w:hAnsi="Arial"/>
                <w:sz w:val="14"/>
                <w:szCs w:val="14"/>
                <w:color w:val="auto"/>
              </w:rPr>
              <w:t>Mr. Hahn</w:t>
            </w:r>
          </w:p>
        </w:tc>
        <w:tc>
          <w:tcPr>
            <w:tcW w:w="2180" w:type="dxa"/>
            <w:vAlign w:val="bottom"/>
          </w:tcPr>
          <w:p>
            <w:pPr>
              <w:jc w:val="right"/>
              <w:spacing w:after="0"/>
              <w:rPr>
                <w:sz w:val="20"/>
                <w:szCs w:val="20"/>
                <w:color w:val="auto"/>
              </w:rPr>
            </w:pPr>
            <w:r>
              <w:rPr>
                <w:rFonts w:ascii="Arial" w:cs="Arial" w:eastAsia="Arial" w:hAnsi="Arial"/>
                <w:sz w:val="14"/>
                <w:szCs w:val="14"/>
                <w:color w:val="auto"/>
              </w:rPr>
              <w:t>177,784</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100,004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F-21</w:t>
      </w:r>
    </w:p>
    <w:p>
      <w:pPr>
        <w:sectPr>
          <w:pgSz w:w="11900" w:h="16838" w:orient="portrait"/>
          <w:cols w:equalWidth="0" w:num="1">
            <w:col w:w="11280"/>
          </w:cols>
          <w:pgMar w:left="300" w:top="125" w:right="3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4"/>
          <w:szCs w:val="14"/>
          <w:b w:val="1"/>
          <w:bCs w:val="1"/>
          <w:color w:val="auto"/>
        </w:rPr>
        <w:t>DESCRIPTION OF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SHARE CAPITAL AND ARTICLES OF ASSOCIATION</w:t>
      </w:r>
    </w:p>
    <w:p>
      <w:pPr>
        <w:spacing w:after="0" w:line="212" w:lineRule="exact"/>
        <w:rPr>
          <w:sz w:val="20"/>
          <w:szCs w:val="20"/>
          <w:color w:val="auto"/>
        </w:rPr>
      </w:pPr>
    </w:p>
    <w:p>
      <w:pPr>
        <w:ind w:right="180"/>
        <w:spacing w:after="0" w:line="309" w:lineRule="auto"/>
        <w:rPr>
          <w:sz w:val="20"/>
          <w:szCs w:val="20"/>
          <w:color w:val="auto"/>
        </w:rPr>
      </w:pPr>
      <w:r>
        <w:rPr>
          <w:rFonts w:ascii="Arial" w:cs="Arial" w:eastAsia="Arial" w:hAnsi="Arial"/>
          <w:sz w:val="14"/>
          <w:szCs w:val="14"/>
          <w:i w:val="1"/>
          <w:iCs w:val="1"/>
          <w:color w:val="auto"/>
        </w:rPr>
        <w:t>Set forth below is a summary of certain information concerning the share capital of Verona Pharma plc (the “Company,” “we,” “us,” and “our”)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the Company’s Annual Report on Form 10-K for the year ended December 31, 2020 (the “Annual Report”). The summary below does not purport to be complete and is qualified in its entirety by reference to applicable English law and our articles of association, which have been publicly filed with the Securities and Exchange Commission.</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28" w:lineRule="exact"/>
        <w:rPr>
          <w:sz w:val="20"/>
          <w:szCs w:val="20"/>
          <w:color w:val="auto"/>
        </w:rPr>
      </w:pPr>
    </w:p>
    <w:p>
      <w:pPr>
        <w:ind w:right="240"/>
        <w:spacing w:after="0" w:line="304" w:lineRule="auto"/>
        <w:rPr>
          <w:sz w:val="20"/>
          <w:szCs w:val="20"/>
          <w:color w:val="auto"/>
        </w:rPr>
      </w:pPr>
      <w:r>
        <w:rPr>
          <w:rFonts w:ascii="Arial" w:cs="Arial" w:eastAsia="Arial" w:hAnsi="Arial"/>
          <w:sz w:val="14"/>
          <w:szCs w:val="14"/>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Wales. The principal legislation under which we operate and our shares are issued is the Companies Act 2006.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Articles of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summary of relevant information concerning our share capital and material provisions of our Articles of Association and applicable UK law.</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Ordinary Shares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the Articles, the following summarizes the rights of holders of our ordinary shares:</w:t>
      </w:r>
    </w:p>
    <w:p>
      <w:pPr>
        <w:spacing w:after="0" w:line="200" w:lineRule="exact"/>
        <w:rPr>
          <w:sz w:val="20"/>
          <w:szCs w:val="20"/>
          <w:color w:val="auto"/>
        </w:rPr>
      </w:pPr>
    </w:p>
    <w:p>
      <w:pPr>
        <w:spacing w:after="0" w:line="244" w:lineRule="exact"/>
        <w:rPr>
          <w:sz w:val="20"/>
          <w:szCs w:val="20"/>
          <w:color w:val="auto"/>
        </w:rPr>
      </w:pPr>
    </w:p>
    <w:p>
      <w:pPr>
        <w:ind w:left="1580" w:right="1680" w:hanging="797"/>
        <w:spacing w:after="0" w:line="266" w:lineRule="auto"/>
        <w:tabs>
          <w:tab w:leader="none" w:pos="1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holder of our voting ordinary shares is entitled to one vote per ordinary share on all matters to be voted on by shareholders generally;</w:t>
      </w:r>
    </w:p>
    <w:p>
      <w:pPr>
        <w:spacing w:after="0" w:line="237" w:lineRule="exact"/>
        <w:rPr>
          <w:rFonts w:ascii="Arial" w:cs="Arial" w:eastAsia="Arial" w:hAnsi="Arial"/>
          <w:sz w:val="14"/>
          <w:szCs w:val="14"/>
          <w:color w:val="auto"/>
        </w:rPr>
      </w:pPr>
    </w:p>
    <w:p>
      <w:pPr>
        <w:ind w:left="1580" w:hanging="797"/>
        <w:spacing w:after="0"/>
        <w:tabs>
          <w:tab w:leader="none" w:pos="1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holders of our voting ordinary shares shall be entitled to receive notice of, attend, speak and vote at our general meetings; and</w:t>
      </w:r>
    </w:p>
    <w:p>
      <w:pPr>
        <w:spacing w:after="0" w:line="263" w:lineRule="exact"/>
        <w:rPr>
          <w:rFonts w:ascii="Arial" w:cs="Arial" w:eastAsia="Arial" w:hAnsi="Arial"/>
          <w:sz w:val="14"/>
          <w:szCs w:val="14"/>
          <w:color w:val="auto"/>
        </w:rPr>
      </w:pPr>
    </w:p>
    <w:p>
      <w:pPr>
        <w:ind w:left="1580" w:right="1400" w:hanging="797"/>
        <w:spacing w:after="0" w:line="266" w:lineRule="auto"/>
        <w:tabs>
          <w:tab w:leader="none" w:pos="1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holders of our voting and non-voting ordinary shares are entitled to receive such dividends as are recommended by our directors and declared by our shareholders.</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Registered Shares</w:t>
      </w:r>
    </w:p>
    <w:p>
      <w:pPr>
        <w:spacing w:after="0" w:line="226"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80"/>
          </w:cols>
          <w:pgMar w:left="300" w:top="1023" w:right="319" w:bottom="1440" w:gutter="0" w:footer="0" w:header="0"/>
        </w:sectPr>
      </w:pPr>
    </w:p>
    <w:bookmarkStart w:id="109" w:name="page110"/>
    <w:bookmarkEnd w:id="109"/>
    <w:p>
      <w:pPr>
        <w:spacing w:after="0" w:line="307" w:lineRule="auto"/>
        <w:rPr>
          <w:sz w:val="20"/>
          <w:szCs w:val="20"/>
          <w:color w:val="auto"/>
        </w:rPr>
      </w:pPr>
      <w:r>
        <w:rPr>
          <w:rFonts w:ascii="Arial" w:cs="Arial" w:eastAsia="Arial" w:hAnsi="Arial"/>
          <w:sz w:val="14"/>
          <w:szCs w:val="14"/>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57"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We, any of our shareholders or any other affected person may apply to the court for rectification of the share register if:</w:t>
      </w:r>
    </w:p>
    <w:p>
      <w:pPr>
        <w:spacing w:after="0" w:line="200" w:lineRule="exact"/>
        <w:rPr>
          <w:sz w:val="20"/>
          <w:szCs w:val="20"/>
          <w:color w:val="auto"/>
        </w:rPr>
      </w:pPr>
    </w:p>
    <w:p>
      <w:pPr>
        <w:spacing w:after="0" w:line="244" w:lineRule="exact"/>
        <w:rPr>
          <w:sz w:val="20"/>
          <w:szCs w:val="20"/>
          <w:color w:val="auto"/>
        </w:rPr>
      </w:pPr>
    </w:p>
    <w:p>
      <w:pPr>
        <w:ind w:left="1580" w:hanging="797"/>
        <w:spacing w:after="0"/>
        <w:tabs>
          <w:tab w:leader="none" w:pos="1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name of any person, without sufficient cause, is wrongly entered in or omitted from our register of members; or</w:t>
      </w:r>
    </w:p>
    <w:p>
      <w:pPr>
        <w:spacing w:after="0" w:line="263" w:lineRule="exact"/>
        <w:rPr>
          <w:rFonts w:ascii="Arial" w:cs="Arial" w:eastAsia="Arial" w:hAnsi="Arial"/>
          <w:sz w:val="14"/>
          <w:szCs w:val="14"/>
          <w:color w:val="auto"/>
        </w:rPr>
      </w:pPr>
    </w:p>
    <w:p>
      <w:pPr>
        <w:ind w:left="1580" w:right="1220" w:hanging="797"/>
        <w:spacing w:after="0" w:line="266" w:lineRule="auto"/>
        <w:tabs>
          <w:tab w:leader="none" w:pos="1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Preemptive Rights</w:t>
      </w:r>
    </w:p>
    <w:p>
      <w:pPr>
        <w:spacing w:after="0" w:line="226"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16, 2020, our shareholders approved the exclusion of preemptive rights up to an aggregate nominal amount of £21,065,327.60 which shall expire on June 1, 2021 unless renewed, revoked or varied sooner.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and Rights Attaching to Them</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Objects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objects of our company are unrestricted.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Rights</w:t>
      </w:r>
    </w:p>
    <w:p>
      <w:pPr>
        <w:spacing w:after="0" w:line="224" w:lineRule="exact"/>
        <w:rPr>
          <w:sz w:val="20"/>
          <w:szCs w:val="20"/>
          <w:color w:val="auto"/>
        </w:rPr>
      </w:pPr>
    </w:p>
    <w:p>
      <w:pPr>
        <w:ind w:right="580"/>
        <w:spacing w:after="0" w:line="313" w:lineRule="auto"/>
        <w:rPr>
          <w:sz w:val="20"/>
          <w:szCs w:val="20"/>
          <w:color w:val="auto"/>
        </w:rPr>
      </w:pPr>
      <w:r>
        <w:rPr>
          <w:rFonts w:ascii="Arial" w:cs="Arial" w:eastAsia="Arial" w:hAnsi="Arial"/>
          <w:sz w:val="14"/>
          <w:szCs w:val="14"/>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10" w:name="page111"/>
    <w:bookmarkEnd w:id="110"/>
    <w:p>
      <w:pPr>
        <w:ind w:right="460"/>
        <w:spacing w:after="0" w:line="313" w:lineRule="auto"/>
        <w:rPr>
          <w:sz w:val="20"/>
          <w:szCs w:val="20"/>
          <w:color w:val="auto"/>
        </w:rPr>
      </w:pPr>
      <w:r>
        <w:rPr>
          <w:rFonts w:ascii="Arial" w:cs="Arial" w:eastAsia="Arial" w:hAnsi="Arial"/>
          <w:sz w:val="14"/>
          <w:szCs w:val="14"/>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386" w:lineRule="exact"/>
        <w:rPr>
          <w:sz w:val="20"/>
          <w:szCs w:val="20"/>
          <w:color w:val="auto"/>
        </w:rPr>
      </w:pPr>
    </w:p>
    <w:p>
      <w:pPr>
        <w:ind w:left="1580" w:right="1460" w:hanging="797"/>
        <w:spacing w:after="0" w:line="266" w:lineRule="auto"/>
        <w:tabs>
          <w:tab w:leader="none" w:pos="1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 show of hands, every shareholder who (being an individual) is present in person and (being a corporation) is present by a duly authorized representative shall have one vote;</w:t>
      </w:r>
    </w:p>
    <w:p>
      <w:pPr>
        <w:spacing w:after="0" w:line="237" w:lineRule="exact"/>
        <w:rPr>
          <w:rFonts w:ascii="Arial" w:cs="Arial" w:eastAsia="Arial" w:hAnsi="Arial"/>
          <w:sz w:val="14"/>
          <w:szCs w:val="14"/>
          <w:color w:val="auto"/>
        </w:rPr>
      </w:pPr>
    </w:p>
    <w:p>
      <w:pPr>
        <w:ind w:left="1580" w:right="1640" w:hanging="797"/>
        <w:spacing w:after="0" w:line="259" w:lineRule="auto"/>
        <w:tabs>
          <w:tab w:leader="none" w:pos="1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42" w:lineRule="exact"/>
        <w:rPr>
          <w:rFonts w:ascii="Arial" w:cs="Arial" w:eastAsia="Arial" w:hAnsi="Arial"/>
          <w:sz w:val="14"/>
          <w:szCs w:val="14"/>
          <w:color w:val="auto"/>
        </w:rPr>
      </w:pPr>
    </w:p>
    <w:p>
      <w:pPr>
        <w:ind w:left="1580" w:right="1100" w:hanging="797"/>
        <w:spacing w:after="0" w:line="255" w:lineRule="auto"/>
        <w:tabs>
          <w:tab w:leader="none" w:pos="1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246" w:lineRule="exact"/>
        <w:rPr>
          <w:rFonts w:ascii="Arial" w:cs="Arial" w:eastAsia="Arial" w:hAnsi="Arial"/>
          <w:sz w:val="14"/>
          <w:szCs w:val="14"/>
          <w:color w:val="auto"/>
        </w:rPr>
      </w:pPr>
    </w:p>
    <w:p>
      <w:pPr>
        <w:ind w:left="1580" w:hanging="797"/>
        <w:spacing w:after="0"/>
        <w:tabs>
          <w:tab w:leader="none" w:pos="1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 poll every shareholder who is present in person or by proxy shall have one vote for each share of which he is the holder.</w:t>
      </w:r>
    </w:p>
    <w:p>
      <w:pPr>
        <w:spacing w:after="0" w:line="200" w:lineRule="exact"/>
        <w:rPr>
          <w:sz w:val="20"/>
          <w:szCs w:val="20"/>
          <w:color w:val="auto"/>
        </w:rPr>
      </w:pPr>
    </w:p>
    <w:p>
      <w:pPr>
        <w:spacing w:after="0" w:line="360" w:lineRule="exact"/>
        <w:rPr>
          <w:sz w:val="20"/>
          <w:szCs w:val="20"/>
          <w:color w:val="auto"/>
        </w:rPr>
      </w:pPr>
    </w:p>
    <w:p>
      <w:pPr>
        <w:ind w:right="120"/>
        <w:spacing w:after="0" w:line="313" w:lineRule="auto"/>
        <w:rPr>
          <w:sz w:val="20"/>
          <w:szCs w:val="20"/>
          <w:color w:val="auto"/>
        </w:rPr>
      </w:pPr>
      <w:r>
        <w:rPr>
          <w:rFonts w:ascii="Arial" w:cs="Arial" w:eastAsia="Arial" w:hAnsi="Arial"/>
          <w:sz w:val="14"/>
          <w:szCs w:val="14"/>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386" w:lineRule="exact"/>
        <w:rPr>
          <w:sz w:val="20"/>
          <w:szCs w:val="20"/>
          <w:color w:val="auto"/>
        </w:rPr>
      </w:pPr>
    </w:p>
    <w:p>
      <w:pPr>
        <w:ind w:left="1600" w:hanging="81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chairman of the meeting;</w:t>
      </w:r>
    </w:p>
    <w:p>
      <w:pPr>
        <w:spacing w:after="0" w:line="263" w:lineRule="exact"/>
        <w:rPr>
          <w:rFonts w:ascii="Arial" w:cs="Arial" w:eastAsia="Arial" w:hAnsi="Arial"/>
          <w:sz w:val="14"/>
          <w:szCs w:val="14"/>
          <w:color w:val="auto"/>
        </w:rPr>
      </w:pPr>
    </w:p>
    <w:p>
      <w:pPr>
        <w:ind w:left="1600" w:hanging="81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at least five shareholders present in person or by proxy and entitled to vote;</w:t>
      </w:r>
    </w:p>
    <w:p>
      <w:pPr>
        <w:spacing w:after="0" w:line="263" w:lineRule="exact"/>
        <w:rPr>
          <w:rFonts w:ascii="Arial" w:cs="Arial" w:eastAsia="Arial" w:hAnsi="Arial"/>
          <w:sz w:val="14"/>
          <w:szCs w:val="14"/>
          <w:color w:val="auto"/>
        </w:rPr>
      </w:pPr>
    </w:p>
    <w:p>
      <w:pPr>
        <w:ind w:left="1600" w:right="1120" w:hanging="817"/>
        <w:spacing w:after="0" w:line="266"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237" w:lineRule="exact"/>
        <w:rPr>
          <w:rFonts w:ascii="Arial" w:cs="Arial" w:eastAsia="Arial" w:hAnsi="Arial"/>
          <w:sz w:val="14"/>
          <w:szCs w:val="14"/>
          <w:color w:val="auto"/>
        </w:rPr>
      </w:pPr>
    </w:p>
    <w:p>
      <w:pPr>
        <w:ind w:left="1600" w:right="1180" w:hanging="817"/>
        <w:spacing w:after="0" w:line="259"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Restrictions on Voting</w:t>
      </w:r>
    </w:p>
    <w:p>
      <w:pPr>
        <w:spacing w:after="0" w:line="224"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11" w:name="page112"/>
    <w:bookmarkEnd w:id="111"/>
    <w:p>
      <w:pPr>
        <w:ind w:right="200"/>
        <w:spacing w:after="0" w:line="313" w:lineRule="auto"/>
        <w:rPr>
          <w:sz w:val="20"/>
          <w:szCs w:val="20"/>
          <w:color w:val="auto"/>
        </w:rPr>
      </w:pPr>
      <w:r>
        <w:rPr>
          <w:rFonts w:ascii="Arial" w:cs="Arial" w:eastAsia="Arial" w:hAnsi="Arial"/>
          <w:sz w:val="14"/>
          <w:szCs w:val="14"/>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No holders of non-voting ordinary shares shall be entitled to receive notice of, attend or vote at any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224"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60" w:lineRule="exact"/>
        <w:rPr>
          <w:sz w:val="20"/>
          <w:szCs w:val="20"/>
          <w:color w:val="auto"/>
        </w:rPr>
      </w:pPr>
    </w:p>
    <w:p>
      <w:pPr>
        <w:ind w:right="240"/>
        <w:spacing w:after="0" w:line="313" w:lineRule="auto"/>
        <w:rPr>
          <w:sz w:val="20"/>
          <w:szCs w:val="20"/>
          <w:color w:val="auto"/>
        </w:rPr>
      </w:pPr>
      <w:r>
        <w:rPr>
          <w:rFonts w:ascii="Arial" w:cs="Arial" w:eastAsia="Arial" w:hAnsi="Arial"/>
          <w:sz w:val="14"/>
          <w:szCs w:val="14"/>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53" w:lineRule="exact"/>
        <w:rPr>
          <w:sz w:val="20"/>
          <w:szCs w:val="20"/>
          <w:color w:val="auto"/>
        </w:rPr>
      </w:pPr>
    </w:p>
    <w:p>
      <w:pPr>
        <w:ind w:right="500"/>
        <w:spacing w:after="0" w:line="313" w:lineRule="auto"/>
        <w:rPr>
          <w:sz w:val="20"/>
          <w:szCs w:val="20"/>
          <w:color w:val="auto"/>
        </w:rPr>
      </w:pPr>
      <w:r>
        <w:rPr>
          <w:rFonts w:ascii="Arial" w:cs="Arial" w:eastAsia="Arial" w:hAnsi="Arial"/>
          <w:sz w:val="14"/>
          <w:szCs w:val="14"/>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153"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53"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50" w:lineRule="exact"/>
        <w:rPr>
          <w:sz w:val="20"/>
          <w:szCs w:val="20"/>
          <w:color w:val="auto"/>
        </w:rPr>
      </w:pPr>
    </w:p>
    <w:p>
      <w:pPr>
        <w:ind w:right="380"/>
        <w:spacing w:after="0" w:line="329" w:lineRule="auto"/>
        <w:rPr>
          <w:sz w:val="20"/>
          <w:szCs w:val="20"/>
          <w:color w:val="auto"/>
        </w:rPr>
      </w:pPr>
      <w:r>
        <w:rPr>
          <w:rFonts w:ascii="Arial" w:cs="Arial" w:eastAsia="Arial" w:hAnsi="Arial"/>
          <w:sz w:val="14"/>
          <w:szCs w:val="14"/>
          <w:color w:val="auto"/>
        </w:rPr>
        <w:t>No shareholder shall be entitled to receive any dividend or other distribution in respect of any share held by him unless all calls or other sums payable by him in respect of that share have been paid.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There is no specific provision in our articles of association that would have the effect of delaying, deferring or preventing a change of control.</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Distributions on Winding Up</w:t>
      </w:r>
    </w:p>
    <w:p>
      <w:pPr>
        <w:spacing w:after="0" w:line="224"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80"/>
          </w:cols>
          <w:pgMar w:left="300" w:top="1094" w:right="319" w:bottom="1440" w:gutter="0" w:footer="0" w:header="0"/>
        </w:sectPr>
      </w:pPr>
    </w:p>
    <w:bookmarkStart w:id="112" w:name="page113"/>
    <w:bookmarkEnd w:id="112"/>
    <w:p>
      <w:pPr>
        <w:ind w:right="140"/>
        <w:spacing w:after="0" w:line="304" w:lineRule="auto"/>
        <w:rPr>
          <w:sz w:val="20"/>
          <w:szCs w:val="20"/>
          <w:color w:val="auto"/>
        </w:rPr>
      </w:pPr>
      <w:r>
        <w:rPr>
          <w:rFonts w:ascii="Arial" w:cs="Arial" w:eastAsia="Arial" w:hAnsi="Arial"/>
          <w:sz w:val="14"/>
          <w:szCs w:val="14"/>
          <w:color w:val="auto"/>
        </w:rPr>
        <w:t>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Variation of Rights</w:t>
      </w:r>
    </w:p>
    <w:p>
      <w:pPr>
        <w:spacing w:after="0" w:line="224"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Alteration to Share Capital</w:t>
      </w:r>
    </w:p>
    <w:p>
      <w:pPr>
        <w:spacing w:after="0" w:line="224"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Preemption Rights</w:t>
      </w:r>
    </w:p>
    <w:p>
      <w:pPr>
        <w:spacing w:after="0" w:line="224" w:lineRule="exact"/>
        <w:rPr>
          <w:sz w:val="20"/>
          <w:szCs w:val="20"/>
          <w:color w:val="auto"/>
        </w:rPr>
      </w:pPr>
    </w:p>
    <w:p>
      <w:pPr>
        <w:ind w:right="560"/>
        <w:spacing w:after="0" w:line="313" w:lineRule="auto"/>
        <w:rPr>
          <w:sz w:val="20"/>
          <w:szCs w:val="20"/>
          <w:color w:val="auto"/>
        </w:rPr>
      </w:pPr>
      <w:r>
        <w:rPr>
          <w:rFonts w:ascii="Arial" w:cs="Arial" w:eastAsia="Arial" w:hAnsi="Arial"/>
          <w:sz w:val="14"/>
          <w:szCs w:val="14"/>
          <w:color w:val="auto"/>
        </w:rPr>
        <w:t>In certain circumstances, our shareholders may have statutory preemption rights under the Companies Act 2006 in respect of the allotment of new shares as described in "-Preemptive Rights" and "- Differences in Corporate Law - Preemptive Rights"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 of Shares</w:t>
      </w:r>
    </w:p>
    <w:p>
      <w:pPr>
        <w:spacing w:after="0" w:line="226"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153" w:lineRule="exact"/>
        <w:rPr>
          <w:sz w:val="20"/>
          <w:szCs w:val="20"/>
          <w:color w:val="auto"/>
        </w:rPr>
      </w:pPr>
    </w:p>
    <w:p>
      <w:pPr>
        <w:ind w:right="500"/>
        <w:spacing w:after="0" w:line="307" w:lineRule="auto"/>
        <w:rPr>
          <w:sz w:val="20"/>
          <w:szCs w:val="20"/>
          <w:color w:val="auto"/>
        </w:rPr>
      </w:pPr>
      <w:r>
        <w:rPr>
          <w:rFonts w:ascii="Arial" w:cs="Arial" w:eastAsia="Arial" w:hAnsi="Arial"/>
          <w:sz w:val="14"/>
          <w:szCs w:val="14"/>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board may decline to register any transfer of any share: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80"/>
          </w:cols>
          <w:pgMar w:left="300" w:top="1094" w:right="319" w:bottom="1440" w:gutter="0" w:footer="0" w:header="0"/>
        </w:sectPr>
      </w:pPr>
    </w:p>
    <w:bookmarkStart w:id="113" w:name="page114"/>
    <w:bookmarkEnd w:id="113"/>
    <w:p>
      <w:pPr>
        <w:ind w:left="1580" w:hanging="797"/>
        <w:spacing w:after="0"/>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which is not a fully paid share;</w:t>
      </w:r>
    </w:p>
    <w:p>
      <w:pPr>
        <w:spacing w:after="0" w:line="263" w:lineRule="exact"/>
        <w:rPr>
          <w:rFonts w:ascii="Arial" w:cs="Arial" w:eastAsia="Arial" w:hAnsi="Arial"/>
          <w:sz w:val="14"/>
          <w:szCs w:val="14"/>
          <w:color w:val="auto"/>
        </w:rPr>
      </w:pPr>
    </w:p>
    <w:p>
      <w:pPr>
        <w:ind w:left="1580" w:right="1200" w:hanging="797"/>
        <w:spacing w:after="0" w:line="266" w:lineRule="auto"/>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 a person known to be a minor, bankrupt or person who is mentally disordered or a patient for the purpose of any statute relating to mental health;</w:t>
      </w:r>
    </w:p>
    <w:p>
      <w:pPr>
        <w:spacing w:after="0" w:line="237" w:lineRule="exact"/>
        <w:rPr>
          <w:rFonts w:ascii="Arial" w:cs="Arial" w:eastAsia="Arial" w:hAnsi="Arial"/>
          <w:sz w:val="14"/>
          <w:szCs w:val="14"/>
          <w:color w:val="auto"/>
        </w:rPr>
      </w:pPr>
    </w:p>
    <w:p>
      <w:pPr>
        <w:ind w:left="1580" w:hanging="797"/>
        <w:spacing w:after="0"/>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 an entity which is not a natural or legal person;</w:t>
      </w:r>
    </w:p>
    <w:p>
      <w:pPr>
        <w:spacing w:after="0" w:line="263" w:lineRule="exact"/>
        <w:rPr>
          <w:rFonts w:ascii="Arial" w:cs="Arial" w:eastAsia="Arial" w:hAnsi="Arial"/>
          <w:sz w:val="14"/>
          <w:szCs w:val="14"/>
          <w:color w:val="auto"/>
        </w:rPr>
      </w:pPr>
    </w:p>
    <w:p>
      <w:pPr>
        <w:ind w:left="1580" w:right="1120" w:hanging="797"/>
        <w:spacing w:after="0" w:line="266" w:lineRule="auto"/>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unless any written instrument of transfer, duly stamped, is lodged with us at our registered office or such other place as the board may appoint accompanied by the certificate for the shares to which it relates;</w:t>
      </w:r>
    </w:p>
    <w:p>
      <w:pPr>
        <w:spacing w:after="0" w:line="237" w:lineRule="exact"/>
        <w:rPr>
          <w:rFonts w:ascii="Arial" w:cs="Arial" w:eastAsia="Arial" w:hAnsi="Arial"/>
          <w:sz w:val="14"/>
          <w:szCs w:val="14"/>
          <w:color w:val="auto"/>
        </w:rPr>
      </w:pPr>
    </w:p>
    <w:p>
      <w:pPr>
        <w:ind w:left="1580" w:right="900" w:hanging="797"/>
        <w:spacing w:after="0" w:line="266" w:lineRule="auto"/>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237" w:lineRule="exact"/>
        <w:rPr>
          <w:rFonts w:ascii="Arial" w:cs="Arial" w:eastAsia="Arial" w:hAnsi="Arial"/>
          <w:sz w:val="14"/>
          <w:szCs w:val="14"/>
          <w:color w:val="auto"/>
        </w:rPr>
      </w:pPr>
    </w:p>
    <w:p>
      <w:pPr>
        <w:ind w:left="1580" w:hanging="797"/>
        <w:spacing w:after="0"/>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where the transfer is in respect of more than one class of share; and</w:t>
      </w:r>
    </w:p>
    <w:p>
      <w:pPr>
        <w:spacing w:after="0" w:line="263" w:lineRule="exact"/>
        <w:rPr>
          <w:rFonts w:ascii="Arial" w:cs="Arial" w:eastAsia="Arial" w:hAnsi="Arial"/>
          <w:sz w:val="14"/>
          <w:szCs w:val="14"/>
          <w:color w:val="auto"/>
        </w:rPr>
      </w:pPr>
    </w:p>
    <w:p>
      <w:pPr>
        <w:ind w:left="1580" w:hanging="797"/>
        <w:spacing w:after="0"/>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case of a transfer to joint holders, the number of joint holders to whom the share is to be transferred exceeds four.</w:t>
      </w:r>
    </w:p>
    <w:p>
      <w:pPr>
        <w:spacing w:after="0" w:line="285"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 Meetings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Annual General Meetings</w:t>
      </w:r>
    </w:p>
    <w:p>
      <w:pPr>
        <w:spacing w:after="0" w:line="224"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arrangements for the calling of general meetings are described in "- Differences in Corporate Law - Notice of General Meetings" below.</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Quorum of General Meetings</w:t>
      </w:r>
    </w:p>
    <w:p>
      <w:pPr>
        <w:spacing w:after="0" w:line="224" w:lineRule="exact"/>
        <w:rPr>
          <w:sz w:val="20"/>
          <w:szCs w:val="20"/>
          <w:color w:val="auto"/>
        </w:rPr>
      </w:pPr>
    </w:p>
    <w:p>
      <w:pPr>
        <w:ind w:right="200"/>
        <w:spacing w:after="0" w:line="307" w:lineRule="auto"/>
        <w:rPr>
          <w:sz w:val="20"/>
          <w:szCs w:val="20"/>
          <w:color w:val="auto"/>
        </w:rPr>
      </w:pPr>
      <w:r>
        <w:rPr>
          <w:rFonts w:ascii="Arial" w:cs="Arial" w:eastAsia="Arial" w:hAnsi="Arial"/>
          <w:sz w:val="14"/>
          <w:szCs w:val="14"/>
          <w:color w:val="auto"/>
        </w:rPr>
        <w:t>No business shall be transacted at any general meeting unless a quorum is present. At least two shareholders present in person or by proxy and entitled to vote, holding or representing at least 33 1/3% of the issued and outstanding shares of the Company’s ordinary voting shares present at such general meeting in person or by proxy, shall be a quorum for all purposes.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Class Meetings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060"/>
          </w:cols>
          <w:pgMar w:left="300" w:top="1274" w:right="5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The provisions in the Articles of Association relating to general meetings apply to every separate general meeting of the holders of a class of shares except that:</w:t>
      </w:r>
    </w:p>
    <w:p>
      <w:pPr>
        <w:spacing w:after="0" w:line="200" w:lineRule="exact"/>
        <w:rPr>
          <w:sz w:val="20"/>
          <w:szCs w:val="20"/>
          <w:color w:val="auto"/>
        </w:rPr>
      </w:pPr>
    </w:p>
    <w:p>
      <w:pPr>
        <w:spacing w:after="0" w:line="244" w:lineRule="exact"/>
        <w:rPr>
          <w:sz w:val="20"/>
          <w:szCs w:val="20"/>
          <w:color w:val="auto"/>
        </w:rPr>
      </w:pPr>
    </w:p>
    <w:p>
      <w:pPr>
        <w:ind w:left="1580" w:right="1180" w:hanging="797"/>
        <w:spacing w:after="0" w:line="266" w:lineRule="auto"/>
        <w:tabs>
          <w:tab w:leader="none" w:pos="1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quorum for such class meeting shall be two holders in person or by proxy representing not less than 33 1/3% in nominal value of the issued shares of the class (excluding any shares held in treasury);</w:t>
      </w:r>
    </w:p>
    <w:p>
      <w:pPr>
        <w:spacing w:after="0" w:line="237" w:lineRule="exact"/>
        <w:rPr>
          <w:rFonts w:ascii="Arial" w:cs="Arial" w:eastAsia="Arial" w:hAnsi="Arial"/>
          <w:sz w:val="14"/>
          <w:szCs w:val="14"/>
          <w:color w:val="auto"/>
        </w:rPr>
      </w:pPr>
    </w:p>
    <w:p>
      <w:pPr>
        <w:ind w:left="1580" w:right="1300" w:hanging="797"/>
        <w:spacing w:after="0" w:line="266" w:lineRule="auto"/>
        <w:tabs>
          <w:tab w:leader="none" w:pos="1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at the class meeting, a holder of shares of the class present in person or by proxy may demand a poll and shall on a poll be entitled to one vote for every share of the class held by him; and</w:t>
      </w:r>
    </w:p>
    <w:p>
      <w:pPr>
        <w:spacing w:after="0" w:line="237" w:lineRule="exact"/>
        <w:rPr>
          <w:rFonts w:ascii="Arial" w:cs="Arial" w:eastAsia="Arial" w:hAnsi="Arial"/>
          <w:sz w:val="14"/>
          <w:szCs w:val="14"/>
          <w:color w:val="auto"/>
        </w:rPr>
      </w:pPr>
    </w:p>
    <w:p>
      <w:pPr>
        <w:ind w:left="1580" w:right="1080" w:hanging="797"/>
        <w:spacing w:after="0" w:line="266" w:lineRule="auto"/>
        <w:tabs>
          <w:tab w:leader="none" w:pos="1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if at any adjourned meeting of such holders a quorum is not present at the meeting, one holder of shares of the class present in person or by proxy at an adjourned meeting constitutes a quorum.</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Number of Directors</w:t>
      </w:r>
    </w:p>
    <w:p>
      <w:pPr>
        <w:spacing w:after="0" w:line="224" w:lineRule="exact"/>
        <w:rPr>
          <w:sz w:val="20"/>
          <w:szCs w:val="20"/>
          <w:color w:val="auto"/>
        </w:rPr>
      </w:pPr>
    </w:p>
    <w:p>
      <w:pPr>
        <w:ind w:right="160"/>
        <w:spacing w:after="0" w:line="313" w:lineRule="auto"/>
        <w:rPr>
          <w:sz w:val="20"/>
          <w:szCs w:val="20"/>
          <w:color w:val="auto"/>
        </w:rPr>
      </w:pPr>
      <w:r>
        <w:rPr>
          <w:rFonts w:ascii="Arial" w:cs="Arial" w:eastAsia="Arial" w:hAnsi="Arial"/>
          <w:sz w:val="14"/>
          <w:szCs w:val="14"/>
          <w:color w:val="auto"/>
        </w:rPr>
        <w:t>We may not have less than two directors on the board of directors. We may, by ordinary resolution of the shareholders, vary the minimum and maximum number of directors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Appointment of Directors</w:t>
      </w:r>
    </w:p>
    <w:p>
      <w:pPr>
        <w:spacing w:after="0" w:line="224" w:lineRule="exact"/>
        <w:rPr>
          <w:sz w:val="20"/>
          <w:szCs w:val="20"/>
          <w:color w:val="auto"/>
        </w:rPr>
      </w:pPr>
    </w:p>
    <w:p>
      <w:pPr>
        <w:jc w:val="both"/>
        <w:ind w:right="80"/>
        <w:spacing w:after="0" w:line="307" w:lineRule="auto"/>
        <w:rPr>
          <w:sz w:val="20"/>
          <w:szCs w:val="20"/>
          <w:color w:val="auto"/>
        </w:rPr>
      </w:pPr>
      <w:r>
        <w:rPr>
          <w:rFonts w:ascii="Arial" w:cs="Arial" w:eastAsia="Arial" w:hAnsi="Arial"/>
          <w:sz w:val="14"/>
          <w:szCs w:val="14"/>
          <w:color w:val="auto"/>
        </w:rPr>
        <w:t>Subject to the provisions of the Articles of Association,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57" w:lineRule="exact"/>
        <w:rPr>
          <w:sz w:val="20"/>
          <w:szCs w:val="20"/>
          <w:color w:val="auto"/>
        </w:rPr>
      </w:pPr>
    </w:p>
    <w:p>
      <w:pPr>
        <w:ind w:right="240"/>
        <w:spacing w:after="0" w:line="307" w:lineRule="auto"/>
        <w:rPr>
          <w:sz w:val="20"/>
          <w:szCs w:val="20"/>
          <w:color w:val="auto"/>
        </w:rPr>
      </w:pPr>
      <w:r>
        <w:rPr>
          <w:rFonts w:ascii="Arial" w:cs="Arial" w:eastAsia="Arial" w:hAnsi="Arial"/>
          <w:sz w:val="14"/>
          <w:szCs w:val="14"/>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157"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Rotation of Directors</w:t>
      </w:r>
    </w:p>
    <w:p>
      <w:pPr>
        <w:spacing w:after="0" w:line="224" w:lineRule="exact"/>
        <w:rPr>
          <w:sz w:val="20"/>
          <w:szCs w:val="20"/>
          <w:color w:val="auto"/>
        </w:rPr>
      </w:pPr>
    </w:p>
    <w:p>
      <w:pPr>
        <w:ind w:right="280"/>
        <w:spacing w:after="0" w:line="313" w:lineRule="auto"/>
        <w:rPr>
          <w:sz w:val="20"/>
          <w:szCs w:val="20"/>
          <w:color w:val="auto"/>
        </w:rPr>
      </w:pPr>
      <w:r>
        <w:rPr>
          <w:rFonts w:ascii="Arial" w:cs="Arial" w:eastAsia="Arial" w:hAnsi="Arial"/>
          <w:sz w:val="14"/>
          <w:szCs w:val="14"/>
          <w:color w:val="auto"/>
        </w:rPr>
        <w:t>At every annual general meeting, one-third of the directors or, if their number is not a multiple of three, then the number nearest to and not exceeding one-third, shall retire from office.</w:t>
      </w:r>
    </w:p>
    <w:p>
      <w:pPr>
        <w:spacing w:after="0" w:line="153" w:lineRule="exact"/>
        <w:rPr>
          <w:sz w:val="20"/>
          <w:szCs w:val="20"/>
          <w:color w:val="auto"/>
        </w:rPr>
      </w:pPr>
    </w:p>
    <w:p>
      <w:pPr>
        <w:ind w:right="460"/>
        <w:spacing w:after="0" w:line="313" w:lineRule="auto"/>
        <w:rPr>
          <w:sz w:val="20"/>
          <w:szCs w:val="20"/>
          <w:color w:val="auto"/>
        </w:rPr>
      </w:pPr>
      <w:r>
        <w:rPr>
          <w:rFonts w:ascii="Arial" w:cs="Arial" w:eastAsia="Arial" w:hAnsi="Arial"/>
          <w:sz w:val="14"/>
          <w:szCs w:val="14"/>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director who retires at the annual general meeting shall be eligible for re-election.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15" w:name="page116"/>
    <w:bookmarkEnd w:id="115"/>
    <w:p>
      <w:pPr>
        <w:jc w:val="both"/>
        <w:ind w:right="200"/>
        <w:spacing w:after="0" w:line="259" w:lineRule="auto"/>
        <w:rPr>
          <w:sz w:val="20"/>
          <w:szCs w:val="20"/>
          <w:color w:val="auto"/>
        </w:rPr>
      </w:pPr>
      <w:r>
        <w:rPr>
          <w:rFonts w:ascii="Arial" w:cs="Arial" w:eastAsia="Arial" w:hAnsi="Arial"/>
          <w:sz w:val="14"/>
          <w:szCs w:val="14"/>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Interests</w:t>
      </w:r>
    </w:p>
    <w:p>
      <w:pPr>
        <w:spacing w:after="0" w:line="224"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60" w:lineRule="exact"/>
        <w:rPr>
          <w:sz w:val="20"/>
          <w:szCs w:val="20"/>
          <w:color w:val="auto"/>
        </w:rPr>
      </w:pPr>
    </w:p>
    <w:p>
      <w:pPr>
        <w:ind w:right="420"/>
        <w:spacing w:after="0" w:line="313" w:lineRule="auto"/>
        <w:rPr>
          <w:sz w:val="20"/>
          <w:szCs w:val="20"/>
          <w:color w:val="auto"/>
        </w:rPr>
      </w:pPr>
      <w:r>
        <w:rPr>
          <w:rFonts w:ascii="Arial" w:cs="Arial" w:eastAsia="Arial" w:hAnsi="Arial"/>
          <w:sz w:val="14"/>
          <w:szCs w:val="14"/>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5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19" w:right="359" w:bottom="1440" w:gutter="0" w:footer="0" w:header="0"/>
        </w:sectPr>
      </w:pPr>
    </w:p>
    <w:bookmarkStart w:id="116" w:name="page117"/>
    <w:bookmarkEnd w:id="116"/>
    <w:p>
      <w:pPr>
        <w:ind w:left="1580" w:right="1220" w:hanging="797"/>
        <w:spacing w:after="0" w:line="266"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237" w:lineRule="exact"/>
        <w:rPr>
          <w:rFonts w:ascii="Arial" w:cs="Arial" w:eastAsia="Arial" w:hAnsi="Arial"/>
          <w:sz w:val="14"/>
          <w:szCs w:val="14"/>
          <w:color w:val="auto"/>
        </w:rPr>
      </w:pPr>
    </w:p>
    <w:p>
      <w:pPr>
        <w:ind w:left="1580" w:right="1460" w:hanging="797"/>
        <w:spacing w:after="0" w:line="259"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242" w:lineRule="exact"/>
        <w:rPr>
          <w:rFonts w:ascii="Arial" w:cs="Arial" w:eastAsia="Arial" w:hAnsi="Arial"/>
          <w:sz w:val="14"/>
          <w:szCs w:val="14"/>
          <w:color w:val="auto"/>
        </w:rPr>
      </w:pPr>
    </w:p>
    <w:p>
      <w:pPr>
        <w:jc w:val="both"/>
        <w:ind w:left="1580" w:right="1160" w:hanging="797"/>
        <w:spacing w:after="0" w:line="259"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263" w:lineRule="exact"/>
        <w:rPr>
          <w:rFonts w:ascii="Arial" w:cs="Arial" w:eastAsia="Arial" w:hAnsi="Arial"/>
          <w:sz w:val="14"/>
          <w:szCs w:val="14"/>
          <w:color w:val="auto"/>
        </w:rPr>
      </w:pPr>
    </w:p>
    <w:p>
      <w:pPr>
        <w:ind w:left="1580" w:right="1300" w:hanging="797"/>
        <w:spacing w:after="0" w:line="304"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shareholders of such company;</w:t>
      </w:r>
    </w:p>
    <w:p>
      <w:pPr>
        <w:spacing w:after="0" w:line="224" w:lineRule="exact"/>
        <w:rPr>
          <w:rFonts w:ascii="Arial" w:cs="Arial" w:eastAsia="Arial" w:hAnsi="Arial"/>
          <w:sz w:val="14"/>
          <w:szCs w:val="14"/>
          <w:color w:val="auto"/>
        </w:rPr>
      </w:pPr>
    </w:p>
    <w:p>
      <w:pPr>
        <w:ind w:left="1580" w:right="1720" w:hanging="797"/>
        <w:spacing w:after="0" w:line="259"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242" w:lineRule="exact"/>
        <w:rPr>
          <w:rFonts w:ascii="Arial" w:cs="Arial" w:eastAsia="Arial" w:hAnsi="Arial"/>
          <w:sz w:val="14"/>
          <w:szCs w:val="14"/>
          <w:color w:val="auto"/>
        </w:rPr>
      </w:pPr>
    </w:p>
    <w:p>
      <w:pPr>
        <w:ind w:left="1580" w:right="1060" w:hanging="797"/>
        <w:spacing w:after="0" w:line="257"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244" w:lineRule="exact"/>
        <w:rPr>
          <w:rFonts w:ascii="Arial" w:cs="Arial" w:eastAsia="Arial" w:hAnsi="Arial"/>
          <w:sz w:val="14"/>
          <w:szCs w:val="14"/>
          <w:color w:val="auto"/>
        </w:rPr>
      </w:pPr>
    </w:p>
    <w:p>
      <w:pPr>
        <w:ind w:left="1580" w:right="1080" w:hanging="797"/>
        <w:spacing w:after="0" w:line="259" w:lineRule="auto"/>
        <w:tabs>
          <w:tab w:leader="none" w:pos="1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A director shall not be counted in the quorum present at a meeting in relation to a resolution on which he is not entitled to vote.</w:t>
      </w:r>
    </w:p>
    <w:p>
      <w:pPr>
        <w:spacing w:after="0" w:line="200" w:lineRule="exact"/>
        <w:rPr>
          <w:sz w:val="20"/>
          <w:szCs w:val="20"/>
          <w:color w:val="auto"/>
        </w:rPr>
      </w:pPr>
    </w:p>
    <w:p>
      <w:pPr>
        <w:spacing w:after="0" w:line="371"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274"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i w:val="1"/>
          <w:iCs w:val="1"/>
          <w:color w:val="auto"/>
        </w:rPr>
        <w:t>Directors' Fees and Remuneration</w:t>
      </w:r>
    </w:p>
    <w:p>
      <w:pPr>
        <w:spacing w:after="0" w:line="224" w:lineRule="exact"/>
        <w:rPr>
          <w:sz w:val="20"/>
          <w:szCs w:val="20"/>
          <w:color w:val="auto"/>
        </w:rPr>
      </w:pPr>
    </w:p>
    <w:p>
      <w:pPr>
        <w:ind w:right="220"/>
        <w:spacing w:after="0" w:line="307" w:lineRule="auto"/>
        <w:rPr>
          <w:sz w:val="20"/>
          <w:szCs w:val="20"/>
          <w:color w:val="auto"/>
        </w:rPr>
      </w:pPr>
      <w:r>
        <w:rPr>
          <w:rFonts w:ascii="Arial" w:cs="Arial" w:eastAsia="Arial" w:hAnsi="Arial"/>
          <w:sz w:val="14"/>
          <w:szCs w:val="14"/>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157"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An executive director shall receive such remuneration as the board may determine, and either in addition to or in lieu of his remuneration as a director as detailed above.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 Powers</w:t>
      </w:r>
    </w:p>
    <w:p>
      <w:pPr>
        <w:spacing w:after="0" w:line="224"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Indemnity</w:t>
      </w:r>
    </w:p>
    <w:p>
      <w:pPr>
        <w:spacing w:after="0" w:line="224" w:lineRule="exact"/>
        <w:rPr>
          <w:sz w:val="20"/>
          <w:szCs w:val="20"/>
          <w:color w:val="auto"/>
        </w:rPr>
      </w:pPr>
    </w:p>
    <w:p>
      <w:pPr>
        <w:jc w:val="both"/>
        <w:ind w:right="100"/>
        <w:spacing w:after="0" w:line="307" w:lineRule="auto"/>
        <w:rPr>
          <w:sz w:val="20"/>
          <w:szCs w:val="20"/>
          <w:color w:val="auto"/>
        </w:rPr>
      </w:pPr>
      <w:r>
        <w:rPr>
          <w:rFonts w:ascii="Arial" w:cs="Arial" w:eastAsia="Arial" w:hAnsi="Arial"/>
          <w:sz w:val="14"/>
          <w:szCs w:val="14"/>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U.K. Law Considerations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Mandatory Purchases and Acquisitions</w:t>
      </w:r>
    </w:p>
    <w:p>
      <w:pPr>
        <w:spacing w:after="0" w:line="22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20"/>
          </w:cols>
          <w:pgMar w:left="300" w:top="1079" w:right="37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Companies Act 2006 must, in general, be the same as the consideration that was available under the takeover offer.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 Out</w:t>
      </w:r>
    </w:p>
    <w:p>
      <w:pPr>
        <w:spacing w:after="0" w:line="224"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Disclosure of Interest in Shares</w:t>
      </w:r>
    </w:p>
    <w:p>
      <w:pPr>
        <w:spacing w:after="0" w:line="224" w:lineRule="exact"/>
        <w:rPr>
          <w:sz w:val="20"/>
          <w:szCs w:val="20"/>
          <w:color w:val="auto"/>
        </w:rPr>
      </w:pPr>
    </w:p>
    <w:p>
      <w:pPr>
        <w:ind w:right="160"/>
        <w:spacing w:after="0" w:line="307" w:lineRule="auto"/>
        <w:rPr>
          <w:sz w:val="20"/>
          <w:szCs w:val="20"/>
          <w:color w:val="auto"/>
        </w:rPr>
      </w:pPr>
      <w:r>
        <w:rPr>
          <w:rFonts w:ascii="Arial" w:cs="Arial" w:eastAsia="Arial" w:hAnsi="Arial"/>
          <w:sz w:val="14"/>
          <w:szCs w:val="14"/>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57"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64" w:lineRule="exact"/>
        <w:rPr>
          <w:sz w:val="20"/>
          <w:szCs w:val="20"/>
          <w:color w:val="auto"/>
        </w:rPr>
      </w:pPr>
    </w:p>
    <w:p>
      <w:pPr>
        <w:ind w:left="520" w:right="20" w:hanging="6"/>
        <w:spacing w:after="0" w:line="332" w:lineRule="auto"/>
        <w:tabs>
          <w:tab w:leader="none" w:pos="622" w:val="left"/>
        </w:tabs>
        <w:numPr>
          <w:ilvl w:val="0"/>
          <w:numId w:val="48"/>
        </w:numPr>
        <w:rPr>
          <w:rFonts w:ascii="Arial" w:cs="Arial" w:eastAsia="Arial" w:hAnsi="Arial"/>
          <w:sz w:val="11"/>
          <w:szCs w:val="11"/>
          <w:color w:val="auto"/>
        </w:rPr>
      </w:pPr>
      <w:r>
        <w:rPr>
          <w:rFonts w:ascii="Arial" w:cs="Arial" w:eastAsia="Arial" w:hAnsi="Arial"/>
          <w:sz w:val="14"/>
          <w:szCs w:val="14"/>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ind w:left="520" w:right="20" w:hanging="6"/>
        <w:spacing w:after="0" w:line="332" w:lineRule="auto"/>
        <w:tabs>
          <w:tab w:leader="none" w:pos="622" w:val="left"/>
        </w:tabs>
        <w:numPr>
          <w:ilvl w:val="0"/>
          <w:numId w:val="48"/>
        </w:numPr>
        <w:rPr>
          <w:rFonts w:ascii="Arial" w:cs="Arial" w:eastAsia="Arial" w:hAnsi="Arial"/>
          <w:sz w:val="11"/>
          <w:szCs w:val="11"/>
          <w:color w:val="auto"/>
        </w:rPr>
      </w:pPr>
      <w:r>
        <w:rPr>
          <w:rFonts w:ascii="Arial" w:cs="Arial" w:eastAsia="Arial" w:hAnsi="Arial"/>
          <w:sz w:val="14"/>
          <w:szCs w:val="14"/>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ind w:left="520" w:right="20" w:hanging="6"/>
        <w:spacing w:after="0" w:line="336" w:lineRule="auto"/>
        <w:tabs>
          <w:tab w:leader="none" w:pos="622" w:val="left"/>
        </w:tabs>
        <w:numPr>
          <w:ilvl w:val="0"/>
          <w:numId w:val="48"/>
        </w:numPr>
        <w:rPr>
          <w:rFonts w:ascii="Arial" w:cs="Arial" w:eastAsia="Arial" w:hAnsi="Arial"/>
          <w:sz w:val="11"/>
          <w:szCs w:val="11"/>
          <w:color w:val="auto"/>
        </w:rPr>
      </w:pPr>
      <w:r>
        <w:rPr>
          <w:rFonts w:ascii="Arial" w:cs="Arial" w:eastAsia="Arial" w:hAnsi="Arial"/>
          <w:sz w:val="14"/>
          <w:szCs w:val="14"/>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of Own Shares</w:t>
      </w:r>
    </w:p>
    <w:p>
      <w:pPr>
        <w:spacing w:after="0" w:line="224" w:lineRule="exact"/>
        <w:rPr>
          <w:sz w:val="20"/>
          <w:szCs w:val="20"/>
          <w:color w:val="auto"/>
        </w:rPr>
      </w:pPr>
    </w:p>
    <w:p>
      <w:pPr>
        <w:ind w:right="240"/>
        <w:spacing w:after="0" w:line="304" w:lineRule="auto"/>
        <w:rPr>
          <w:sz w:val="20"/>
          <w:szCs w:val="20"/>
          <w:color w:val="auto"/>
        </w:rPr>
      </w:pPr>
      <w:r>
        <w:rPr>
          <w:rFonts w:ascii="Arial" w:cs="Arial" w:eastAsia="Arial" w:hAnsi="Arial"/>
          <w:sz w:val="14"/>
          <w:szCs w:val="14"/>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19" w:name="page120"/>
    <w:bookmarkEnd w:id="119"/>
    <w:p>
      <w:pPr>
        <w:ind w:right="300"/>
        <w:spacing w:after="0" w:line="313" w:lineRule="auto"/>
        <w:rPr>
          <w:sz w:val="20"/>
          <w:szCs w:val="20"/>
          <w:color w:val="auto"/>
        </w:rPr>
      </w:pPr>
      <w:r>
        <w:rPr>
          <w:rFonts w:ascii="Arial" w:cs="Arial" w:eastAsia="Arial" w:hAnsi="Arial"/>
          <w:sz w:val="14"/>
          <w:szCs w:val="14"/>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386" w:lineRule="exact"/>
        <w:rPr>
          <w:sz w:val="20"/>
          <w:szCs w:val="20"/>
          <w:color w:val="auto"/>
        </w:rPr>
      </w:pPr>
    </w:p>
    <w:p>
      <w:pPr>
        <w:ind w:left="1620" w:hanging="837"/>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specify the maximum number of shares authorized to be acquired;</w:t>
      </w:r>
    </w:p>
    <w:p>
      <w:pPr>
        <w:spacing w:after="0" w:line="263" w:lineRule="exact"/>
        <w:rPr>
          <w:rFonts w:ascii="Arial" w:cs="Arial" w:eastAsia="Arial" w:hAnsi="Arial"/>
          <w:sz w:val="14"/>
          <w:szCs w:val="14"/>
          <w:color w:val="auto"/>
        </w:rPr>
      </w:pPr>
    </w:p>
    <w:p>
      <w:pPr>
        <w:ind w:left="1620" w:hanging="837"/>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determine the maximum and minimum prices that may be paid for the shares; and</w:t>
      </w:r>
    </w:p>
    <w:p>
      <w:pPr>
        <w:spacing w:after="0" w:line="263" w:lineRule="exact"/>
        <w:rPr>
          <w:rFonts w:ascii="Arial" w:cs="Arial" w:eastAsia="Arial" w:hAnsi="Arial"/>
          <w:sz w:val="14"/>
          <w:szCs w:val="14"/>
          <w:color w:val="auto"/>
        </w:rPr>
      </w:pPr>
    </w:p>
    <w:p>
      <w:pPr>
        <w:ind w:left="1620" w:hanging="837"/>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specify a date, not being later than five years after the passing of the resolution, on which the authority to purchase is to expire.</w:t>
      </w:r>
    </w:p>
    <w:p>
      <w:pPr>
        <w:spacing w:after="0" w:line="295"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Distributions and Dividends</w:t>
      </w:r>
    </w:p>
    <w:p>
      <w:pPr>
        <w:spacing w:after="0" w:line="224"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60"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386" w:lineRule="exact"/>
        <w:rPr>
          <w:sz w:val="20"/>
          <w:szCs w:val="20"/>
          <w:color w:val="auto"/>
        </w:rPr>
      </w:pPr>
    </w:p>
    <w:p>
      <w:pPr>
        <w:ind w:left="1580" w:right="980" w:hanging="797"/>
        <w:spacing w:after="0" w:line="266"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37" w:lineRule="exact"/>
        <w:rPr>
          <w:rFonts w:ascii="Arial" w:cs="Arial" w:eastAsia="Arial" w:hAnsi="Arial"/>
          <w:sz w:val="14"/>
          <w:szCs w:val="14"/>
          <w:color w:val="auto"/>
        </w:rPr>
      </w:pPr>
    </w:p>
    <w:p>
      <w:pPr>
        <w:ind w:left="1580" w:right="1240" w:hanging="797"/>
        <w:spacing w:after="0" w:line="266" w:lineRule="auto"/>
        <w:tabs>
          <w:tab w:leader="none" w:pos="15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Takeovers and Mergers</w:t>
      </w:r>
    </w:p>
    <w:p>
      <w:pPr>
        <w:spacing w:after="0" w:line="224"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20" w:name="page121"/>
    <w:bookmarkEnd w:id="120"/>
    <w:p>
      <w:pPr>
        <w:spacing w:after="0" w:line="313" w:lineRule="auto"/>
        <w:rPr>
          <w:sz w:val="20"/>
          <w:szCs w:val="20"/>
          <w:color w:val="auto"/>
        </w:rPr>
      </w:pPr>
      <w:r>
        <w:rPr>
          <w:rFonts w:ascii="Arial" w:cs="Arial" w:eastAsia="Arial" w:hAnsi="Arial"/>
          <w:sz w:val="14"/>
          <w:szCs w:val="14"/>
          <w:color w:val="auto"/>
        </w:rPr>
        <w:t>United Kingdom, Channel Islands or the Isle of Man. We have incorporated certain takeover protections in our articles of association so that we are able to defend ourselves and our shareholders from hostile takeovers.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Differences in Corporate Law</w:t>
      </w:r>
    </w:p>
    <w:p>
      <w:pPr>
        <w:spacing w:after="0" w:line="214"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80"/>
        <w:spacing w:after="0"/>
        <w:tabs>
          <w:tab w:leader="none" w:pos="7980" w:val="left"/>
        </w:tabs>
        <w:rPr>
          <w:sz w:val="20"/>
          <w:szCs w:val="20"/>
          <w:color w:val="auto"/>
        </w:rPr>
      </w:pPr>
      <w:r>
        <w:rPr>
          <w:rFonts w:ascii="Arial" w:cs="Arial" w:eastAsia="Arial" w:hAnsi="Arial"/>
          <w:sz w:val="13"/>
          <w:szCs w:val="13"/>
          <w:b w:val="1"/>
          <w:bCs w:val="1"/>
          <w:color w:val="auto"/>
        </w:rPr>
        <w:t>England and Wales</w:t>
      </w:r>
      <w:r>
        <w:rPr>
          <w:sz w:val="20"/>
          <w:szCs w:val="20"/>
          <w:color w:val="auto"/>
        </w:rPr>
        <w:tab/>
      </w: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35560</wp:posOffset>
            </wp:positionV>
            <wp:extent cx="509333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5093335" cy="6985"/>
                    </a:xfrm>
                    <a:prstGeom prst="rect">
                      <a:avLst/>
                    </a:prstGeom>
                    <a:noFill/>
                  </pic:spPr>
                </pic:pic>
              </a:graphicData>
            </a:graphic>
          </wp:anchor>
        </w:drawing>
      </w:r>
    </w:p>
    <w:p>
      <w:pPr>
        <w:sectPr>
          <w:pgSz w:w="11900" w:h="16838" w:orient="portrait"/>
          <w:cols w:equalWidth="0" w:num="1">
            <w:col w:w="11280"/>
          </w:cols>
          <w:pgMar w:left="300" w:top="1093" w:right="319" w:bottom="1440" w:gutter="0" w:footer="0" w:header="0"/>
        </w:sectPr>
      </w:pPr>
    </w:p>
    <w:p>
      <w:pPr>
        <w:spacing w:after="0" w:line="301"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Number of Directors</w:t>
      </w:r>
      <w:r>
        <w:rPr>
          <w:sz w:val="20"/>
          <w:szCs w:val="20"/>
          <w:color w:val="auto"/>
        </w:rPr>
        <w:tab/>
      </w:r>
      <w:r>
        <w:rPr>
          <w:rFonts w:ascii="Arial" w:cs="Arial" w:eastAsia="Arial" w:hAnsi="Arial"/>
          <w:sz w:val="12"/>
          <w:szCs w:val="12"/>
          <w:color w:val="auto"/>
        </w:rPr>
        <w:t>Under the Companies Act 2006, a public limited company must have</w:t>
      </w:r>
    </w:p>
    <w:p>
      <w:pPr>
        <w:ind w:left="2280"/>
        <w:spacing w:after="0" w:line="244" w:lineRule="auto"/>
        <w:rPr>
          <w:sz w:val="20"/>
          <w:szCs w:val="20"/>
          <w:color w:val="auto"/>
        </w:rPr>
      </w:pPr>
      <w:r>
        <w:rPr>
          <w:rFonts w:ascii="Arial" w:cs="Arial" w:eastAsia="Arial" w:hAnsi="Arial"/>
          <w:sz w:val="13"/>
          <w:szCs w:val="13"/>
          <w:color w:val="auto"/>
        </w:rPr>
        <w:t>at least two directors and the number of directors may be fixed by or in the manner provided in a company’s articles of association.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020"/>
        <w:spacing w:after="0" w:line="241" w:lineRule="auto"/>
        <w:rPr>
          <w:sz w:val="20"/>
          <w:szCs w:val="20"/>
          <w:color w:val="auto"/>
        </w:rPr>
      </w:pPr>
      <w:r>
        <w:rPr>
          <w:rFonts w:ascii="Arial" w:cs="Arial" w:eastAsia="Arial" w:hAnsi="Arial"/>
          <w:sz w:val="13"/>
          <w:szCs w:val="13"/>
          <w:color w:val="auto"/>
        </w:rPr>
        <w:t>Under Delaware law, a corporation must have at least one director and the number of directors shall be fixed by or in the manner provided in the bylaws.</w:t>
      </w:r>
    </w:p>
    <w:p>
      <w:pPr>
        <w:spacing w:after="0" w:line="37" w:lineRule="exact"/>
        <w:rPr>
          <w:sz w:val="20"/>
          <w:szCs w:val="20"/>
          <w:color w:val="auto"/>
        </w:rPr>
      </w:pPr>
    </w:p>
    <w:p>
      <w:pPr>
        <w:sectPr>
          <w:pgSz w:w="11900" w:h="16838" w:orient="portrait"/>
          <w:cols w:equalWidth="0" w:num="2">
            <w:col w:w="6240" w:space="40"/>
            <w:col w:w="5000"/>
          </w:cols>
          <w:pgMar w:left="300" w:top="1093" w:right="319" w:bottom="1440" w:gutter="0" w:footer="0" w:header="0"/>
          <w:type w:val="continuous"/>
        </w:sectPr>
      </w:pPr>
    </w:p>
    <w:p>
      <w:pPr>
        <w:ind w:left="20"/>
        <w:spacing w:after="0"/>
        <w:tabs>
          <w:tab w:leader="none" w:pos="2260" w:val="left"/>
        </w:tabs>
        <w:rPr>
          <w:sz w:val="20"/>
          <w:szCs w:val="20"/>
          <w:color w:val="auto"/>
        </w:rPr>
      </w:pPr>
      <w:r>
        <w:rPr>
          <w:rFonts w:ascii="Arial" w:cs="Arial" w:eastAsia="Arial" w:hAnsi="Arial"/>
          <w:sz w:val="13"/>
          <w:szCs w:val="13"/>
          <w:color w:val="auto"/>
        </w:rPr>
        <w:t>Removal of Directors</w:t>
      </w:r>
      <w:r>
        <w:rPr>
          <w:sz w:val="20"/>
          <w:szCs w:val="20"/>
          <w:color w:val="auto"/>
        </w:rPr>
        <w:tab/>
      </w:r>
      <w:r>
        <w:rPr>
          <w:rFonts w:ascii="Arial" w:cs="Arial" w:eastAsia="Arial" w:hAnsi="Arial"/>
          <w:sz w:val="12"/>
          <w:szCs w:val="12"/>
          <w:color w:val="auto"/>
        </w:rPr>
        <w:t>Under the Companies Act 2006, shareholders may remove a director</w:t>
      </w:r>
    </w:p>
    <w:p>
      <w:pPr>
        <w:ind w:left="2280"/>
        <w:spacing w:after="0" w:line="261" w:lineRule="auto"/>
        <w:rPr>
          <w:sz w:val="20"/>
          <w:szCs w:val="20"/>
          <w:color w:val="auto"/>
        </w:rPr>
      </w:pPr>
      <w:r>
        <w:rPr>
          <w:rFonts w:ascii="Arial" w:cs="Arial" w:eastAsia="Arial" w:hAnsi="Arial"/>
          <w:sz w:val="12"/>
          <w:szCs w:val="12"/>
          <w:color w:val="auto"/>
        </w:rPr>
        <w:t>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20" w:lineRule="exact"/>
        <w:rPr>
          <w:sz w:val="20"/>
          <w:szCs w:val="20"/>
          <w:color w:val="auto"/>
        </w:rPr>
      </w:pPr>
      <w:r>
        <w:rPr>
          <w:sz w:val="20"/>
          <w:szCs w:val="20"/>
          <w:color w:val="auto"/>
        </w:rPr>
        <w:br w:type="column"/>
      </w:r>
    </w:p>
    <w:p>
      <w:pPr>
        <w:ind w:right="1060"/>
        <w:spacing w:after="0" w:line="239" w:lineRule="auto"/>
        <w:rPr>
          <w:sz w:val="20"/>
          <w:szCs w:val="20"/>
          <w:color w:val="auto"/>
        </w:rPr>
      </w:pPr>
      <w:r>
        <w:rPr>
          <w:rFonts w:ascii="Arial" w:cs="Arial" w:eastAsia="Arial" w:hAnsi="Arial"/>
          <w:sz w:val="13"/>
          <w:szCs w:val="13"/>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ectPr>
          <w:pgSz w:w="11900" w:h="16838" w:orient="portrait"/>
          <w:cols w:equalWidth="0" w:num="2">
            <w:col w:w="6240" w:space="40"/>
            <w:col w:w="5000"/>
          </w:cols>
          <w:pgMar w:left="300" w:top="1093" w:right="31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80"/>
          </w:cols>
          <w:pgMar w:left="300" w:top="1093" w:right="319" w:bottom="1440" w:gutter="0" w:footer="0" w:header="0"/>
          <w:type w:val="continuous"/>
        </w:sectPr>
      </w:pPr>
    </w:p>
    <w:bookmarkStart w:id="121" w:name="page122"/>
    <w:bookmarkEnd w:id="121"/>
    <w:p>
      <w:pPr>
        <w:ind w:left="20"/>
        <w:spacing w:after="0"/>
        <w:tabs>
          <w:tab w:leader="none" w:pos="2260" w:val="left"/>
        </w:tabs>
        <w:rPr>
          <w:sz w:val="20"/>
          <w:szCs w:val="20"/>
          <w:color w:val="auto"/>
        </w:rPr>
      </w:pPr>
      <w:r>
        <w:rPr>
          <w:rFonts w:ascii="Arial" w:cs="Arial" w:eastAsia="Arial" w:hAnsi="Arial"/>
          <w:sz w:val="13"/>
          <w:szCs w:val="13"/>
          <w:color w:val="auto"/>
        </w:rPr>
        <w:t>Vacancies on the Board of Directors</w:t>
      </w:r>
      <w:r>
        <w:rPr>
          <w:sz w:val="20"/>
          <w:szCs w:val="20"/>
          <w:color w:val="auto"/>
        </w:rPr>
        <w:tab/>
      </w:r>
      <w:r>
        <w:rPr>
          <w:rFonts w:ascii="Arial" w:cs="Arial" w:eastAsia="Arial" w:hAnsi="Arial"/>
          <w:sz w:val="12"/>
          <w:szCs w:val="12"/>
          <w:color w:val="auto"/>
        </w:rPr>
        <w:t>Under English law, the procedure by which directors, other than a</w:t>
      </w:r>
    </w:p>
    <w:p>
      <w:pPr>
        <w:ind w:left="2280"/>
        <w:spacing w:after="0"/>
        <w:rPr>
          <w:sz w:val="20"/>
          <w:szCs w:val="20"/>
          <w:color w:val="auto"/>
        </w:rPr>
      </w:pPr>
      <w:r>
        <w:rPr>
          <w:rFonts w:ascii="Arial" w:cs="Arial" w:eastAsia="Arial" w:hAnsi="Arial"/>
          <w:sz w:val="13"/>
          <w:szCs w:val="13"/>
          <w:color w:val="auto"/>
        </w:rPr>
        <w:t>company’s initial directors, are appointed is generally set out in a</w:t>
      </w:r>
    </w:p>
    <w:p>
      <w:pPr>
        <w:ind w:left="2280"/>
        <w:spacing w:after="0"/>
        <w:rPr>
          <w:sz w:val="20"/>
          <w:szCs w:val="20"/>
          <w:color w:val="auto"/>
        </w:rPr>
      </w:pPr>
      <w:r>
        <w:rPr>
          <w:rFonts w:ascii="Arial" w:cs="Arial" w:eastAsia="Arial" w:hAnsi="Arial"/>
          <w:sz w:val="13"/>
          <w:szCs w:val="13"/>
          <w:color w:val="auto"/>
        </w:rPr>
        <w:t>company’s articles of association, provided that where two or more</w:t>
      </w:r>
    </w:p>
    <w:p>
      <w:pPr>
        <w:ind w:left="2280"/>
        <w:spacing w:after="0"/>
        <w:rPr>
          <w:sz w:val="20"/>
          <w:szCs w:val="20"/>
          <w:color w:val="auto"/>
        </w:rPr>
      </w:pPr>
      <w:r>
        <w:rPr>
          <w:rFonts w:ascii="Arial" w:cs="Arial" w:eastAsia="Arial" w:hAnsi="Arial"/>
          <w:sz w:val="13"/>
          <w:szCs w:val="13"/>
          <w:color w:val="auto"/>
        </w:rPr>
        <w:t>persons are appointed as directors of a public limited company by</w:t>
      </w:r>
    </w:p>
    <w:p>
      <w:pPr>
        <w:ind w:left="2280"/>
        <w:spacing w:after="0"/>
        <w:rPr>
          <w:sz w:val="20"/>
          <w:szCs w:val="20"/>
          <w:color w:val="auto"/>
        </w:rPr>
      </w:pPr>
      <w:r>
        <w:rPr>
          <w:rFonts w:ascii="Arial" w:cs="Arial" w:eastAsia="Arial" w:hAnsi="Arial"/>
          <w:sz w:val="13"/>
          <w:szCs w:val="13"/>
          <w:color w:val="auto"/>
        </w:rPr>
        <w:t>resolution of the shareholders, resolutions appointing each director</w:t>
      </w:r>
    </w:p>
    <w:p>
      <w:pPr>
        <w:ind w:left="2280"/>
        <w:spacing w:after="0"/>
        <w:rPr>
          <w:sz w:val="20"/>
          <w:szCs w:val="20"/>
          <w:color w:val="auto"/>
        </w:rPr>
      </w:pPr>
      <w:r>
        <w:rPr>
          <w:rFonts w:ascii="Arial" w:cs="Arial" w:eastAsia="Arial" w:hAnsi="Arial"/>
          <w:sz w:val="13"/>
          <w:szCs w:val="13"/>
          <w:color w:val="auto"/>
        </w:rPr>
        <w:t>must be voted on individually.</w:t>
      </w:r>
    </w:p>
    <w:p>
      <w:pPr>
        <w:spacing w:after="0" w:line="338"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Annual General Meeting</w:t>
      </w:r>
      <w:r>
        <w:rPr>
          <w:sz w:val="20"/>
          <w:szCs w:val="20"/>
          <w:color w:val="auto"/>
        </w:rPr>
        <w:tab/>
      </w:r>
      <w:r>
        <w:rPr>
          <w:rFonts w:ascii="Arial" w:cs="Arial" w:eastAsia="Arial" w:hAnsi="Arial"/>
          <w:sz w:val="12"/>
          <w:szCs w:val="12"/>
          <w:color w:val="auto"/>
        </w:rPr>
        <w:t>Under the Companies Act 2006, a public limited company must hold</w:t>
      </w:r>
    </w:p>
    <w:p>
      <w:pPr>
        <w:ind w:left="2280" w:right="260"/>
        <w:spacing w:after="0" w:line="151" w:lineRule="exact"/>
        <w:rPr>
          <w:sz w:val="20"/>
          <w:szCs w:val="20"/>
          <w:color w:val="auto"/>
        </w:rPr>
      </w:pPr>
      <w:r>
        <w:rPr>
          <w:rFonts w:ascii="Arial" w:cs="Arial" w:eastAsia="Arial" w:hAnsi="Arial"/>
          <w:sz w:val="13"/>
          <w:szCs w:val="13"/>
          <w:color w:val="auto"/>
        </w:rPr>
        <w:t>an annual general meeting in each six</w:t>
      </w:r>
      <w:r>
        <w:rPr>
          <w:rFonts w:ascii="MS PGothic" w:cs="MS PGothic" w:eastAsia="MS PGothic" w:hAnsi="MS PGothic"/>
          <w:sz w:val="13"/>
          <w:szCs w:val="13"/>
          <w:color w:val="auto"/>
        </w:rPr>
        <w:t>‑</w:t>
      </w:r>
      <w:r>
        <w:rPr>
          <w:rFonts w:ascii="Arial" w:cs="Arial" w:eastAsia="Arial" w:hAnsi="Arial"/>
          <w:sz w:val="13"/>
          <w:szCs w:val="13"/>
          <w:color w:val="auto"/>
        </w:rPr>
        <w:t>month period following the company’s annual accounting reference date.</w:t>
      </w:r>
    </w:p>
    <w:p>
      <w:pPr>
        <w:spacing w:after="0" w:line="186"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General Meeting</w:t>
      </w:r>
      <w:r>
        <w:rPr>
          <w:sz w:val="20"/>
          <w:szCs w:val="20"/>
          <w:color w:val="auto"/>
        </w:rPr>
        <w:tab/>
      </w:r>
      <w:r>
        <w:rPr>
          <w:rFonts w:ascii="Arial" w:cs="Arial" w:eastAsia="Arial" w:hAnsi="Arial"/>
          <w:sz w:val="12"/>
          <w:szCs w:val="12"/>
          <w:color w:val="auto"/>
        </w:rPr>
        <w:t>Under the Companies Act 2006, a general meeting of the</w:t>
      </w:r>
    </w:p>
    <w:p>
      <w:pPr>
        <w:ind w:left="2280" w:right="440"/>
        <w:spacing w:after="0" w:line="244" w:lineRule="auto"/>
        <w:rPr>
          <w:sz w:val="20"/>
          <w:szCs w:val="20"/>
          <w:color w:val="auto"/>
        </w:rPr>
      </w:pPr>
      <w:r>
        <w:rPr>
          <w:rFonts w:ascii="Arial" w:cs="Arial" w:eastAsia="Arial" w:hAnsi="Arial"/>
          <w:sz w:val="13"/>
          <w:szCs w:val="13"/>
          <w:color w:val="auto"/>
        </w:rPr>
        <w:t>shareholders of a public limited company may be called by the directors.</w:t>
      </w:r>
    </w:p>
    <w:p>
      <w:pPr>
        <w:spacing w:after="0" w:line="27" w:lineRule="exact"/>
        <w:rPr>
          <w:sz w:val="20"/>
          <w:szCs w:val="20"/>
          <w:color w:val="auto"/>
        </w:rPr>
      </w:pPr>
    </w:p>
    <w:p>
      <w:pPr>
        <w:ind w:left="2280"/>
        <w:spacing w:after="0" w:line="151" w:lineRule="exact"/>
        <w:rPr>
          <w:sz w:val="20"/>
          <w:szCs w:val="20"/>
          <w:color w:val="auto"/>
        </w:rPr>
      </w:pPr>
      <w:r>
        <w:rPr>
          <w:rFonts w:ascii="Arial" w:cs="Arial" w:eastAsia="Arial" w:hAnsi="Arial"/>
          <w:sz w:val="13"/>
          <w:szCs w:val="13"/>
          <w:color w:val="auto"/>
        </w:rPr>
        <w:t>Shareholders holding at least 5% of the paid</w:t>
      </w:r>
      <w:r>
        <w:rPr>
          <w:rFonts w:ascii="MS PGothic" w:cs="MS PGothic" w:eastAsia="MS PGothic" w:hAnsi="MS PGothic"/>
          <w:sz w:val="13"/>
          <w:szCs w:val="13"/>
          <w:color w:val="auto"/>
        </w:rPr>
        <w:t>‑</w:t>
      </w:r>
      <w:r>
        <w:rPr>
          <w:rFonts w:ascii="Arial" w:cs="Arial" w:eastAsia="Arial" w:hAnsi="Arial"/>
          <w:sz w:val="13"/>
          <w:szCs w:val="13"/>
          <w:color w:val="auto"/>
        </w:rPr>
        <w:t>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Under Delaware law, vacancies and newly created directorships may be filled by a majority of the directors then in office (even though less than a quorum) or by a sole remaining director unless (a) otherwise provided in the certificate of incorporation or by</w:t>
      </w:r>
      <w:r>
        <w:rPr>
          <w:rFonts w:ascii="MS PGothic" w:cs="MS PGothic" w:eastAsia="MS PGothic" w:hAnsi="MS PGothic"/>
          <w:sz w:val="13"/>
          <w:szCs w:val="13"/>
          <w:color w:val="auto"/>
        </w:rPr>
        <w:t>‑</w:t>
      </w:r>
      <w:r>
        <w:rPr>
          <w:rFonts w:ascii="Arial" w:cs="Arial" w:eastAsia="Arial" w:hAnsi="Arial"/>
          <w:sz w:val="13"/>
          <w:szCs w:val="13"/>
          <w:color w:val="auto"/>
        </w:rPr>
        <w:t>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40" w:lineRule="exact"/>
        <w:rPr>
          <w:sz w:val="20"/>
          <w:szCs w:val="20"/>
          <w:color w:val="auto"/>
        </w:rPr>
      </w:pPr>
    </w:p>
    <w:p>
      <w:pPr>
        <w:ind w:right="40"/>
        <w:spacing w:after="0"/>
        <w:rPr>
          <w:sz w:val="20"/>
          <w:szCs w:val="20"/>
          <w:color w:val="auto"/>
        </w:rPr>
      </w:pPr>
      <w:r>
        <w:rPr>
          <w:rFonts w:ascii="Arial" w:cs="Arial" w:eastAsia="Arial" w:hAnsi="Arial"/>
          <w:sz w:val="13"/>
          <w:szCs w:val="13"/>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39"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Under Delaware law, special meetings of the stockholders may be called by the board of directors or by such person or persons as may be authorized by the certificate of incorporation or by the bylaws.</w:t>
      </w:r>
    </w:p>
    <w:p>
      <w:pPr>
        <w:spacing w:after="0" w:line="966" w:lineRule="exact"/>
        <w:rPr>
          <w:sz w:val="20"/>
          <w:szCs w:val="20"/>
          <w:color w:val="auto"/>
        </w:rPr>
      </w:pPr>
    </w:p>
    <w:p>
      <w:pPr>
        <w:sectPr>
          <w:pgSz w:w="11900" w:h="16838" w:orient="portrait"/>
          <w:cols w:equalWidth="0" w:num="2">
            <w:col w:w="6220" w:space="60"/>
            <w:col w:w="3980"/>
          </w:cols>
          <w:pgMar w:left="300" w:top="1063" w:right="1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0260"/>
          </w:cols>
          <w:pgMar w:left="300" w:top="1063" w:right="1339" w:bottom="1440" w:gutter="0" w:footer="0" w:header="0"/>
          <w:type w:val="continuous"/>
        </w:sectPr>
      </w:pPr>
    </w:p>
    <w:bookmarkStart w:id="122" w:name="page123"/>
    <w:bookmarkEnd w:id="122"/>
    <w:p>
      <w:pPr>
        <w:ind w:left="20"/>
        <w:spacing w:after="0"/>
        <w:tabs>
          <w:tab w:leader="none" w:pos="2260" w:val="left"/>
        </w:tabs>
        <w:rPr>
          <w:sz w:val="20"/>
          <w:szCs w:val="20"/>
          <w:color w:val="auto"/>
        </w:rPr>
      </w:pPr>
      <w:r>
        <w:rPr>
          <w:rFonts w:ascii="Arial" w:cs="Arial" w:eastAsia="Arial" w:hAnsi="Arial"/>
          <w:sz w:val="13"/>
          <w:szCs w:val="13"/>
          <w:color w:val="auto"/>
        </w:rPr>
        <w:t>Notice of General Meetings</w:t>
      </w:r>
      <w:r>
        <w:rPr>
          <w:sz w:val="20"/>
          <w:szCs w:val="20"/>
          <w:color w:val="auto"/>
        </w:rPr>
        <w:tab/>
      </w:r>
      <w:r>
        <w:rPr>
          <w:rFonts w:ascii="Arial" w:cs="Arial" w:eastAsia="Arial" w:hAnsi="Arial"/>
          <w:sz w:val="12"/>
          <w:szCs w:val="12"/>
          <w:color w:val="auto"/>
        </w:rPr>
        <w:t>Under the Companies Act 2006, 21 clear days’ notice must be given</w:t>
      </w:r>
    </w:p>
    <w:p>
      <w:pPr>
        <w:ind w:left="2280" w:right="80"/>
        <w:spacing w:after="0" w:line="239" w:lineRule="auto"/>
        <w:rPr>
          <w:sz w:val="20"/>
          <w:szCs w:val="20"/>
          <w:color w:val="auto"/>
        </w:rPr>
      </w:pPr>
      <w:r>
        <w:rPr>
          <w:rFonts w:ascii="Arial" w:cs="Arial" w:eastAsia="Arial" w:hAnsi="Arial"/>
          <w:sz w:val="13"/>
          <w:szCs w:val="13"/>
          <w:color w:val="auto"/>
        </w:rPr>
        <w:t>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37"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Proxy</w:t>
      </w:r>
      <w:r>
        <w:rPr>
          <w:sz w:val="20"/>
          <w:szCs w:val="20"/>
          <w:color w:val="auto"/>
        </w:rPr>
        <w:tab/>
      </w:r>
      <w:r>
        <w:rPr>
          <w:rFonts w:ascii="Arial" w:cs="Arial" w:eastAsia="Arial" w:hAnsi="Arial"/>
          <w:sz w:val="13"/>
          <w:szCs w:val="13"/>
          <w:color w:val="auto"/>
        </w:rPr>
        <w:t>Under the Companies Act 2006, at any meeting of shareholders, a</w:t>
      </w:r>
    </w:p>
    <w:p>
      <w:pPr>
        <w:ind w:left="2280" w:right="60"/>
        <w:spacing w:after="0" w:line="244" w:lineRule="auto"/>
        <w:rPr>
          <w:sz w:val="20"/>
          <w:szCs w:val="20"/>
          <w:color w:val="auto"/>
        </w:rPr>
      </w:pPr>
      <w:r>
        <w:rPr>
          <w:rFonts w:ascii="Arial" w:cs="Arial" w:eastAsia="Arial" w:hAnsi="Arial"/>
          <w:sz w:val="13"/>
          <w:szCs w:val="13"/>
          <w:color w:val="auto"/>
        </w:rPr>
        <w:t>shareholder may designate another person to attend, speak and vote at the meeting on 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line="150" w:lineRule="exact"/>
        <w:tabs>
          <w:tab w:leader="none" w:pos="2260" w:val="left"/>
        </w:tabs>
        <w:rPr>
          <w:sz w:val="20"/>
          <w:szCs w:val="20"/>
          <w:color w:val="auto"/>
        </w:rPr>
      </w:pPr>
      <w:r>
        <w:rPr>
          <w:rFonts w:ascii="Arial" w:cs="Arial" w:eastAsia="Arial" w:hAnsi="Arial"/>
          <w:sz w:val="13"/>
          <w:szCs w:val="13"/>
          <w:color w:val="auto"/>
        </w:rPr>
        <w:t>Pre</w:t>
      </w:r>
      <w:r>
        <w:rPr>
          <w:rFonts w:ascii="MS PGothic" w:cs="MS PGothic" w:eastAsia="MS PGothic" w:hAnsi="MS PGothic"/>
          <w:sz w:val="13"/>
          <w:szCs w:val="13"/>
          <w:color w:val="auto"/>
        </w:rPr>
        <w:t>‑</w:t>
      </w:r>
      <w:r>
        <w:rPr>
          <w:rFonts w:ascii="Arial" w:cs="Arial" w:eastAsia="Arial" w:hAnsi="Arial"/>
          <w:sz w:val="13"/>
          <w:szCs w:val="13"/>
          <w:color w:val="auto"/>
        </w:rPr>
        <w:t>emptive Rights</w:t>
      </w:r>
      <w:r>
        <w:rPr>
          <w:sz w:val="20"/>
          <w:szCs w:val="20"/>
          <w:color w:val="auto"/>
        </w:rPr>
        <w:tab/>
      </w:r>
      <w:r>
        <w:rPr>
          <w:rFonts w:ascii="Arial" w:cs="Arial" w:eastAsia="Arial" w:hAnsi="Arial"/>
          <w:sz w:val="12"/>
          <w:szCs w:val="12"/>
          <w:color w:val="auto"/>
        </w:rPr>
        <w:t>Under the Companies Act 2006, “equity securities”, being (i) shares in</w:t>
      </w:r>
    </w:p>
    <w:p>
      <w:pPr>
        <w:spacing w:after="0" w:line="7" w:lineRule="exact"/>
        <w:rPr>
          <w:sz w:val="20"/>
          <w:szCs w:val="20"/>
          <w:color w:val="auto"/>
        </w:rPr>
      </w:pPr>
    </w:p>
    <w:p>
      <w:pPr>
        <w:ind w:left="2280"/>
        <w:spacing w:after="0" w:line="239" w:lineRule="auto"/>
        <w:rPr>
          <w:sz w:val="20"/>
          <w:szCs w:val="20"/>
          <w:color w:val="auto"/>
        </w:rPr>
      </w:pPr>
      <w:r>
        <w:rPr>
          <w:rFonts w:ascii="Arial" w:cs="Arial" w:eastAsia="Arial" w:hAnsi="Arial"/>
          <w:sz w:val="13"/>
          <w:szCs w:val="13"/>
          <w:color w:val="auto"/>
        </w:rPr>
        <w:t>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3"/>
          <w:szCs w:val="13"/>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40"/>
        <w:spacing w:after="0" w:line="267" w:lineRule="auto"/>
        <w:rPr>
          <w:sz w:val="20"/>
          <w:szCs w:val="20"/>
          <w:color w:val="auto"/>
        </w:rPr>
      </w:pPr>
      <w:r>
        <w:rPr>
          <w:rFonts w:ascii="Arial" w:cs="Arial" w:eastAsia="Arial" w:hAnsi="Arial"/>
          <w:sz w:val="12"/>
          <w:szCs w:val="12"/>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240" w:space="40"/>
            <w:col w:w="3980"/>
          </w:cols>
          <w:pgMar w:left="300" w:top="1063" w:right="1339" w:bottom="1440" w:gutter="0" w:footer="0" w:header="0"/>
        </w:sectPr>
      </w:pPr>
    </w:p>
    <w:bookmarkStart w:id="123" w:name="page124"/>
    <w:bookmarkEnd w:id="123"/>
    <w:p>
      <w:pPr>
        <w:ind w:left="20"/>
        <w:spacing w:after="0"/>
        <w:tabs>
          <w:tab w:leader="none" w:pos="2260" w:val="left"/>
          <w:tab w:leader="none" w:pos="6260" w:val="left"/>
        </w:tabs>
        <w:rPr>
          <w:sz w:val="20"/>
          <w:szCs w:val="20"/>
          <w:color w:val="auto"/>
        </w:rPr>
      </w:pPr>
      <w:r>
        <w:rPr>
          <w:rFonts w:ascii="Arial" w:cs="Arial" w:eastAsia="Arial" w:hAnsi="Arial"/>
          <w:sz w:val="13"/>
          <w:szCs w:val="13"/>
          <w:color w:val="auto"/>
        </w:rPr>
        <w:t>Authority to Allot</w:t>
      </w:r>
      <w:r>
        <w:rPr>
          <w:sz w:val="20"/>
          <w:szCs w:val="20"/>
          <w:color w:val="auto"/>
        </w:rPr>
        <w:tab/>
      </w:r>
      <w:r>
        <w:rPr>
          <w:rFonts w:ascii="Arial" w:cs="Arial" w:eastAsia="Arial" w:hAnsi="Arial"/>
          <w:sz w:val="13"/>
          <w:szCs w:val="13"/>
          <w:color w:val="auto"/>
        </w:rPr>
        <w:t>Under the Companies Act 2006, the directors of a company must not</w:t>
      </w:r>
      <w:r>
        <w:rPr>
          <w:sz w:val="20"/>
          <w:szCs w:val="20"/>
          <w:color w:val="auto"/>
        </w:rPr>
        <w:tab/>
      </w:r>
      <w:r>
        <w:rPr>
          <w:rFonts w:ascii="Arial" w:cs="Arial" w:eastAsia="Arial" w:hAnsi="Arial"/>
          <w:sz w:val="12"/>
          <w:szCs w:val="12"/>
          <w:color w:val="auto"/>
        </w:rPr>
        <w:t>Under Delaware law, if the corporation’s charter or certificate of</w:t>
      </w:r>
    </w:p>
    <w:p>
      <w:pPr>
        <w:ind w:left="2280" w:right="80"/>
        <w:spacing w:after="0" w:line="258" w:lineRule="auto"/>
        <w:rPr>
          <w:sz w:val="20"/>
          <w:szCs w:val="20"/>
          <w:color w:val="auto"/>
        </w:rPr>
      </w:pPr>
      <w:r>
        <w:rPr>
          <w:rFonts w:ascii="Arial" w:cs="Arial" w:eastAsia="Arial" w:hAnsi="Arial"/>
          <w:sz w:val="12"/>
          <w:szCs w:val="12"/>
          <w:color w:val="auto"/>
        </w:rPr>
        <w:t>allot shares or grant of rights to subscribe for or to convert any security incorporation so provides, the board of directors has the power to into shares unless an exception applies or an ordinary resolution to authorize the issuance of stock. It may authorize capital stock to be the contrary has been passed by shareholders in a general meeting or issued for consideration consisting of cash, any tangible or intangible</w:t>
      </w:r>
    </w:p>
    <w:p>
      <w:pPr>
        <w:jc w:val="right"/>
        <w:ind w:right="80"/>
        <w:spacing w:after="0"/>
        <w:tabs>
          <w:tab w:leader="none" w:pos="3860" w:val="left"/>
        </w:tabs>
        <w:rPr>
          <w:sz w:val="20"/>
          <w:szCs w:val="20"/>
          <w:color w:val="auto"/>
        </w:rPr>
      </w:pPr>
      <w:r>
        <w:rPr>
          <w:rFonts w:ascii="Arial" w:cs="Arial" w:eastAsia="Arial" w:hAnsi="Arial"/>
          <w:sz w:val="13"/>
          <w:szCs w:val="13"/>
          <w:color w:val="auto"/>
        </w:rPr>
        <w:t>the articles of association provide otherwise in each case in</w:t>
      </w:r>
      <w:r>
        <w:rPr>
          <w:sz w:val="20"/>
          <w:szCs w:val="20"/>
          <w:color w:val="auto"/>
        </w:rPr>
        <w:tab/>
      </w:r>
      <w:r>
        <w:rPr>
          <w:rFonts w:ascii="Arial" w:cs="Arial" w:eastAsia="Arial" w:hAnsi="Arial"/>
          <w:sz w:val="12"/>
          <w:szCs w:val="12"/>
          <w:color w:val="auto"/>
        </w:rPr>
        <w:t>property or any benefit to the corporation or any combination thereof.</w:t>
      </w:r>
    </w:p>
    <w:p>
      <w:pPr>
        <w:ind w:left="2280"/>
        <w:spacing w:after="0"/>
        <w:tabs>
          <w:tab w:leader="none" w:pos="6260" w:val="left"/>
        </w:tabs>
        <w:rPr>
          <w:sz w:val="20"/>
          <w:szCs w:val="20"/>
          <w:color w:val="auto"/>
        </w:rPr>
      </w:pPr>
      <w:r>
        <w:rPr>
          <w:rFonts w:ascii="Arial" w:cs="Arial" w:eastAsia="Arial" w:hAnsi="Arial"/>
          <w:sz w:val="13"/>
          <w:szCs w:val="13"/>
          <w:color w:val="auto"/>
        </w:rPr>
        <w:t>accordance with the provisions of the Companies Act 2006.</w:t>
      </w:r>
      <w:r>
        <w:rPr>
          <w:sz w:val="20"/>
          <w:szCs w:val="20"/>
          <w:color w:val="auto"/>
        </w:rPr>
        <w:tab/>
      </w:r>
      <w:r>
        <w:rPr>
          <w:rFonts w:ascii="Arial" w:cs="Arial" w:eastAsia="Arial" w:hAnsi="Arial"/>
          <w:sz w:val="12"/>
          <w:szCs w:val="12"/>
          <w:color w:val="auto"/>
        </w:rPr>
        <w:t>It may determine the amount of such consideration by approving a</w:t>
      </w:r>
    </w:p>
    <w:p>
      <w:pPr>
        <w:ind w:left="6280"/>
        <w:spacing w:after="0"/>
        <w:rPr>
          <w:sz w:val="20"/>
          <w:szCs w:val="20"/>
          <w:color w:val="auto"/>
        </w:rPr>
      </w:pPr>
      <w:r>
        <w:rPr>
          <w:rFonts w:ascii="Arial" w:cs="Arial" w:eastAsia="Arial" w:hAnsi="Arial"/>
          <w:sz w:val="13"/>
          <w:szCs w:val="13"/>
          <w:color w:val="auto"/>
        </w:rPr>
        <w:t>formula. In the absence of actual fraud in the transaction, the</w:t>
      </w:r>
    </w:p>
    <w:p>
      <w:pPr>
        <w:ind w:left="6280"/>
        <w:spacing w:after="0"/>
        <w:rPr>
          <w:sz w:val="20"/>
          <w:szCs w:val="20"/>
          <w:color w:val="auto"/>
        </w:rPr>
      </w:pPr>
      <w:r>
        <w:rPr>
          <w:rFonts w:ascii="Arial" w:cs="Arial" w:eastAsia="Arial" w:hAnsi="Arial"/>
          <w:sz w:val="13"/>
          <w:szCs w:val="13"/>
          <w:color w:val="auto"/>
        </w:rPr>
        <w:t>judgment of the directors as to the value of such consideration is</w:t>
      </w:r>
    </w:p>
    <w:p>
      <w:pPr>
        <w:ind w:left="6280"/>
        <w:spacing w:after="0"/>
        <w:rPr>
          <w:sz w:val="20"/>
          <w:szCs w:val="20"/>
          <w:color w:val="auto"/>
        </w:rPr>
      </w:pPr>
      <w:r>
        <w:rPr>
          <w:rFonts w:ascii="Arial" w:cs="Arial" w:eastAsia="Arial" w:hAnsi="Arial"/>
          <w:sz w:val="13"/>
          <w:szCs w:val="13"/>
          <w:color w:val="auto"/>
        </w:rPr>
        <w:t>conclusive.</w:t>
      </w:r>
    </w:p>
    <w:p>
      <w:pPr>
        <w:sectPr>
          <w:pgSz w:w="11900" w:h="16838" w:orient="portrait"/>
          <w:cols w:equalWidth="0" w:num="1">
            <w:col w:w="10240"/>
          </w:cols>
          <w:pgMar w:left="300" w:top="1063" w:right="1359" w:bottom="1440" w:gutter="0" w:footer="0" w:header="0"/>
        </w:sectPr>
      </w:pPr>
    </w:p>
    <w:p>
      <w:pPr>
        <w:spacing w:after="0" w:line="41"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Liability of Directors and Officers</w:t>
      </w:r>
      <w:r>
        <w:rPr>
          <w:sz w:val="20"/>
          <w:szCs w:val="20"/>
          <w:color w:val="auto"/>
        </w:rPr>
        <w:tab/>
      </w:r>
      <w:r>
        <w:rPr>
          <w:rFonts w:ascii="Arial" w:cs="Arial" w:eastAsia="Arial" w:hAnsi="Arial"/>
          <w:sz w:val="12"/>
          <w:szCs w:val="12"/>
          <w:color w:val="auto"/>
        </w:rPr>
        <w:t>Under the Companies Act 2006, any provision, whether contained in a</w:t>
      </w:r>
    </w:p>
    <w:p>
      <w:pPr>
        <w:ind w:left="2280" w:right="60"/>
        <w:spacing w:after="0" w:line="239" w:lineRule="auto"/>
        <w:rPr>
          <w:sz w:val="20"/>
          <w:szCs w:val="20"/>
          <w:color w:val="auto"/>
        </w:rPr>
      </w:pPr>
      <w:r>
        <w:rPr>
          <w:rFonts w:ascii="Arial" w:cs="Arial" w:eastAsia="Arial" w:hAnsi="Arial"/>
          <w:sz w:val="13"/>
          <w:szCs w:val="13"/>
          <w:color w:val="auto"/>
        </w:rPr>
        <w:t>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41" w:lineRule="exact"/>
        <w:rPr>
          <w:sz w:val="20"/>
          <w:szCs w:val="20"/>
          <w:color w:val="auto"/>
        </w:rPr>
      </w:pPr>
    </w:p>
    <w:p>
      <w:pPr>
        <w:ind w:left="2280" w:right="40"/>
        <w:spacing w:after="0" w:line="239" w:lineRule="auto"/>
        <w:rPr>
          <w:sz w:val="20"/>
          <w:szCs w:val="20"/>
          <w:color w:val="auto"/>
        </w:rPr>
      </w:pPr>
      <w:r>
        <w:rPr>
          <w:rFonts w:ascii="Arial" w:cs="Arial" w:eastAsia="Arial" w:hAnsi="Arial"/>
          <w:sz w:val="13"/>
          <w:szCs w:val="13"/>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89" w:lineRule="exact"/>
        <w:rPr>
          <w:sz w:val="20"/>
          <w:szCs w:val="20"/>
          <w:color w:val="auto"/>
        </w:rPr>
      </w:pPr>
    </w:p>
    <w:p>
      <w:pPr>
        <w:ind w:left="260"/>
        <w:spacing w:after="0" w:line="244" w:lineRule="auto"/>
        <w:rPr>
          <w:sz w:val="20"/>
          <w:szCs w:val="20"/>
          <w:color w:val="auto"/>
        </w:rPr>
      </w:pPr>
      <w:r>
        <w:rPr>
          <w:rFonts w:ascii="Arial" w:cs="Arial" w:eastAsia="Arial" w:hAnsi="Arial"/>
          <w:sz w:val="13"/>
          <w:szCs w:val="13"/>
          <w:color w:val="auto"/>
        </w:rPr>
        <w:t>any breach of the director’s duty of loyalty to the corporation or its stockholders;</w:t>
      </w:r>
    </w:p>
    <w:p>
      <w:pPr>
        <w:spacing w:after="0" w:line="142" w:lineRule="exact"/>
        <w:rPr>
          <w:sz w:val="20"/>
          <w:szCs w:val="20"/>
          <w:color w:val="auto"/>
        </w:rPr>
      </w:pPr>
    </w:p>
    <w:p>
      <w:pPr>
        <w:ind w:left="260" w:right="320"/>
        <w:spacing w:after="0" w:line="244" w:lineRule="auto"/>
        <w:rPr>
          <w:sz w:val="20"/>
          <w:szCs w:val="20"/>
          <w:color w:val="auto"/>
        </w:rPr>
      </w:pPr>
      <w:r>
        <w:rPr>
          <w:rFonts w:ascii="Arial" w:cs="Arial" w:eastAsia="Arial" w:hAnsi="Arial"/>
          <w:sz w:val="13"/>
          <w:szCs w:val="13"/>
          <w:color w:val="auto"/>
        </w:rPr>
        <w:t>acts or omissions not in good faith or that involve intentional misconduct or a knowing violation of law;</w:t>
      </w:r>
    </w:p>
    <w:p>
      <w:pPr>
        <w:spacing w:after="0" w:line="142" w:lineRule="exact"/>
        <w:rPr>
          <w:sz w:val="20"/>
          <w:szCs w:val="20"/>
          <w:color w:val="auto"/>
        </w:rPr>
      </w:pPr>
    </w:p>
    <w:p>
      <w:pPr>
        <w:ind w:left="260" w:right="200"/>
        <w:spacing w:after="0" w:line="244" w:lineRule="auto"/>
        <w:rPr>
          <w:sz w:val="20"/>
          <w:szCs w:val="20"/>
          <w:color w:val="auto"/>
        </w:rPr>
      </w:pPr>
      <w:r>
        <w:rPr>
          <w:rFonts w:ascii="Arial" w:cs="Arial" w:eastAsia="Arial" w:hAnsi="Arial"/>
          <w:sz w:val="13"/>
          <w:szCs w:val="13"/>
          <w:color w:val="auto"/>
        </w:rPr>
        <w:t>intentional or negligent payment of unlawful dividends or stock purchases or redemptions; or</w:t>
      </w:r>
    </w:p>
    <w:p>
      <w:pPr>
        <w:spacing w:after="0" w:line="142" w:lineRule="exact"/>
        <w:rPr>
          <w:sz w:val="20"/>
          <w:szCs w:val="20"/>
          <w:color w:val="auto"/>
        </w:rPr>
      </w:pPr>
    </w:p>
    <w:p>
      <w:pPr>
        <w:ind w:left="260" w:right="340"/>
        <w:spacing w:after="0" w:line="244" w:lineRule="auto"/>
        <w:rPr>
          <w:sz w:val="20"/>
          <w:szCs w:val="20"/>
          <w:color w:val="auto"/>
        </w:rPr>
      </w:pPr>
      <w:r>
        <w:rPr>
          <w:rFonts w:ascii="Arial" w:cs="Arial" w:eastAsia="Arial" w:hAnsi="Arial"/>
          <w:sz w:val="13"/>
          <w:szCs w:val="13"/>
          <w:color w:val="auto"/>
        </w:rPr>
        <w:t>any transaction from which the director derives an improper personal benefit.</w:t>
      </w:r>
    </w:p>
    <w:p>
      <w:pPr>
        <w:spacing w:after="0" w:line="643" w:lineRule="exact"/>
        <w:rPr>
          <w:sz w:val="20"/>
          <w:szCs w:val="20"/>
          <w:color w:val="auto"/>
        </w:rPr>
      </w:pPr>
    </w:p>
    <w:p>
      <w:pPr>
        <w:sectPr>
          <w:pgSz w:w="11900" w:h="16838" w:orient="portrait"/>
          <w:cols w:equalWidth="0" w:num="2">
            <w:col w:w="6220" w:space="60"/>
            <w:col w:w="3960"/>
          </w:cols>
          <w:pgMar w:left="300" w:top="1063"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0240"/>
          </w:cols>
          <w:pgMar w:left="300" w:top="1063" w:right="1359" w:bottom="1440" w:gutter="0" w:footer="0" w:header="0"/>
          <w:type w:val="continuous"/>
        </w:sectPr>
      </w:pPr>
    </w:p>
    <w:bookmarkStart w:id="124" w:name="page125"/>
    <w:bookmarkEnd w:id="124"/>
    <w:tbl>
      <w:tblPr>
        <w:tblLayout w:type="fixed"/>
        <w:tblInd w:w="20" w:type="dxa"/>
        <w:tblCellMar>
          <w:top w:w="0" w:type="dxa"/>
          <w:left w:w="0" w:type="dxa"/>
          <w:bottom w:w="0" w:type="dxa"/>
          <w:right w:w="0" w:type="dxa"/>
        </w:tblCellMar>
      </w:tblP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Voting Rights</w:t>
            </w:r>
          </w:p>
        </w:tc>
        <w:tc>
          <w:tcPr>
            <w:tcW w:w="8300" w:type="dxa"/>
            <w:vAlign w:val="bottom"/>
            <w:gridSpan w:val="2"/>
          </w:tcPr>
          <w:p>
            <w:pPr>
              <w:ind w:left="320"/>
              <w:spacing w:after="0"/>
              <w:rPr>
                <w:sz w:val="20"/>
                <w:szCs w:val="20"/>
                <w:color w:val="auto"/>
              </w:rPr>
            </w:pPr>
            <w:r>
              <w:rPr>
                <w:rFonts w:ascii="Arial" w:cs="Arial" w:eastAsia="Arial" w:hAnsi="Arial"/>
                <w:sz w:val="13"/>
                <w:szCs w:val="13"/>
                <w:color w:val="auto"/>
              </w:rPr>
              <w:t>Under English law, unless a poll is demanded by the shareholders of a Delaware law provides that, unless otherwise provided in the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company or is required by the chairman of the meeting or the</w:t>
            </w:r>
          </w:p>
        </w:tc>
        <w:tc>
          <w:tcPr>
            <w:tcW w:w="3980" w:type="dxa"/>
            <w:vAlign w:val="bottom"/>
          </w:tcPr>
          <w:p>
            <w:pPr>
              <w:spacing w:after="0"/>
              <w:rPr>
                <w:sz w:val="20"/>
                <w:szCs w:val="20"/>
                <w:color w:val="auto"/>
              </w:rPr>
            </w:pPr>
            <w:r>
              <w:rPr>
                <w:rFonts w:ascii="Arial" w:cs="Arial" w:eastAsia="Arial" w:hAnsi="Arial"/>
                <w:sz w:val="13"/>
                <w:szCs w:val="13"/>
                <w:color w:val="auto"/>
                <w:w w:val="99"/>
              </w:rPr>
              <w:t>certificate of incorporation, each stockholder is entitled to one vote for</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company’s articles of association, shareholders shall vote on all</w:t>
            </w:r>
          </w:p>
        </w:tc>
        <w:tc>
          <w:tcPr>
            <w:tcW w:w="3980" w:type="dxa"/>
            <w:vAlign w:val="bottom"/>
          </w:tcPr>
          <w:p>
            <w:pPr>
              <w:spacing w:after="0"/>
              <w:rPr>
                <w:sz w:val="20"/>
                <w:szCs w:val="20"/>
                <w:color w:val="auto"/>
              </w:rPr>
            </w:pPr>
            <w:r>
              <w:rPr>
                <w:rFonts w:ascii="Arial" w:cs="Arial" w:eastAsia="Arial" w:hAnsi="Arial"/>
                <w:sz w:val="13"/>
                <w:szCs w:val="13"/>
                <w:color w:val="auto"/>
              </w:rPr>
              <w:t>each share of capital stock held by such stockholder.</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7"/>
              </w:rPr>
              <w:t>resolutions on a show of hands. Under the Companies Act 2006, a poll</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may be demanded by (a) not fewer than five shareholders having the</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9"/>
              </w:rPr>
              <w:t>right to vote on the resolution; (b) any shareholder(s) representing not</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less than 10% of the total voting rights of all the shareholders having</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the right to vote on the resolution (excluding any voting rights</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8"/>
              </w:rPr>
              <w:t>attaching to treasury shares); or (c) any shareholder(s) holding shares</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in the company conferring a right to vote on the resolution (excluding</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any voting rights attaching to treasury shares) being shares on which</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9"/>
              </w:rPr>
              <w:t>an aggregate sum has been paid up equal to not less than 10% of the</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total sum paid up on all the shares conferring that right. A company’s</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articles of association may provide more extensive rights for</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shareholders to call a poll.</w:t>
            </w: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Under English law, an ordinary resolution is passed on a show of</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hands if it is approved by a simple majority (more than 50%) of the</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8"/>
              </w:rPr>
              <w:t>votes cast by shareholders present (in person or by proxy) and entitled</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to vote. If a poll is demanded, an ordinary resolution is passed if it is</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approved by holders representing a simple majority of the total voting</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rights of shareholders present, in person or by proxy,</w:t>
            </w: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w w:val="99"/>
              </w:rPr>
              <w:t>who, being entitled to vote, vote on the resolution. Special resolutions</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require the affirmative vote of not less than 75% of the votes cast by</w:t>
            </w: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shareholders present, in person or by proxy, at the meeting.</w:t>
            </w: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20"/>
                <w:szCs w:val="20"/>
                <w:color w:val="auto"/>
              </w:rPr>
            </w:pPr>
            <w:r>
              <w:rPr>
                <w:rFonts w:ascii="Arial" w:cs="Arial" w:eastAsia="Arial" w:hAnsi="Arial"/>
                <w:sz w:val="13"/>
                <w:szCs w:val="13"/>
                <w:color w:val="auto"/>
              </w:rPr>
              <w:t>Shareholder Vote on Certain</w:t>
            </w:r>
          </w:p>
        </w:tc>
        <w:tc>
          <w:tcPr>
            <w:tcW w:w="8300" w:type="dxa"/>
            <w:vAlign w:val="bottom"/>
            <w:gridSpan w:val="2"/>
          </w:tcPr>
          <w:p>
            <w:pPr>
              <w:ind w:left="320"/>
              <w:spacing w:after="0"/>
              <w:rPr>
                <w:sz w:val="20"/>
                <w:szCs w:val="20"/>
                <w:color w:val="auto"/>
              </w:rPr>
            </w:pPr>
            <w:r>
              <w:rPr>
                <w:rFonts w:ascii="Arial" w:cs="Arial" w:eastAsia="Arial" w:hAnsi="Arial"/>
                <w:sz w:val="13"/>
                <w:szCs w:val="13"/>
                <w:color w:val="auto"/>
                <w:w w:val="98"/>
              </w:rPr>
              <w:t>The Companies Act 2006 provides for schemes of arrangement, which Generally, under Delaware law, unless the certificate of incorporation</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Transactions</w:t>
            </w:r>
          </w:p>
        </w:tc>
        <w:tc>
          <w:tcPr>
            <w:tcW w:w="4320" w:type="dxa"/>
            <w:vAlign w:val="bottom"/>
          </w:tcPr>
          <w:p>
            <w:pPr>
              <w:ind w:left="320"/>
              <w:spacing w:after="0"/>
              <w:rPr>
                <w:sz w:val="20"/>
                <w:szCs w:val="20"/>
                <w:color w:val="auto"/>
              </w:rPr>
            </w:pPr>
            <w:r>
              <w:rPr>
                <w:rFonts w:ascii="Arial" w:cs="Arial" w:eastAsia="Arial" w:hAnsi="Arial"/>
                <w:sz w:val="13"/>
                <w:szCs w:val="13"/>
                <w:color w:val="auto"/>
                <w:w w:val="99"/>
              </w:rPr>
              <w:t>are arrangements or compromises between a company and any class</w:t>
            </w:r>
          </w:p>
        </w:tc>
        <w:tc>
          <w:tcPr>
            <w:tcW w:w="3980" w:type="dxa"/>
            <w:vAlign w:val="bottom"/>
          </w:tcPr>
          <w:p>
            <w:pPr>
              <w:spacing w:after="0"/>
              <w:rPr>
                <w:sz w:val="20"/>
                <w:szCs w:val="20"/>
                <w:color w:val="auto"/>
              </w:rPr>
            </w:pPr>
            <w:r>
              <w:rPr>
                <w:rFonts w:ascii="Arial" w:cs="Arial" w:eastAsia="Arial" w:hAnsi="Arial"/>
                <w:sz w:val="13"/>
                <w:szCs w:val="13"/>
                <w:color w:val="auto"/>
              </w:rPr>
              <w:t>provides for the vote of a larger portion of the stock, completion of a</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of shareholders or creditors and used in certain types of</w:t>
            </w:r>
          </w:p>
        </w:tc>
        <w:tc>
          <w:tcPr>
            <w:tcW w:w="3980" w:type="dxa"/>
            <w:vAlign w:val="bottom"/>
          </w:tcPr>
          <w:p>
            <w:pPr>
              <w:spacing w:after="0"/>
              <w:rPr>
                <w:sz w:val="20"/>
                <w:szCs w:val="20"/>
                <w:color w:val="auto"/>
              </w:rPr>
            </w:pPr>
            <w:r>
              <w:rPr>
                <w:rFonts w:ascii="Arial" w:cs="Arial" w:eastAsia="Arial" w:hAnsi="Arial"/>
                <w:sz w:val="13"/>
                <w:szCs w:val="13"/>
                <w:color w:val="auto"/>
                <w:w w:val="97"/>
              </w:rPr>
              <w:t>merger, consolidation, sale, lease or exchange of all or substantially all</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8300" w:type="dxa"/>
            <w:vAlign w:val="bottom"/>
            <w:gridSpan w:val="2"/>
          </w:tcPr>
          <w:p>
            <w:pPr>
              <w:ind w:left="320"/>
              <w:spacing w:after="0"/>
              <w:rPr>
                <w:sz w:val="20"/>
                <w:szCs w:val="20"/>
                <w:color w:val="auto"/>
              </w:rPr>
            </w:pPr>
            <w:r>
              <w:rPr>
                <w:rFonts w:ascii="Arial" w:cs="Arial" w:eastAsia="Arial" w:hAnsi="Arial"/>
                <w:sz w:val="13"/>
                <w:szCs w:val="13"/>
                <w:color w:val="auto"/>
              </w:rPr>
              <w:t>reconstructions, amalgamations, capital reorganizations or takeovers.  of a corporation’s assets or dissolution requires:</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320" w:type="dxa"/>
            <w:vAlign w:val="bottom"/>
          </w:tcPr>
          <w:p>
            <w:pPr>
              <w:ind w:left="320"/>
              <w:spacing w:after="0"/>
              <w:rPr>
                <w:sz w:val="20"/>
                <w:szCs w:val="20"/>
                <w:color w:val="auto"/>
              </w:rPr>
            </w:pPr>
            <w:r>
              <w:rPr>
                <w:rFonts w:ascii="Arial" w:cs="Arial" w:eastAsia="Arial" w:hAnsi="Arial"/>
                <w:sz w:val="13"/>
                <w:szCs w:val="13"/>
                <w:color w:val="auto"/>
              </w:rPr>
              <w:t>These arrangements require:</w:t>
            </w:r>
          </w:p>
        </w:tc>
        <w:tc>
          <w:tcPr>
            <w:tcW w:w="3980" w:type="dxa"/>
            <w:vAlign w:val="bottom"/>
            <w:vMerge w:val="restart"/>
          </w:tcPr>
          <w:p>
            <w:pPr>
              <w:ind w:left="260"/>
              <w:spacing w:after="0"/>
              <w:rPr>
                <w:sz w:val="20"/>
                <w:szCs w:val="20"/>
                <w:color w:val="auto"/>
              </w:rPr>
            </w:pPr>
            <w:r>
              <w:rPr>
                <w:rFonts w:ascii="Arial" w:cs="Arial" w:eastAsia="Arial" w:hAnsi="Arial"/>
                <w:sz w:val="13"/>
                <w:szCs w:val="13"/>
                <w:color w:val="auto"/>
              </w:rPr>
              <w:t>the approval of the board of directors; and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vMerge w:val="restart"/>
          </w:tcPr>
          <w:p>
            <w:pPr>
              <w:ind w:left="580"/>
              <w:spacing w:after="0"/>
              <w:rPr>
                <w:sz w:val="20"/>
                <w:szCs w:val="20"/>
                <w:color w:val="auto"/>
              </w:rPr>
            </w:pPr>
            <w:r>
              <w:rPr>
                <w:rFonts w:ascii="Arial" w:cs="Arial" w:eastAsia="Arial" w:hAnsi="Arial"/>
                <w:sz w:val="13"/>
                <w:szCs w:val="13"/>
                <w:color w:val="auto"/>
                <w:w w:val="98"/>
              </w:rPr>
              <w:t>the approval at a shareholders’ or creditors’ meeting convened by</w:t>
            </w: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432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580"/>
              <w:spacing w:after="0"/>
              <w:rPr>
                <w:sz w:val="20"/>
                <w:szCs w:val="20"/>
                <w:color w:val="auto"/>
              </w:rPr>
            </w:pPr>
            <w:r>
              <w:rPr>
                <w:rFonts w:ascii="Arial" w:cs="Arial" w:eastAsia="Arial" w:hAnsi="Arial"/>
                <w:sz w:val="13"/>
                <w:szCs w:val="13"/>
                <w:color w:val="auto"/>
              </w:rPr>
              <w:t>order of the court, of a majority in number of shareholders or</w:t>
            </w:r>
          </w:p>
        </w:tc>
        <w:tc>
          <w:tcPr>
            <w:tcW w:w="3980" w:type="dxa"/>
            <w:vAlign w:val="bottom"/>
          </w:tcPr>
          <w:p>
            <w:pPr>
              <w:ind w:left="260"/>
              <w:spacing w:after="0"/>
              <w:rPr>
                <w:sz w:val="20"/>
                <w:szCs w:val="20"/>
                <w:color w:val="auto"/>
              </w:rPr>
            </w:pPr>
            <w:r>
              <w:rPr>
                <w:rFonts w:ascii="Arial" w:cs="Arial" w:eastAsia="Arial" w:hAnsi="Arial"/>
                <w:sz w:val="13"/>
                <w:szCs w:val="13"/>
                <w:color w:val="auto"/>
              </w:rPr>
              <w:t>approval by the vote of the holders of a majority of the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580"/>
              <w:spacing w:after="0"/>
              <w:rPr>
                <w:sz w:val="20"/>
                <w:szCs w:val="20"/>
                <w:color w:val="auto"/>
              </w:rPr>
            </w:pPr>
            <w:r>
              <w:rPr>
                <w:rFonts w:ascii="Arial" w:cs="Arial" w:eastAsia="Arial" w:hAnsi="Arial"/>
                <w:sz w:val="13"/>
                <w:szCs w:val="13"/>
                <w:color w:val="auto"/>
                <w:w w:val="99"/>
              </w:rPr>
              <w:t>creditors representing 75% in value of the capital held by, or debt</w:t>
            </w:r>
          </w:p>
        </w:tc>
        <w:tc>
          <w:tcPr>
            <w:tcW w:w="3980" w:type="dxa"/>
            <w:vAlign w:val="bottom"/>
          </w:tcPr>
          <w:p>
            <w:pPr>
              <w:ind w:left="260"/>
              <w:spacing w:after="0"/>
              <w:rPr>
                <w:sz w:val="20"/>
                <w:szCs w:val="20"/>
                <w:color w:val="auto"/>
              </w:rPr>
            </w:pPr>
            <w:r>
              <w:rPr>
                <w:rFonts w:ascii="Arial" w:cs="Arial" w:eastAsia="Arial" w:hAnsi="Arial"/>
                <w:sz w:val="13"/>
                <w:szCs w:val="13"/>
                <w:color w:val="auto"/>
                <w:w w:val="98"/>
              </w:rPr>
              <w:t>outstanding stock or, if the certificate of incorporation provides for</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580"/>
              <w:spacing w:after="0"/>
              <w:rPr>
                <w:sz w:val="20"/>
                <w:szCs w:val="20"/>
                <w:color w:val="auto"/>
              </w:rPr>
            </w:pPr>
            <w:r>
              <w:rPr>
                <w:rFonts w:ascii="Arial" w:cs="Arial" w:eastAsia="Arial" w:hAnsi="Arial"/>
                <w:sz w:val="13"/>
                <w:szCs w:val="13"/>
                <w:color w:val="auto"/>
              </w:rPr>
              <w:t>owed to, the class of shareholders or creditors, or class thereof</w:t>
            </w:r>
          </w:p>
        </w:tc>
        <w:tc>
          <w:tcPr>
            <w:tcW w:w="3980" w:type="dxa"/>
            <w:vAlign w:val="bottom"/>
          </w:tcPr>
          <w:p>
            <w:pPr>
              <w:ind w:left="260"/>
              <w:spacing w:after="0"/>
              <w:rPr>
                <w:sz w:val="20"/>
                <w:szCs w:val="20"/>
                <w:color w:val="auto"/>
              </w:rPr>
            </w:pPr>
            <w:r>
              <w:rPr>
                <w:rFonts w:ascii="Arial" w:cs="Arial" w:eastAsia="Arial" w:hAnsi="Arial"/>
                <w:sz w:val="13"/>
                <w:szCs w:val="13"/>
                <w:color w:val="auto"/>
              </w:rPr>
              <w:t>more or less than one vote per share, a majority of the votes of</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tcPr>
          <w:p>
            <w:pPr>
              <w:ind w:left="580"/>
              <w:spacing w:after="0"/>
              <w:rPr>
                <w:sz w:val="20"/>
                <w:szCs w:val="20"/>
                <w:color w:val="auto"/>
              </w:rPr>
            </w:pPr>
            <w:r>
              <w:rPr>
                <w:rFonts w:ascii="Arial" w:cs="Arial" w:eastAsia="Arial" w:hAnsi="Arial"/>
                <w:sz w:val="13"/>
                <w:szCs w:val="13"/>
                <w:color w:val="auto"/>
              </w:rPr>
              <w:t>present and voting, either in person or by proxy; and</w:t>
            </w:r>
          </w:p>
        </w:tc>
        <w:tc>
          <w:tcPr>
            <w:tcW w:w="3980" w:type="dxa"/>
            <w:vAlign w:val="bottom"/>
          </w:tcPr>
          <w:p>
            <w:pPr>
              <w:ind w:left="260"/>
              <w:spacing w:after="0"/>
              <w:rPr>
                <w:sz w:val="20"/>
                <w:szCs w:val="20"/>
                <w:color w:val="auto"/>
              </w:rPr>
            </w:pPr>
            <w:r>
              <w:rPr>
                <w:rFonts w:ascii="Arial" w:cs="Arial" w:eastAsia="Arial" w:hAnsi="Arial"/>
                <w:sz w:val="13"/>
                <w:szCs w:val="13"/>
                <w:color w:val="auto"/>
              </w:rPr>
              <w:t>the outstanding stock of a corporation entitled to vote on the</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320" w:type="dxa"/>
            <w:vAlign w:val="bottom"/>
            <w:vMerge w:val="restart"/>
          </w:tcPr>
          <w:p>
            <w:pPr>
              <w:ind w:left="580"/>
              <w:spacing w:after="0"/>
              <w:rPr>
                <w:sz w:val="20"/>
                <w:szCs w:val="20"/>
                <w:color w:val="auto"/>
              </w:rPr>
            </w:pPr>
            <w:r>
              <w:rPr>
                <w:rFonts w:ascii="Arial" w:cs="Arial" w:eastAsia="Arial" w:hAnsi="Arial"/>
                <w:sz w:val="13"/>
                <w:szCs w:val="13"/>
                <w:color w:val="auto"/>
              </w:rPr>
              <w:t>the approval of the court.</w:t>
            </w:r>
          </w:p>
        </w:tc>
        <w:tc>
          <w:tcPr>
            <w:tcW w:w="3980" w:type="dxa"/>
            <w:vAlign w:val="bottom"/>
          </w:tcPr>
          <w:p>
            <w:pPr>
              <w:ind w:left="260"/>
              <w:spacing w:after="0"/>
              <w:rPr>
                <w:sz w:val="20"/>
                <w:szCs w:val="20"/>
                <w:color w:val="auto"/>
              </w:rPr>
            </w:pPr>
            <w:r>
              <w:rPr>
                <w:rFonts w:ascii="Arial" w:cs="Arial" w:eastAsia="Arial" w:hAnsi="Arial"/>
                <w:sz w:val="13"/>
                <w:szCs w:val="13"/>
                <w:color w:val="auto"/>
              </w:rPr>
              <w:t>matter.</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432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0260"/>
          </w:cols>
          <w:pgMar w:left="300" w:top="1063" w:right="1339" w:bottom="1440" w:gutter="0" w:footer="0" w:header="0"/>
        </w:sectPr>
      </w:pPr>
    </w:p>
    <w:bookmarkStart w:id="125" w:name="page126"/>
    <w:bookmarkEnd w:id="125"/>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Standard of Conduct for Directors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Under English law, a director owes various statutory and fiduciary</w:t>
      </w:r>
    </w:p>
    <w:p>
      <w:pPr>
        <w:spacing w:after="0"/>
        <w:rPr>
          <w:sz w:val="20"/>
          <w:szCs w:val="20"/>
          <w:color w:val="auto"/>
        </w:rPr>
      </w:pPr>
      <w:r>
        <w:rPr>
          <w:rFonts w:ascii="Arial" w:cs="Arial" w:eastAsia="Arial" w:hAnsi="Arial"/>
          <w:sz w:val="13"/>
          <w:szCs w:val="13"/>
          <w:color w:val="auto"/>
        </w:rPr>
        <w:t>duties to the company, including:</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 act in the way he considers, in good faith, would be most likely</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to promote the success of the company for the benefit of its</w:t>
      </w:r>
    </w:p>
    <w:p>
      <w:pPr>
        <w:ind w:left="260"/>
        <w:spacing w:after="0"/>
        <w:rPr>
          <w:sz w:val="20"/>
          <w:szCs w:val="20"/>
          <w:color w:val="auto"/>
        </w:rPr>
      </w:pPr>
      <w:r>
        <w:rPr>
          <w:rFonts w:ascii="Arial" w:cs="Arial" w:eastAsia="Arial" w:hAnsi="Arial"/>
          <w:sz w:val="13"/>
          <w:szCs w:val="13"/>
          <w:color w:val="auto"/>
        </w:rPr>
        <w:t>members as a whole;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149" w:lineRule="exact"/>
        <w:rPr>
          <w:sz w:val="20"/>
          <w:szCs w:val="20"/>
          <w:color w:val="auto"/>
        </w:rPr>
      </w:pPr>
      <w:r>
        <w:rPr>
          <w:rFonts w:ascii="Arial" w:cs="Arial" w:eastAsia="Arial" w:hAnsi="Arial"/>
          <w:sz w:val="13"/>
          <w:szCs w:val="13"/>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w:t>
      </w:r>
      <w:r>
        <w:rPr>
          <w:rFonts w:ascii="MS PGothic" w:cs="MS PGothic" w:eastAsia="MS PGothic" w:hAnsi="MS PGothic"/>
          <w:sz w:val="13"/>
          <w:szCs w:val="13"/>
          <w:color w:val="auto"/>
        </w:rPr>
        <w:t>‑</w:t>
      </w:r>
      <w:r>
        <w:rPr>
          <w:rFonts w:ascii="Arial" w:cs="Arial" w:eastAsia="Arial" w:hAnsi="Arial"/>
          <w:sz w:val="13"/>
          <w:szCs w:val="13"/>
          <w:color w:val="auto"/>
        </w:rPr>
        <w:t>interest, on a well</w:t>
      </w:r>
      <w:r>
        <w:rPr>
          <w:rFonts w:ascii="MS PGothic" w:cs="MS PGothic" w:eastAsia="MS PGothic" w:hAnsi="MS PGothic"/>
          <w:sz w:val="13"/>
          <w:szCs w:val="13"/>
          <w:color w:val="auto"/>
        </w:rPr>
        <w:t>‑</w:t>
      </w:r>
      <w:r>
        <w:rPr>
          <w:rFonts w:ascii="Arial" w:cs="Arial" w:eastAsia="Arial" w:hAnsi="Arial"/>
          <w:sz w:val="13"/>
          <w:szCs w:val="13"/>
          <w:color w:val="auto"/>
        </w:rPr>
        <w:t>informed basis and in a manner they reasonably believe to be in the best interest of the stockholders.</w:t>
      </w:r>
    </w:p>
    <w:p>
      <w:pPr>
        <w:spacing w:after="0" w:line="146" w:lineRule="exact"/>
        <w:rPr>
          <w:sz w:val="20"/>
          <w:szCs w:val="20"/>
          <w:color w:val="auto"/>
        </w:rPr>
      </w:pPr>
    </w:p>
    <w:p>
      <w:pPr>
        <w:sectPr>
          <w:pgSz w:w="11900" w:h="16838" w:orient="portrait"/>
          <w:cols w:equalWidth="0" w:num="3">
            <w:col w:w="1920" w:space="360"/>
            <w:col w:w="3900" w:space="100"/>
            <w:col w:w="3980"/>
          </w:cols>
          <w:pgMar w:left="300" w:top="1440" w:right="1339" w:bottom="1440" w:gutter="0" w:footer="0" w:header="0"/>
        </w:sectPr>
      </w:pPr>
    </w:p>
    <w:p>
      <w:pPr>
        <w:ind w:left="2540"/>
        <w:spacing w:after="0"/>
        <w:tabs>
          <w:tab w:leader="none" w:pos="6260" w:val="left"/>
        </w:tabs>
        <w:rPr>
          <w:sz w:val="20"/>
          <w:szCs w:val="20"/>
          <w:color w:val="auto"/>
        </w:rPr>
      </w:pPr>
      <w:r>
        <w:rPr>
          <w:rFonts w:ascii="Arial" w:cs="Arial" w:eastAsia="Arial" w:hAnsi="Arial"/>
          <w:sz w:val="13"/>
          <w:szCs w:val="13"/>
          <w:color w:val="auto"/>
        </w:rPr>
        <w:t>to avoid a situation in which he has, or can have, a direct or</w:t>
      </w:r>
      <w:r>
        <w:rPr>
          <w:sz w:val="20"/>
          <w:szCs w:val="20"/>
          <w:color w:val="auto"/>
        </w:rPr>
        <w:tab/>
      </w:r>
      <w:r>
        <w:rPr>
          <w:rFonts w:ascii="Arial" w:cs="Arial" w:eastAsia="Arial" w:hAnsi="Arial"/>
          <w:sz w:val="12"/>
          <w:szCs w:val="12"/>
          <w:color w:val="auto"/>
        </w:rPr>
        <w:t>Directors of a Delaware corporation owe fiduciary duties of care and</w:t>
      </w:r>
    </w:p>
    <w:p>
      <w:pPr>
        <w:ind w:left="2540"/>
        <w:spacing w:after="0"/>
        <w:tabs>
          <w:tab w:leader="none" w:pos="6260" w:val="left"/>
        </w:tabs>
        <w:rPr>
          <w:sz w:val="20"/>
          <w:szCs w:val="20"/>
          <w:color w:val="auto"/>
        </w:rPr>
      </w:pPr>
      <w:r>
        <w:rPr>
          <w:rFonts w:ascii="Arial" w:cs="Arial" w:eastAsia="Arial" w:hAnsi="Arial"/>
          <w:sz w:val="13"/>
          <w:szCs w:val="13"/>
          <w:color w:val="auto"/>
        </w:rPr>
        <w:t>indirect interest that conflicts, or possibly conflicts, with the</w:t>
      </w:r>
      <w:r>
        <w:rPr>
          <w:sz w:val="20"/>
          <w:szCs w:val="20"/>
          <w:color w:val="auto"/>
        </w:rPr>
        <w:tab/>
      </w:r>
      <w:r>
        <w:rPr>
          <w:rFonts w:ascii="Arial" w:cs="Arial" w:eastAsia="Arial" w:hAnsi="Arial"/>
          <w:sz w:val="12"/>
          <w:szCs w:val="12"/>
          <w:color w:val="auto"/>
        </w:rPr>
        <w:t>loyalty to the corporation and to its shareholders. The duty of care</w:t>
      </w:r>
    </w:p>
    <w:p>
      <w:pPr>
        <w:ind w:left="2540"/>
        <w:spacing w:after="0"/>
        <w:tabs>
          <w:tab w:leader="none" w:pos="6260" w:val="left"/>
        </w:tabs>
        <w:rPr>
          <w:sz w:val="20"/>
          <w:szCs w:val="20"/>
          <w:color w:val="auto"/>
        </w:rPr>
      </w:pPr>
      <w:r>
        <w:rPr>
          <w:rFonts w:ascii="Arial" w:cs="Arial" w:eastAsia="Arial" w:hAnsi="Arial"/>
          <w:sz w:val="13"/>
          <w:szCs w:val="13"/>
          <w:color w:val="auto"/>
        </w:rPr>
        <w:t>interests of the company;</w:t>
      </w:r>
      <w:r>
        <w:rPr>
          <w:sz w:val="20"/>
          <w:szCs w:val="20"/>
          <w:color w:val="auto"/>
        </w:rPr>
        <w:tab/>
      </w:r>
      <w:r>
        <w:rPr>
          <w:rFonts w:ascii="Arial" w:cs="Arial" w:eastAsia="Arial" w:hAnsi="Arial"/>
          <w:sz w:val="12"/>
          <w:szCs w:val="12"/>
          <w:color w:val="auto"/>
        </w:rPr>
        <w:t>generally requires that a director act in good faith, with the care that an</w:t>
      </w:r>
    </w:p>
    <w:p>
      <w:pPr>
        <w:ind w:left="6280"/>
        <w:spacing w:after="0"/>
        <w:rPr>
          <w:sz w:val="20"/>
          <w:szCs w:val="20"/>
          <w:color w:val="auto"/>
        </w:rPr>
      </w:pPr>
      <w:r>
        <w:rPr>
          <w:rFonts w:ascii="Arial" w:cs="Arial" w:eastAsia="Arial" w:hAnsi="Arial"/>
          <w:sz w:val="12"/>
          <w:szCs w:val="12"/>
          <w:color w:val="auto"/>
        </w:rPr>
        <w:t>ordinarily prudent person would exercise under similar circumstances.</w:t>
      </w:r>
    </w:p>
    <w:p>
      <w:pPr>
        <w:spacing w:after="0" w:line="10" w:lineRule="exact"/>
        <w:rPr>
          <w:sz w:val="20"/>
          <w:szCs w:val="20"/>
          <w:color w:val="auto"/>
        </w:rPr>
      </w:pPr>
    </w:p>
    <w:p>
      <w:pPr>
        <w:ind w:left="2540"/>
        <w:spacing w:after="0"/>
        <w:tabs>
          <w:tab w:leader="none" w:pos="6260" w:val="left"/>
        </w:tabs>
        <w:rPr>
          <w:sz w:val="20"/>
          <w:szCs w:val="20"/>
          <w:color w:val="auto"/>
        </w:rPr>
      </w:pPr>
      <w:r>
        <w:rPr>
          <w:rFonts w:ascii="Arial" w:cs="Arial" w:eastAsia="Arial" w:hAnsi="Arial"/>
          <w:sz w:val="13"/>
          <w:szCs w:val="13"/>
          <w:color w:val="auto"/>
        </w:rPr>
        <w:t>to act in accordance with the company’s constitution and only</w:t>
      </w:r>
      <w:r>
        <w:rPr>
          <w:sz w:val="20"/>
          <w:szCs w:val="20"/>
          <w:color w:val="auto"/>
        </w:rPr>
        <w:tab/>
      </w:r>
      <w:r>
        <w:rPr>
          <w:rFonts w:ascii="Arial" w:cs="Arial" w:eastAsia="Arial" w:hAnsi="Arial"/>
          <w:sz w:val="12"/>
          <w:szCs w:val="12"/>
          <w:color w:val="auto"/>
        </w:rPr>
        <w:t>Under this duty, a director must inform himself of all material</w:t>
      </w:r>
    </w:p>
    <w:p>
      <w:pPr>
        <w:ind w:left="2540"/>
        <w:spacing w:after="0"/>
        <w:rPr>
          <w:sz w:val="20"/>
          <w:szCs w:val="20"/>
          <w:color w:val="auto"/>
        </w:rPr>
      </w:pPr>
      <w:r>
        <w:rPr>
          <w:rFonts w:ascii="Arial" w:cs="Arial" w:eastAsia="Arial" w:hAnsi="Arial"/>
          <w:sz w:val="13"/>
          <w:szCs w:val="13"/>
          <w:color w:val="auto"/>
        </w:rPr>
        <w:t>exercise his powers for the purposes for which they are conferred; information reasonably available regarding a significant transaction.</w:t>
      </w:r>
    </w:p>
    <w:p>
      <w:pPr>
        <w:ind w:left="6280"/>
        <w:spacing w:after="0"/>
        <w:rPr>
          <w:sz w:val="20"/>
          <w:szCs w:val="20"/>
          <w:color w:val="auto"/>
        </w:rPr>
      </w:pPr>
      <w:r>
        <w:rPr>
          <w:rFonts w:ascii="Arial" w:cs="Arial" w:eastAsia="Arial" w:hAnsi="Arial"/>
          <w:sz w:val="13"/>
          <w:szCs w:val="13"/>
          <w:color w:val="auto"/>
        </w:rPr>
        <w:t>The duty of loyalty requires that a director act in a manner he</w:t>
      </w:r>
    </w:p>
    <w:p>
      <w:pPr>
        <w:ind w:left="2540"/>
        <w:spacing w:after="0"/>
        <w:tabs>
          <w:tab w:leader="none" w:pos="6260" w:val="left"/>
        </w:tabs>
        <w:rPr>
          <w:sz w:val="20"/>
          <w:szCs w:val="20"/>
          <w:color w:val="auto"/>
        </w:rPr>
      </w:pPr>
      <w:r>
        <w:rPr>
          <w:rFonts w:ascii="Arial" w:cs="Arial" w:eastAsia="Arial" w:hAnsi="Arial"/>
          <w:sz w:val="13"/>
          <w:szCs w:val="13"/>
          <w:color w:val="auto"/>
        </w:rPr>
        <w:t>to exercise independent judgment;</w:t>
      </w:r>
      <w:r>
        <w:rPr>
          <w:sz w:val="20"/>
          <w:szCs w:val="20"/>
          <w:color w:val="auto"/>
        </w:rPr>
        <w:tab/>
      </w:r>
      <w:r>
        <w:rPr>
          <w:rFonts w:ascii="Arial" w:cs="Arial" w:eastAsia="Arial" w:hAnsi="Arial"/>
          <w:sz w:val="12"/>
          <w:szCs w:val="12"/>
          <w:color w:val="auto"/>
        </w:rPr>
        <w:t>reasonably believes to be in the best interests of the corporation. He</w:t>
      </w:r>
    </w:p>
    <w:p>
      <w:pPr>
        <w:ind w:left="6280"/>
        <w:spacing w:after="0"/>
        <w:rPr>
          <w:sz w:val="20"/>
          <w:szCs w:val="20"/>
          <w:color w:val="auto"/>
        </w:rPr>
      </w:pPr>
      <w:r>
        <w:rPr>
          <w:rFonts w:ascii="Arial" w:cs="Arial" w:eastAsia="Arial" w:hAnsi="Arial"/>
          <w:sz w:val="12"/>
          <w:szCs w:val="12"/>
          <w:color w:val="auto"/>
        </w:rPr>
        <w:t>must not use his corporate position for personal gain or advantage. In</w:t>
      </w:r>
    </w:p>
    <w:p>
      <w:pPr>
        <w:spacing w:after="0" w:line="10" w:lineRule="exact"/>
        <w:rPr>
          <w:sz w:val="20"/>
          <w:szCs w:val="20"/>
          <w:color w:val="auto"/>
        </w:rPr>
      </w:pPr>
    </w:p>
    <w:p>
      <w:pPr>
        <w:ind w:left="2540"/>
        <w:spacing w:after="0"/>
        <w:tabs>
          <w:tab w:leader="none" w:pos="6260" w:val="left"/>
        </w:tabs>
        <w:rPr>
          <w:sz w:val="20"/>
          <w:szCs w:val="20"/>
          <w:color w:val="auto"/>
        </w:rPr>
      </w:pPr>
      <w:r>
        <w:rPr>
          <w:rFonts w:ascii="Arial" w:cs="Arial" w:eastAsia="Arial" w:hAnsi="Arial"/>
          <w:sz w:val="13"/>
          <w:szCs w:val="13"/>
          <w:color w:val="auto"/>
        </w:rPr>
        <w:t>to exercise reasonable care, skill and diligence;</w:t>
      </w:r>
      <w:r>
        <w:rPr>
          <w:sz w:val="20"/>
          <w:szCs w:val="20"/>
          <w:color w:val="auto"/>
        </w:rPr>
        <w:tab/>
      </w:r>
      <w:r>
        <w:rPr>
          <w:rFonts w:ascii="Arial" w:cs="Arial" w:eastAsia="Arial" w:hAnsi="Arial"/>
          <w:sz w:val="12"/>
          <w:szCs w:val="12"/>
          <w:color w:val="auto"/>
        </w:rPr>
        <w:t>general, but subject to certain exceptions, actions of a director are</w:t>
      </w:r>
    </w:p>
    <w:p>
      <w:pPr>
        <w:ind w:left="6280"/>
        <w:spacing w:after="0"/>
        <w:rPr>
          <w:sz w:val="20"/>
          <w:szCs w:val="20"/>
          <w:color w:val="auto"/>
        </w:rPr>
      </w:pPr>
      <w:r>
        <w:rPr>
          <w:rFonts w:ascii="Arial" w:cs="Arial" w:eastAsia="Arial" w:hAnsi="Arial"/>
          <w:sz w:val="12"/>
          <w:szCs w:val="12"/>
          <w:color w:val="auto"/>
        </w:rPr>
        <w:t>presumed to have been made on an informed basis, in good faith and</w:t>
      </w:r>
    </w:p>
    <w:p>
      <w:pPr>
        <w:spacing w:after="0" w:line="10" w:lineRule="exact"/>
        <w:rPr>
          <w:sz w:val="20"/>
          <w:szCs w:val="20"/>
          <w:color w:val="auto"/>
        </w:rPr>
      </w:pPr>
    </w:p>
    <w:p>
      <w:pPr>
        <w:ind w:left="2540"/>
        <w:spacing w:after="0"/>
        <w:rPr>
          <w:sz w:val="20"/>
          <w:szCs w:val="20"/>
          <w:color w:val="auto"/>
        </w:rPr>
      </w:pPr>
      <w:r>
        <w:rPr>
          <w:rFonts w:ascii="Arial" w:cs="Arial" w:eastAsia="Arial" w:hAnsi="Arial"/>
          <w:sz w:val="13"/>
          <w:szCs w:val="13"/>
          <w:color w:val="auto"/>
        </w:rPr>
        <w:t>not to accept benefits from a third party conferred by reason of his in the honest belief that the action taken was in the best interests of</w:t>
      </w:r>
    </w:p>
    <w:p>
      <w:pPr>
        <w:ind w:left="2540"/>
        <w:spacing w:after="0"/>
        <w:rPr>
          <w:sz w:val="20"/>
          <w:szCs w:val="20"/>
          <w:color w:val="auto"/>
        </w:rPr>
      </w:pPr>
      <w:r>
        <w:rPr>
          <w:rFonts w:ascii="Arial" w:cs="Arial" w:eastAsia="Arial" w:hAnsi="Arial"/>
          <w:sz w:val="13"/>
          <w:szCs w:val="13"/>
          <w:color w:val="auto"/>
        </w:rPr>
        <w:t>being a director or doing, or not doing, anything as a director; and the corporation. However, this presumption may be rebutted by</w:t>
      </w:r>
    </w:p>
    <w:p>
      <w:pPr>
        <w:ind w:left="6280"/>
        <w:spacing w:after="0"/>
        <w:rPr>
          <w:sz w:val="20"/>
          <w:szCs w:val="20"/>
          <w:color w:val="auto"/>
        </w:rPr>
      </w:pPr>
      <w:r>
        <w:rPr>
          <w:rFonts w:ascii="Arial" w:cs="Arial" w:eastAsia="Arial" w:hAnsi="Arial"/>
          <w:sz w:val="13"/>
          <w:szCs w:val="13"/>
          <w:color w:val="auto"/>
        </w:rPr>
        <w:t>evidence of a breach of one of the fiduciary duties. Delaware courts</w:t>
      </w:r>
    </w:p>
    <w:p>
      <w:pPr>
        <w:ind w:left="2280"/>
        <w:spacing w:after="0"/>
        <w:rPr>
          <w:sz w:val="20"/>
          <w:szCs w:val="20"/>
          <w:color w:val="auto"/>
        </w:rPr>
      </w:pPr>
      <w:r>
        <w:rPr>
          <w:rFonts w:ascii="Arial" w:cs="Arial" w:eastAsia="Arial" w:hAnsi="Arial"/>
          <w:sz w:val="12"/>
          <w:szCs w:val="12"/>
          <w:color w:val="auto"/>
        </w:rPr>
        <w:t>a duty to declare any interest that he has, whether directly or indirectly, have also imposed a heightened standard of conduct upon directors of</w:t>
      </w:r>
    </w:p>
    <w:p>
      <w:pPr>
        <w:spacing w:after="0" w:line="10" w:lineRule="exact"/>
        <w:rPr>
          <w:sz w:val="20"/>
          <w:szCs w:val="20"/>
          <w:color w:val="auto"/>
        </w:rPr>
      </w:pPr>
    </w:p>
    <w:p>
      <w:pPr>
        <w:ind w:left="2280"/>
        <w:spacing w:after="0"/>
        <w:tabs>
          <w:tab w:leader="none" w:pos="6260" w:val="left"/>
        </w:tabs>
        <w:rPr>
          <w:sz w:val="20"/>
          <w:szCs w:val="20"/>
          <w:color w:val="auto"/>
        </w:rPr>
      </w:pPr>
      <w:r>
        <w:rPr>
          <w:rFonts w:ascii="Arial" w:cs="Arial" w:eastAsia="Arial" w:hAnsi="Arial"/>
          <w:sz w:val="13"/>
          <w:szCs w:val="13"/>
          <w:color w:val="auto"/>
        </w:rPr>
        <w:t>in a proposed or existing transaction or arrangement with the</w:t>
      </w:r>
      <w:r>
        <w:rPr>
          <w:sz w:val="20"/>
          <w:szCs w:val="20"/>
          <w:color w:val="auto"/>
        </w:rPr>
        <w:tab/>
      </w:r>
      <w:r>
        <w:rPr>
          <w:rFonts w:ascii="Arial" w:cs="Arial" w:eastAsia="Arial" w:hAnsi="Arial"/>
          <w:sz w:val="12"/>
          <w:szCs w:val="12"/>
          <w:color w:val="auto"/>
        </w:rPr>
        <w:t>a Delaware corporation who take any action designed to defeat a</w:t>
      </w:r>
    </w:p>
    <w:p>
      <w:pPr>
        <w:ind w:left="2280"/>
        <w:spacing w:after="0"/>
        <w:tabs>
          <w:tab w:leader="none" w:pos="6260" w:val="left"/>
        </w:tabs>
        <w:rPr>
          <w:sz w:val="20"/>
          <w:szCs w:val="20"/>
          <w:color w:val="auto"/>
        </w:rPr>
      </w:pPr>
      <w:r>
        <w:rPr>
          <w:rFonts w:ascii="Arial" w:cs="Arial" w:eastAsia="Arial" w:hAnsi="Arial"/>
          <w:sz w:val="13"/>
          <w:szCs w:val="13"/>
          <w:color w:val="auto"/>
        </w:rPr>
        <w:t>company.</w:t>
      </w:r>
      <w:r>
        <w:rPr>
          <w:sz w:val="20"/>
          <w:szCs w:val="20"/>
          <w:color w:val="auto"/>
        </w:rPr>
        <w:tab/>
      </w:r>
      <w:r>
        <w:rPr>
          <w:rFonts w:ascii="Arial" w:cs="Arial" w:eastAsia="Arial" w:hAnsi="Arial"/>
          <w:sz w:val="13"/>
          <w:szCs w:val="13"/>
          <w:color w:val="auto"/>
        </w:rPr>
        <w:t>threatened change in control of the corporation.</w:t>
      </w:r>
    </w:p>
    <w:p>
      <w:pPr>
        <w:sectPr>
          <w:pgSz w:w="11900" w:h="16838" w:orient="portrait"/>
          <w:cols w:equalWidth="0" w:num="1">
            <w:col w:w="10260"/>
          </w:cols>
          <w:pgMar w:left="300" w:top="144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0260"/>
          </w:cols>
          <w:pgMar w:left="300" w:top="1440" w:right="1339" w:bottom="144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3"/>
          <w:szCs w:val="13"/>
          <w:color w:val="auto"/>
        </w:rPr>
        <w:t>Stockholder Suits</w:t>
      </w:r>
      <w:r>
        <w:rPr>
          <w:sz w:val="20"/>
          <w:szCs w:val="20"/>
          <w:color w:val="auto"/>
        </w:rPr>
        <w:tab/>
      </w:r>
      <w:r>
        <w:rPr>
          <w:rFonts w:ascii="Arial" w:cs="Arial" w:eastAsia="Arial" w:hAnsi="Arial"/>
          <w:sz w:val="12"/>
          <w:szCs w:val="12"/>
          <w:color w:val="auto"/>
        </w:rPr>
        <w:t>Under English law, generally, the company, rather than its</w:t>
      </w:r>
    </w:p>
    <w:p>
      <w:pPr>
        <w:ind w:left="2280"/>
        <w:spacing w:after="0" w:line="239" w:lineRule="auto"/>
        <w:rPr>
          <w:sz w:val="20"/>
          <w:szCs w:val="20"/>
          <w:color w:val="auto"/>
        </w:rPr>
      </w:pPr>
      <w:r>
        <w:rPr>
          <w:rFonts w:ascii="Arial" w:cs="Arial" w:eastAsia="Arial" w:hAnsi="Arial"/>
          <w:sz w:val="13"/>
          <w:szCs w:val="13"/>
          <w:color w:val="auto"/>
        </w:rPr>
        <w:t>shareholders, is the proper claimant in an action in respect of a wrong done to the company or where there is an irregularity in the company’s internal management. Notwithstanding this general position, the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 w:lineRule="exact"/>
        <w:rPr>
          <w:sz w:val="20"/>
          <w:szCs w:val="20"/>
          <w:color w:val="auto"/>
        </w:rPr>
      </w:pPr>
      <w:r>
        <w:rPr>
          <w:sz w:val="20"/>
          <w:szCs w:val="20"/>
          <w:color w:val="auto"/>
        </w:rPr>
        <w:br w:type="column"/>
      </w:r>
    </w:p>
    <w:p>
      <w:pPr>
        <w:ind w:right="80"/>
        <w:spacing w:after="0" w:line="130" w:lineRule="exact"/>
        <w:rPr>
          <w:sz w:val="20"/>
          <w:szCs w:val="20"/>
          <w:color w:val="auto"/>
        </w:rPr>
      </w:pPr>
      <w:r>
        <w:rPr>
          <w:rFonts w:ascii="Arial" w:cs="Arial" w:eastAsia="Arial" w:hAnsi="Arial"/>
          <w:sz w:val="12"/>
          <w:szCs w:val="12"/>
          <w:color w:val="auto"/>
        </w:rPr>
        <w:t>In addition, under Delaware law, when the board of directors of a Delaware corporation approves the sale or break</w:t>
      </w:r>
      <w:r>
        <w:rPr>
          <w:rFonts w:ascii="MS PGothic" w:cs="MS PGothic" w:eastAsia="MS PGothic" w:hAnsi="MS PGothic"/>
          <w:sz w:val="12"/>
          <w:szCs w:val="12"/>
          <w:color w:val="auto"/>
        </w:rPr>
        <w:t>‑</w:t>
      </w:r>
      <w:r>
        <w:rPr>
          <w:rFonts w:ascii="Arial" w:cs="Arial" w:eastAsia="Arial" w:hAnsi="Arial"/>
          <w:sz w:val="12"/>
          <w:szCs w:val="12"/>
          <w:color w:val="auto"/>
        </w:rPr>
        <w:t>up of a corporation, the board of directors may, in certain circumstances, have a duty to obtain the highest value reasonably available to the shareholders.</w:t>
      </w:r>
    </w:p>
    <w:p>
      <w:pPr>
        <w:spacing w:after="0" w:line="39" w:lineRule="exact"/>
        <w:rPr>
          <w:sz w:val="20"/>
          <w:szCs w:val="20"/>
          <w:color w:val="auto"/>
        </w:rPr>
      </w:pPr>
    </w:p>
    <w:p>
      <w:pPr>
        <w:jc w:val="both"/>
        <w:ind w:right="120"/>
        <w:spacing w:after="0" w:line="241" w:lineRule="auto"/>
        <w:rPr>
          <w:sz w:val="20"/>
          <w:szCs w:val="20"/>
          <w:color w:val="auto"/>
        </w:rPr>
      </w:pPr>
      <w:r>
        <w:rPr>
          <w:rFonts w:ascii="Arial" w:cs="Arial" w:eastAsia="Arial" w:hAnsi="Arial"/>
          <w:sz w:val="13"/>
          <w:szCs w:val="13"/>
          <w:color w:val="auto"/>
        </w:rPr>
        <w:t>Under Delaware law, a stockholder may initiate a derivative action to enforce a right of a corporation if the corporation fails to enforce the right itself. The complaint must:</w:t>
      </w:r>
    </w:p>
    <w:p>
      <w:pPr>
        <w:spacing w:after="0" w:line="144" w:lineRule="exact"/>
        <w:rPr>
          <w:sz w:val="20"/>
          <w:szCs w:val="20"/>
          <w:color w:val="auto"/>
        </w:rPr>
      </w:pPr>
    </w:p>
    <w:p>
      <w:pPr>
        <w:ind w:left="260"/>
        <w:spacing w:after="0" w:line="271" w:lineRule="auto"/>
        <w:rPr>
          <w:sz w:val="20"/>
          <w:szCs w:val="20"/>
          <w:color w:val="auto"/>
        </w:rPr>
      </w:pPr>
      <w:r>
        <w:rPr>
          <w:rFonts w:ascii="Arial" w:cs="Arial" w:eastAsia="Arial" w:hAnsi="Arial"/>
          <w:sz w:val="12"/>
          <w:szCs w:val="12"/>
          <w:color w:val="auto"/>
        </w:rPr>
        <w:t>state that the plaintiff was a stockholder at the time of the transaction of which the plaintiff complains or that the plaintiffs shares thereafter devolved on the plaintiff by operation of law; and</w:t>
      </w:r>
    </w:p>
    <w:p>
      <w:pPr>
        <w:spacing w:after="0" w:line="127" w:lineRule="exact"/>
        <w:rPr>
          <w:sz w:val="20"/>
          <w:szCs w:val="20"/>
          <w:color w:val="auto"/>
        </w:rPr>
      </w:pPr>
    </w:p>
    <w:p>
      <w:pPr>
        <w:jc w:val="both"/>
        <w:ind w:left="260" w:right="100"/>
        <w:spacing w:after="0" w:line="241" w:lineRule="auto"/>
        <w:rPr>
          <w:sz w:val="20"/>
          <w:szCs w:val="20"/>
          <w:color w:val="auto"/>
        </w:rPr>
      </w:pPr>
      <w:r>
        <w:rPr>
          <w:rFonts w:ascii="Arial" w:cs="Arial" w:eastAsia="Arial" w:hAnsi="Arial"/>
          <w:sz w:val="13"/>
          <w:szCs w:val="13"/>
          <w:color w:val="auto"/>
        </w:rPr>
        <w:t>allege with particularity the efforts made by the plaintiff to obtain the action the plaintiff desires from the directors and the reasons for the plaintiff’s failure to obtain the action; or</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state the reasons for not making the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Additionally, the plaintiff must remain a stockholder through the duration of the derivative suit. The action will not be dismissed or compromised without the approval of the Delaware Court of Chancery.</w:t>
      </w:r>
    </w:p>
    <w:p>
      <w:pPr>
        <w:spacing w:after="0" w:line="200" w:lineRule="exact"/>
        <w:rPr>
          <w:sz w:val="20"/>
          <w:szCs w:val="20"/>
          <w:color w:val="auto"/>
        </w:rPr>
      </w:pPr>
    </w:p>
    <w:p>
      <w:pPr>
        <w:sectPr>
          <w:pgSz w:w="11900" w:h="16838" w:orient="portrait"/>
          <w:cols w:equalWidth="0" w:num="2">
            <w:col w:w="6240" w:space="40"/>
            <w:col w:w="3980"/>
          </w:cols>
          <w:pgMar w:left="300" w:top="106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0260"/>
          </w:cols>
          <w:pgMar w:left="300" w:top="1064" w:right="1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b w:val="1"/>
          <w:bCs w:val="1"/>
          <w:i w:val="1"/>
          <w:iCs w:val="1"/>
          <w:color w:val="auto"/>
        </w:rPr>
        <w:t>DESCRIPTION OF AMERICAN DEPOSITARY SHARES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Depositary Shares</w:t>
      </w:r>
    </w:p>
    <w:p>
      <w:pPr>
        <w:spacing w:after="0" w:line="228" w:lineRule="exact"/>
        <w:rPr>
          <w:sz w:val="20"/>
          <w:szCs w:val="20"/>
          <w:color w:val="auto"/>
        </w:rPr>
      </w:pPr>
    </w:p>
    <w:p>
      <w:pPr>
        <w:ind w:right="220"/>
        <w:spacing w:after="0" w:line="304" w:lineRule="auto"/>
        <w:rPr>
          <w:sz w:val="20"/>
          <w:szCs w:val="20"/>
          <w:color w:val="auto"/>
        </w:rPr>
      </w:pPr>
      <w:r>
        <w:rPr>
          <w:rFonts w:ascii="Arial" w:cs="Arial" w:eastAsia="Arial" w:hAnsi="Arial"/>
          <w:sz w:val="14"/>
          <w:szCs w:val="14"/>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(Reg. No. 333-217353), or the F-6 Registration Statement.</w:t>
      </w:r>
    </w:p>
    <w:p>
      <w:pPr>
        <w:spacing w:after="0" w:line="160"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have appointed Citibank as depositary pursuant to a deposit agreement. A copy of the deposit agreement is on file with the SEC under cover of the F-6 Registration Statement.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You may obtain a copy of the deposit agreement from the SEC's website (www.sec.gov). Please refer to registration number 333-217353 when retrieving such copy.</w:t>
      </w:r>
    </w:p>
    <w:p>
      <w:pPr>
        <w:spacing w:after="0" w:line="210"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6"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078" w:right="339" w:bottom="1440" w:gutter="0" w:footer="0" w:header="0"/>
        </w:sectPr>
      </w:pPr>
    </w:p>
    <w:bookmarkStart w:id="128" w:name="page129"/>
    <w:bookmarkEnd w:id="128"/>
    <w:p>
      <w:pPr>
        <w:jc w:val="both"/>
        <w:ind w:right="100"/>
        <w:spacing w:after="0" w:line="307" w:lineRule="auto"/>
        <w:rPr>
          <w:sz w:val="20"/>
          <w:szCs w:val="20"/>
          <w:color w:val="auto"/>
        </w:rPr>
      </w:pPr>
      <w:r>
        <w:rPr>
          <w:rFonts w:ascii="Arial" w:cs="Arial" w:eastAsia="Arial" w:hAnsi="Arial"/>
          <w:sz w:val="14"/>
          <w:szCs w:val="14"/>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0" w:lineRule="exact"/>
        <w:rPr>
          <w:sz w:val="20"/>
          <w:szCs w:val="20"/>
          <w:color w:val="auto"/>
        </w:rPr>
      </w:pPr>
    </w:p>
    <w:p>
      <w:pPr>
        <w:spacing w:after="0" w:line="307"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60"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60" w:lineRule="exact"/>
        <w:rPr>
          <w:sz w:val="20"/>
          <w:szCs w:val="20"/>
          <w:color w:val="auto"/>
        </w:rPr>
      </w:pPr>
    </w:p>
    <w:p>
      <w:pPr>
        <w:jc w:val="both"/>
        <w:ind w:right="460"/>
        <w:spacing w:after="0" w:line="304" w:lineRule="auto"/>
        <w:rPr>
          <w:sz w:val="20"/>
          <w:szCs w:val="20"/>
          <w:color w:val="auto"/>
        </w:rPr>
      </w:pPr>
      <w:r>
        <w:rPr>
          <w:rFonts w:ascii="Arial" w:cs="Arial" w:eastAsia="Arial" w:hAnsi="Arial"/>
          <w:sz w:val="14"/>
          <w:szCs w:val="14"/>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Other Distributions</w:t>
      </w:r>
    </w:p>
    <w:p>
      <w:pPr>
        <w:spacing w:after="0" w:line="228" w:lineRule="exact"/>
        <w:rPr>
          <w:sz w:val="20"/>
          <w:szCs w:val="20"/>
          <w:color w:val="auto"/>
        </w:rPr>
      </w:pPr>
    </w:p>
    <w:p>
      <w:pPr>
        <w:jc w:val="both"/>
        <w:ind w:right="100"/>
        <w:spacing w:after="0" w:line="307" w:lineRule="auto"/>
        <w:rPr>
          <w:sz w:val="20"/>
          <w:szCs w:val="20"/>
          <w:color w:val="auto"/>
        </w:rPr>
      </w:pPr>
      <w:r>
        <w:rPr>
          <w:rFonts w:ascii="Arial" w:cs="Arial" w:eastAsia="Arial" w:hAnsi="Arial"/>
          <w:sz w:val="14"/>
          <w:szCs w:val="14"/>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of Cash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20"/>
          </w:cols>
          <w:pgMar w:left="300" w:top="1094" w:right="379" w:bottom="1440" w:gutter="0" w:footer="0" w:header="0"/>
        </w:sectPr>
      </w:pPr>
    </w:p>
    <w:bookmarkStart w:id="129" w:name="page130"/>
    <w:bookmarkEnd w:id="129"/>
    <w:p>
      <w:pPr>
        <w:spacing w:after="0" w:line="307" w:lineRule="auto"/>
        <w:rPr>
          <w:sz w:val="20"/>
          <w:szCs w:val="20"/>
          <w:color w:val="auto"/>
        </w:rPr>
      </w:pPr>
      <w:r>
        <w:rPr>
          <w:rFonts w:ascii="Arial" w:cs="Arial" w:eastAsia="Arial" w:hAnsi="Arial"/>
          <w:sz w:val="14"/>
          <w:szCs w:val="14"/>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57" w:lineRule="exact"/>
        <w:rPr>
          <w:sz w:val="20"/>
          <w:szCs w:val="20"/>
          <w:color w:val="auto"/>
        </w:rPr>
      </w:pPr>
    </w:p>
    <w:p>
      <w:pPr>
        <w:ind w:right="540"/>
        <w:spacing w:after="0" w:line="313" w:lineRule="auto"/>
        <w:rPr>
          <w:sz w:val="20"/>
          <w:szCs w:val="20"/>
          <w:color w:val="auto"/>
        </w:rPr>
      </w:pPr>
      <w:r>
        <w:rPr>
          <w:rFonts w:ascii="Arial" w:cs="Arial" w:eastAsia="Arial" w:hAnsi="Arial"/>
          <w:sz w:val="14"/>
          <w:szCs w:val="14"/>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153" w:lineRule="exact"/>
        <w:rPr>
          <w:sz w:val="20"/>
          <w:szCs w:val="20"/>
          <w:color w:val="auto"/>
        </w:rPr>
      </w:pPr>
    </w:p>
    <w:p>
      <w:pPr>
        <w:jc w:val="both"/>
        <w:ind w:right="60"/>
        <w:spacing w:after="0" w:line="307" w:lineRule="auto"/>
        <w:rPr>
          <w:sz w:val="20"/>
          <w:szCs w:val="20"/>
          <w:color w:val="auto"/>
        </w:rPr>
      </w:pPr>
      <w:r>
        <w:rPr>
          <w:rFonts w:ascii="Arial" w:cs="Arial" w:eastAsia="Arial" w:hAnsi="Arial"/>
          <w:sz w:val="14"/>
          <w:szCs w:val="14"/>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Distributions of Shares</w:t>
      </w:r>
    </w:p>
    <w:p>
      <w:pPr>
        <w:spacing w:after="0" w:line="216"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Whenever we make a free distribution of ordinary shares for the ordinary shares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60"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43"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No such distribution of new ADSs will be made if it would violate a law (</w:t>
      </w:r>
      <w:r>
        <w:rPr>
          <w:rFonts w:ascii="Arial" w:cs="Arial" w:eastAsia="Arial" w:hAnsi="Arial"/>
          <w:sz w:val="14"/>
          <w:szCs w:val="14"/>
          <w:i w:val="1"/>
          <w:iCs w:val="1"/>
          <w:color w:val="auto"/>
        </w:rPr>
        <w:t>e.g.</w:t>
      </w:r>
      <w:r>
        <w:rPr>
          <w:rFonts w:ascii="Arial" w:cs="Arial" w:eastAsia="Arial" w:hAnsi="Arial"/>
          <w:sz w:val="14"/>
          <w:szCs w:val="14"/>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 of Rights</w:t>
      </w:r>
    </w:p>
    <w:p>
      <w:pPr>
        <w:spacing w:after="0" w:line="226" w:lineRule="exact"/>
        <w:rPr>
          <w:sz w:val="20"/>
          <w:szCs w:val="20"/>
          <w:color w:val="auto"/>
        </w:rPr>
      </w:pPr>
    </w:p>
    <w:p>
      <w:pPr>
        <w:ind w:right="120"/>
        <w:spacing w:after="0" w:line="313" w:lineRule="auto"/>
        <w:rPr>
          <w:sz w:val="20"/>
          <w:szCs w:val="20"/>
          <w:color w:val="auto"/>
        </w:rPr>
      </w:pPr>
      <w:r>
        <w:rPr>
          <w:rFonts w:ascii="Arial" w:cs="Arial" w:eastAsia="Arial" w:hAnsi="Arial"/>
          <w:sz w:val="14"/>
          <w:szCs w:val="14"/>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53"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depositary will </w:t>
      </w:r>
      <w:r>
        <w:rPr>
          <w:rFonts w:ascii="Arial" w:cs="Arial" w:eastAsia="Arial" w:hAnsi="Arial"/>
          <w:sz w:val="14"/>
          <w:szCs w:val="14"/>
          <w:i w:val="1"/>
          <w:iCs w:val="1"/>
          <w:color w:val="auto"/>
        </w:rPr>
        <w:t>not</w:t>
      </w:r>
      <w:r>
        <w:rPr>
          <w:rFonts w:ascii="Arial" w:cs="Arial" w:eastAsia="Arial" w:hAnsi="Arial"/>
          <w:sz w:val="14"/>
          <w:szCs w:val="14"/>
          <w:color w:val="auto"/>
        </w:rPr>
        <w:t xml:space="preserve"> distribute the rights to you if: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094" w:right="339" w:bottom="1440" w:gutter="0" w:footer="0" w:header="0"/>
        </w:sectPr>
      </w:pPr>
    </w:p>
    <w:bookmarkStart w:id="130" w:name="page131"/>
    <w:bookmarkEnd w:id="130"/>
    <w:p>
      <w:pPr>
        <w:ind w:left="1620" w:hanging="837"/>
        <w:spacing w:after="0"/>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do not timely request that the rights be distributed to you or we request that the rights not be distributed to you; or</w:t>
      </w:r>
    </w:p>
    <w:p>
      <w:pPr>
        <w:spacing w:after="0" w:line="263" w:lineRule="exact"/>
        <w:rPr>
          <w:rFonts w:ascii="Arial" w:cs="Arial" w:eastAsia="Arial" w:hAnsi="Arial"/>
          <w:sz w:val="14"/>
          <w:szCs w:val="14"/>
          <w:color w:val="auto"/>
        </w:rPr>
      </w:pPr>
    </w:p>
    <w:p>
      <w:pPr>
        <w:ind w:left="1620" w:hanging="837"/>
        <w:spacing w:after="0"/>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fail to deliver satisfactory documents to the depositary; or</w:t>
      </w:r>
    </w:p>
    <w:p>
      <w:pPr>
        <w:spacing w:after="0" w:line="263" w:lineRule="exact"/>
        <w:rPr>
          <w:rFonts w:ascii="Arial" w:cs="Arial" w:eastAsia="Arial" w:hAnsi="Arial"/>
          <w:sz w:val="14"/>
          <w:szCs w:val="14"/>
          <w:color w:val="auto"/>
        </w:rPr>
      </w:pPr>
    </w:p>
    <w:p>
      <w:pPr>
        <w:ind w:left="1620" w:hanging="837"/>
        <w:spacing w:after="0"/>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it is not reasonably practicable to distribute the rights.</w:t>
      </w:r>
    </w:p>
    <w:p>
      <w:pPr>
        <w:spacing w:after="0" w:line="295"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Elective Distributions</w:t>
      </w:r>
    </w:p>
    <w:p>
      <w:pPr>
        <w:spacing w:after="0" w:line="226" w:lineRule="exact"/>
        <w:rPr>
          <w:sz w:val="20"/>
          <w:szCs w:val="20"/>
          <w:color w:val="auto"/>
        </w:rPr>
      </w:pPr>
    </w:p>
    <w:p>
      <w:pPr>
        <w:ind w:right="140"/>
        <w:spacing w:after="0" w:line="307" w:lineRule="auto"/>
        <w:rPr>
          <w:sz w:val="20"/>
          <w:szCs w:val="20"/>
          <w:color w:val="auto"/>
        </w:rPr>
      </w:pPr>
      <w:r>
        <w:rPr>
          <w:rFonts w:ascii="Arial" w:cs="Arial" w:eastAsia="Arial" w:hAnsi="Arial"/>
          <w:sz w:val="14"/>
          <w:szCs w:val="14"/>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57" w:lineRule="exact"/>
        <w:rPr>
          <w:sz w:val="20"/>
          <w:szCs w:val="20"/>
          <w:color w:val="auto"/>
        </w:rPr>
      </w:pPr>
    </w:p>
    <w:p>
      <w:pPr>
        <w:ind w:right="40"/>
        <w:spacing w:after="0" w:line="313" w:lineRule="auto"/>
        <w:rPr>
          <w:sz w:val="20"/>
          <w:szCs w:val="20"/>
          <w:color w:val="auto"/>
        </w:rPr>
      </w:pPr>
      <w:r>
        <w:rPr>
          <w:rFonts w:ascii="Arial" w:cs="Arial" w:eastAsia="Arial" w:hAnsi="Arial"/>
          <w:sz w:val="14"/>
          <w:szCs w:val="14"/>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53" w:lineRule="exact"/>
        <w:rPr>
          <w:sz w:val="20"/>
          <w:szCs w:val="20"/>
          <w:color w:val="auto"/>
        </w:rPr>
      </w:pPr>
    </w:p>
    <w:p>
      <w:pPr>
        <w:ind w:right="240"/>
        <w:spacing w:after="0" w:line="313" w:lineRule="auto"/>
        <w:rPr>
          <w:sz w:val="20"/>
          <w:szCs w:val="20"/>
          <w:color w:val="auto"/>
        </w:rPr>
      </w:pPr>
      <w:r>
        <w:rPr>
          <w:rFonts w:ascii="Arial" w:cs="Arial" w:eastAsia="Arial" w:hAnsi="Arial"/>
          <w:sz w:val="14"/>
          <w:szCs w:val="14"/>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Distributions</w:t>
      </w:r>
    </w:p>
    <w:p>
      <w:pPr>
        <w:spacing w:after="0" w:line="226"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53" w:lineRule="exact"/>
        <w:rPr>
          <w:sz w:val="20"/>
          <w:szCs w:val="20"/>
          <w:color w:val="auto"/>
        </w:rPr>
      </w:pPr>
    </w:p>
    <w:p>
      <w:pPr>
        <w:ind w:right="200"/>
        <w:spacing w:after="0" w:line="313" w:lineRule="auto"/>
        <w:rPr>
          <w:sz w:val="20"/>
          <w:szCs w:val="20"/>
          <w:color w:val="auto"/>
        </w:rPr>
      </w:pPr>
      <w:r>
        <w:rPr>
          <w:rFonts w:ascii="Arial" w:cs="Arial" w:eastAsia="Arial" w:hAnsi="Arial"/>
          <w:sz w:val="14"/>
          <w:szCs w:val="14"/>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53"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depositary will </w:t>
      </w:r>
      <w:r>
        <w:rPr>
          <w:rFonts w:ascii="Arial" w:cs="Arial" w:eastAsia="Arial" w:hAnsi="Arial"/>
          <w:sz w:val="14"/>
          <w:szCs w:val="14"/>
          <w:i w:val="1"/>
          <w:iCs w:val="1"/>
          <w:color w:val="auto"/>
        </w:rPr>
        <w:t>not</w:t>
      </w:r>
      <w:r>
        <w:rPr>
          <w:rFonts w:ascii="Arial" w:cs="Arial" w:eastAsia="Arial" w:hAnsi="Arial"/>
          <w:sz w:val="14"/>
          <w:szCs w:val="14"/>
          <w:color w:val="auto"/>
        </w:rPr>
        <w:t xml:space="preserve"> distribute the property to you and will sell the property if: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157" w:right="339" w:bottom="1440" w:gutter="0" w:footer="0" w:header="0"/>
        </w:sectPr>
      </w:pPr>
    </w:p>
    <w:bookmarkStart w:id="131" w:name="page132"/>
    <w:bookmarkEnd w:id="131"/>
    <w:p>
      <w:pPr>
        <w:ind w:left="1580" w:hanging="797"/>
        <w:spacing w:after="0"/>
        <w:tabs>
          <w:tab w:leader="none" w:pos="1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do not request that the property be distributed to you or if we ask that the property not be distributed to you; or</w:t>
      </w:r>
    </w:p>
    <w:p>
      <w:pPr>
        <w:spacing w:after="0" w:line="263" w:lineRule="exact"/>
        <w:rPr>
          <w:rFonts w:ascii="Arial" w:cs="Arial" w:eastAsia="Arial" w:hAnsi="Arial"/>
          <w:sz w:val="14"/>
          <w:szCs w:val="14"/>
          <w:color w:val="auto"/>
        </w:rPr>
      </w:pPr>
    </w:p>
    <w:p>
      <w:pPr>
        <w:ind w:left="1580" w:hanging="797"/>
        <w:spacing w:after="0"/>
        <w:tabs>
          <w:tab w:leader="none" w:pos="1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do not deliver satisfactory documents to the depositary; or</w:t>
      </w:r>
    </w:p>
    <w:p>
      <w:pPr>
        <w:spacing w:after="0" w:line="263" w:lineRule="exact"/>
        <w:rPr>
          <w:rFonts w:ascii="Arial" w:cs="Arial" w:eastAsia="Arial" w:hAnsi="Arial"/>
          <w:sz w:val="14"/>
          <w:szCs w:val="14"/>
          <w:color w:val="auto"/>
        </w:rPr>
      </w:pPr>
    </w:p>
    <w:p>
      <w:pPr>
        <w:ind w:left="1580" w:hanging="797"/>
        <w:spacing w:after="0"/>
        <w:tabs>
          <w:tab w:leader="none" w:pos="1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depositary determines that all or a portion of the distribution to you is not reasonably practicable.</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The proceeds of such a sale will be distributed to holders as in the case of a cash distribution.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Redemption</w:t>
      </w:r>
    </w:p>
    <w:p>
      <w:pPr>
        <w:spacing w:after="0" w:line="226" w:lineRule="exact"/>
        <w:rPr>
          <w:sz w:val="20"/>
          <w:szCs w:val="20"/>
          <w:color w:val="auto"/>
        </w:rPr>
      </w:pPr>
    </w:p>
    <w:p>
      <w:pPr>
        <w:ind w:right="320"/>
        <w:spacing w:after="0" w:line="313" w:lineRule="auto"/>
        <w:rPr>
          <w:sz w:val="20"/>
          <w:szCs w:val="20"/>
          <w:color w:val="auto"/>
        </w:rPr>
      </w:pPr>
      <w:r>
        <w:rPr>
          <w:rFonts w:ascii="Arial" w:cs="Arial" w:eastAsia="Arial" w:hAnsi="Arial"/>
          <w:sz w:val="14"/>
          <w:szCs w:val="14"/>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5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as the depositary may determine.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Affecting Ordinary Shares</w:t>
      </w:r>
    </w:p>
    <w:p>
      <w:pPr>
        <w:spacing w:after="0" w:line="228"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153"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ADSs upon Deposit of Ordinary Shares</w:t>
      </w:r>
    </w:p>
    <w:p>
      <w:pPr>
        <w:spacing w:after="0" w:line="228" w:lineRule="exact"/>
        <w:rPr>
          <w:sz w:val="20"/>
          <w:szCs w:val="20"/>
          <w:color w:val="auto"/>
        </w:rPr>
      </w:pPr>
    </w:p>
    <w:p>
      <w:pPr>
        <w:jc w:val="both"/>
        <w:ind w:right="60"/>
        <w:spacing w:after="0" w:line="307" w:lineRule="auto"/>
        <w:rPr>
          <w:sz w:val="20"/>
          <w:szCs w:val="20"/>
          <w:color w:val="auto"/>
        </w:rPr>
      </w:pPr>
      <w:r>
        <w:rPr>
          <w:rFonts w:ascii="Arial" w:cs="Arial" w:eastAsia="Arial" w:hAnsi="Arial"/>
          <w:sz w:val="14"/>
          <w:szCs w:val="14"/>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00"/>
          </w:cols>
          <w:pgMar w:left="300" w:top="1157" w:right="399" w:bottom="1440" w:gutter="0" w:footer="0" w:header="0"/>
        </w:sectPr>
      </w:pPr>
    </w:p>
    <w:bookmarkStart w:id="132" w:name="page133"/>
    <w:bookmarkEnd w:id="132"/>
    <w:p>
      <w:pPr>
        <w:ind w:right="260"/>
        <w:spacing w:after="0" w:line="313" w:lineRule="auto"/>
        <w:rPr>
          <w:sz w:val="20"/>
          <w:szCs w:val="20"/>
          <w:color w:val="auto"/>
        </w:rPr>
      </w:pPr>
      <w:r>
        <w:rPr>
          <w:rFonts w:ascii="Arial" w:cs="Arial" w:eastAsia="Arial" w:hAnsi="Arial"/>
          <w:sz w:val="14"/>
          <w:szCs w:val="14"/>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53" w:lineRule="exact"/>
        <w:rPr>
          <w:sz w:val="20"/>
          <w:szCs w:val="20"/>
          <w:color w:val="auto"/>
        </w:rPr>
      </w:pPr>
    </w:p>
    <w:p>
      <w:pPr>
        <w:ind w:right="220"/>
        <w:spacing w:after="0" w:line="313" w:lineRule="auto"/>
        <w:rPr>
          <w:sz w:val="20"/>
          <w:szCs w:val="20"/>
          <w:color w:val="auto"/>
        </w:rPr>
      </w:pPr>
      <w:r>
        <w:rPr>
          <w:rFonts w:ascii="Arial" w:cs="Arial" w:eastAsia="Arial" w:hAnsi="Arial"/>
          <w:sz w:val="14"/>
          <w:szCs w:val="14"/>
          <w:color w:val="auto"/>
        </w:rPr>
        <w:t>When you make a deposit of ordinary shares, you will be responsible for transferring good and valid title to the depositary. As such, you will be deemed to represent and warrant that:</w:t>
      </w:r>
    </w:p>
    <w:p>
      <w:pPr>
        <w:spacing w:after="0" w:line="386" w:lineRule="exact"/>
        <w:rPr>
          <w:sz w:val="20"/>
          <w:szCs w:val="20"/>
          <w:color w:val="auto"/>
        </w:rPr>
      </w:pPr>
    </w:p>
    <w:p>
      <w:pPr>
        <w:ind w:left="1480" w:hanging="697"/>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ordinary shares are duly authorized, validly issued, fully paid, non-assessable and legally obtained;</w:t>
      </w:r>
    </w:p>
    <w:p>
      <w:pPr>
        <w:spacing w:after="0" w:line="263" w:lineRule="exact"/>
        <w:rPr>
          <w:rFonts w:ascii="Arial" w:cs="Arial" w:eastAsia="Arial" w:hAnsi="Arial"/>
          <w:sz w:val="14"/>
          <w:szCs w:val="14"/>
          <w:color w:val="auto"/>
        </w:rPr>
      </w:pPr>
    </w:p>
    <w:p>
      <w:pPr>
        <w:ind w:left="1480" w:hanging="697"/>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all preemptive (and similar) rights, if any, with respect to such ordinary shares have been validly waived or exercised;</w:t>
      </w:r>
    </w:p>
    <w:p>
      <w:pPr>
        <w:spacing w:after="0" w:line="263" w:lineRule="exact"/>
        <w:rPr>
          <w:rFonts w:ascii="Arial" w:cs="Arial" w:eastAsia="Arial" w:hAnsi="Arial"/>
          <w:sz w:val="14"/>
          <w:szCs w:val="14"/>
          <w:color w:val="auto"/>
        </w:rPr>
      </w:pPr>
    </w:p>
    <w:p>
      <w:pPr>
        <w:ind w:left="1480" w:hanging="697"/>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you are duly authorized to deposit the ordinary shares;</w:t>
      </w:r>
    </w:p>
    <w:p>
      <w:pPr>
        <w:spacing w:after="0" w:line="263" w:lineRule="exact"/>
        <w:rPr>
          <w:rFonts w:ascii="Arial" w:cs="Arial" w:eastAsia="Arial" w:hAnsi="Arial"/>
          <w:sz w:val="14"/>
          <w:szCs w:val="14"/>
          <w:color w:val="auto"/>
        </w:rPr>
      </w:pPr>
    </w:p>
    <w:p>
      <w:pPr>
        <w:ind w:left="1480" w:right="1700" w:hanging="697"/>
        <w:spacing w:after="0" w:line="259" w:lineRule="auto"/>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42" w:lineRule="exact"/>
        <w:rPr>
          <w:rFonts w:ascii="Arial" w:cs="Arial" w:eastAsia="Arial" w:hAnsi="Arial"/>
          <w:sz w:val="14"/>
          <w:szCs w:val="14"/>
          <w:color w:val="auto"/>
        </w:rPr>
      </w:pPr>
    </w:p>
    <w:p>
      <w:pPr>
        <w:ind w:left="1480" w:hanging="697"/>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ordinary shares presented for deposit have not been stripped of any rights or entitlements.</w:t>
      </w:r>
    </w:p>
    <w:p>
      <w:pPr>
        <w:spacing w:after="0" w:line="295" w:lineRule="exact"/>
        <w:rPr>
          <w:sz w:val="20"/>
          <w:szCs w:val="20"/>
          <w:color w:val="auto"/>
        </w:rPr>
      </w:pPr>
    </w:p>
    <w:p>
      <w:pPr>
        <w:ind w:right="580"/>
        <w:spacing w:after="0" w:line="313" w:lineRule="auto"/>
        <w:rPr>
          <w:sz w:val="20"/>
          <w:szCs w:val="20"/>
          <w:color w:val="auto"/>
        </w:rPr>
      </w:pPr>
      <w:r>
        <w:rPr>
          <w:rFonts w:ascii="Arial" w:cs="Arial" w:eastAsia="Arial" w:hAnsi="Arial"/>
          <w:sz w:val="14"/>
          <w:szCs w:val="14"/>
          <w:color w:val="auto"/>
        </w:rPr>
        <w:t>If any of the representations or warranties are incorrect in any way, we and the depositary may, at your cost and expense, take any and all actions necessary to correct the consequences of the misrepresentations.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Combination and Split Up of ADRs</w:t>
      </w:r>
    </w:p>
    <w:p>
      <w:pPr>
        <w:spacing w:after="0" w:line="228"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386" w:lineRule="exact"/>
        <w:rPr>
          <w:sz w:val="20"/>
          <w:szCs w:val="20"/>
          <w:color w:val="auto"/>
        </w:rPr>
      </w:pPr>
    </w:p>
    <w:p>
      <w:pPr>
        <w:ind w:left="1480" w:hanging="697"/>
        <w:spacing w:after="0"/>
        <w:tabs>
          <w:tab w:leader="none" w:pos="14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ensure that the surrendered ADR is properly endorsed or otherwise in proper form for transfer;</w:t>
      </w: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provide such proof of identity and genuineness of signatures as the depositary deems appropriate;</w:t>
      </w:r>
    </w:p>
    <w:p>
      <w:pPr>
        <w:spacing w:after="0" w:line="274" w:lineRule="exact"/>
        <w:rPr>
          <w:sz w:val="20"/>
          <w:szCs w:val="20"/>
          <w:color w:val="auto"/>
        </w:rPr>
      </w:pPr>
    </w:p>
    <w:p>
      <w:pPr>
        <w:ind w:left="1560" w:hanging="777"/>
        <w:spacing w:after="0"/>
        <w:tabs>
          <w:tab w:leader="none" w:pos="15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provide any transfer stamps required by the State of New York or the United States; and</w:t>
      </w:r>
    </w:p>
    <w:p>
      <w:pPr>
        <w:spacing w:after="0" w:line="263" w:lineRule="exact"/>
        <w:rPr>
          <w:rFonts w:ascii="Arial" w:cs="Arial" w:eastAsia="Arial" w:hAnsi="Arial"/>
          <w:sz w:val="14"/>
          <w:szCs w:val="14"/>
          <w:color w:val="auto"/>
        </w:rPr>
      </w:pPr>
    </w:p>
    <w:p>
      <w:pPr>
        <w:ind w:left="1560" w:right="1300" w:hanging="777"/>
        <w:spacing w:after="0" w:line="266" w:lineRule="auto"/>
        <w:tabs>
          <w:tab w:leader="none" w:pos="15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pay all applicable fees, charges, expenses, taxes and other government charges payable by ADR holders pursuant to the terms of the deposit agreement, upon the transfer of ADRs.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4" w:right="359" w:bottom="1440" w:gutter="0" w:footer="0" w:header="0"/>
        </w:sectPr>
      </w:pPr>
    </w:p>
    <w:bookmarkStart w:id="133" w:name="page134"/>
    <w:bookmarkEnd w:id="133"/>
    <w:p>
      <w:pPr>
        <w:ind w:right="60"/>
        <w:spacing w:after="0" w:line="313" w:lineRule="auto"/>
        <w:rPr>
          <w:sz w:val="20"/>
          <w:szCs w:val="20"/>
          <w:color w:val="auto"/>
        </w:rPr>
      </w:pPr>
      <w:r>
        <w:rPr>
          <w:rFonts w:ascii="Arial" w:cs="Arial" w:eastAsia="Arial" w:hAnsi="Arial"/>
          <w:sz w:val="14"/>
          <w:szCs w:val="14"/>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Withdrawal of Ordinary Shares Upon Cancellation of ADSs</w:t>
      </w:r>
    </w:p>
    <w:p>
      <w:pPr>
        <w:spacing w:after="0" w:line="228"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You will have the right to withdraw the securities represented by your ADSs at any time except as a result of:</w:t>
      </w:r>
    </w:p>
    <w:p>
      <w:pPr>
        <w:spacing w:after="0" w:line="200" w:lineRule="exact"/>
        <w:rPr>
          <w:sz w:val="20"/>
          <w:szCs w:val="20"/>
          <w:color w:val="auto"/>
        </w:rPr>
      </w:pPr>
    </w:p>
    <w:p>
      <w:pPr>
        <w:spacing w:after="0" w:line="244" w:lineRule="exact"/>
        <w:rPr>
          <w:sz w:val="20"/>
          <w:szCs w:val="20"/>
          <w:color w:val="auto"/>
        </w:rPr>
      </w:pPr>
    </w:p>
    <w:p>
      <w:pPr>
        <w:ind w:left="1580" w:right="1320" w:hanging="797"/>
        <w:spacing w:after="0" w:line="266" w:lineRule="auto"/>
        <w:tabs>
          <w:tab w:leader="none" w:pos="1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237" w:lineRule="exact"/>
        <w:rPr>
          <w:rFonts w:ascii="Arial" w:cs="Arial" w:eastAsia="Arial" w:hAnsi="Arial"/>
          <w:sz w:val="14"/>
          <w:szCs w:val="14"/>
          <w:color w:val="auto"/>
        </w:rPr>
      </w:pPr>
    </w:p>
    <w:p>
      <w:pPr>
        <w:ind w:left="1580" w:hanging="797"/>
        <w:spacing w:after="0"/>
        <w:tabs>
          <w:tab w:leader="none" w:pos="1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obligations to pay fees, taxes and similar charges; and/or</w:t>
      </w:r>
    </w:p>
    <w:p>
      <w:pPr>
        <w:spacing w:after="0" w:line="263" w:lineRule="exact"/>
        <w:rPr>
          <w:rFonts w:ascii="Arial" w:cs="Arial" w:eastAsia="Arial" w:hAnsi="Arial"/>
          <w:sz w:val="14"/>
          <w:szCs w:val="14"/>
          <w:color w:val="auto"/>
        </w:rPr>
      </w:pPr>
    </w:p>
    <w:p>
      <w:pPr>
        <w:ind w:left="1580" w:hanging="797"/>
        <w:spacing w:after="0"/>
        <w:tabs>
          <w:tab w:leader="none" w:pos="1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restrictions imposed because of laws or regulations applicable to ADSs or the withdrawal of securities on deposit.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The deposit agreement may not be modified to impair your right to withdraw the securities represented by your ADSs except to comply with mandatory provisions of law.</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Rights</w:t>
      </w:r>
    </w:p>
    <w:p>
      <w:pPr>
        <w:spacing w:after="0" w:line="228"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pacing w:after="0" w:line="153" w:lineRule="exact"/>
        <w:rPr>
          <w:sz w:val="20"/>
          <w:szCs w:val="20"/>
          <w:color w:val="auto"/>
        </w:rPr>
      </w:pPr>
    </w:p>
    <w:p>
      <w:pPr>
        <w:ind w:right="420"/>
        <w:spacing w:after="0" w:line="313" w:lineRule="auto"/>
        <w:rPr>
          <w:sz w:val="20"/>
          <w:szCs w:val="20"/>
          <w:color w:val="auto"/>
        </w:rPr>
      </w:pPr>
      <w:r>
        <w:rPr>
          <w:rFonts w:ascii="Arial" w:cs="Arial" w:eastAsia="Arial" w:hAnsi="Arial"/>
          <w:sz w:val="14"/>
          <w:szCs w:val="14"/>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00"/>
          </w:cols>
          <w:pgMar w:left="300" w:top="1093" w:right="39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If the depositary timely receives voting instructions from a holder of ADSs, it will endeavor to vote the securities (in person or by proxy) represented by the holder's ADSs as follows:</w:t>
      </w:r>
    </w:p>
    <w:p>
      <w:pPr>
        <w:spacing w:after="0" w:line="200" w:lineRule="exact"/>
        <w:rPr>
          <w:sz w:val="20"/>
          <w:szCs w:val="20"/>
          <w:color w:val="auto"/>
        </w:rPr>
      </w:pPr>
    </w:p>
    <w:p>
      <w:pPr>
        <w:spacing w:after="0" w:line="389" w:lineRule="exact"/>
        <w:rPr>
          <w:sz w:val="20"/>
          <w:szCs w:val="20"/>
          <w:color w:val="auto"/>
        </w:rPr>
      </w:pPr>
    </w:p>
    <w:p>
      <w:pPr>
        <w:ind w:left="760" w:right="60" w:firstLine="9"/>
        <w:spacing w:after="0" w:line="334" w:lineRule="auto"/>
        <w:tabs>
          <w:tab w:leader="none" w:pos="849"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In the event of voting by show of hands</w:t>
      </w:r>
      <w:r>
        <w:rPr>
          <w:rFonts w:ascii="Arial" w:cs="Arial" w:eastAsia="Arial" w:hAnsi="Arial"/>
          <w:sz w:val="14"/>
          <w:szCs w:val="14"/>
          <w:color w:val="auto"/>
        </w:rPr>
        <w:t>, the depositary will vote (or cause the custodian to vote) all ordinary held on deposit at that time in accordance with the voting</w:t>
      </w:r>
      <w:r>
        <w:rPr>
          <w:rFonts w:ascii="Arial" w:cs="Arial" w:eastAsia="Arial" w:hAnsi="Arial"/>
          <w:sz w:val="14"/>
          <w:szCs w:val="14"/>
          <w:i w:val="1"/>
          <w:iCs w:val="1"/>
          <w:color w:val="auto"/>
        </w:rPr>
        <w:t xml:space="preserve"> </w:t>
      </w:r>
      <w:r>
        <w:rPr>
          <w:rFonts w:ascii="Arial" w:cs="Arial" w:eastAsia="Arial" w:hAnsi="Arial"/>
          <w:sz w:val="14"/>
          <w:szCs w:val="14"/>
          <w:color w:val="auto"/>
        </w:rPr>
        <w:t>instructions received from a majority of holders of ADSs who provide timely voting instructions.</w:t>
      </w:r>
    </w:p>
    <w:p>
      <w:pPr>
        <w:spacing w:after="0" w:line="337" w:lineRule="exact"/>
        <w:rPr>
          <w:rFonts w:ascii="Arial" w:cs="Arial" w:eastAsia="Arial" w:hAnsi="Arial"/>
          <w:sz w:val="14"/>
          <w:szCs w:val="14"/>
          <w:color w:val="auto"/>
        </w:rPr>
      </w:pPr>
    </w:p>
    <w:p>
      <w:pPr>
        <w:ind w:left="760" w:right="220" w:firstLine="9"/>
        <w:spacing w:after="0" w:line="334" w:lineRule="auto"/>
        <w:tabs>
          <w:tab w:leader="none" w:pos="849"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In the event of voting by poll</w:t>
      </w:r>
      <w:r>
        <w:rPr>
          <w:rFonts w:ascii="Arial" w:cs="Arial" w:eastAsia="Arial" w:hAnsi="Arial"/>
          <w:sz w:val="14"/>
          <w:szCs w:val="14"/>
          <w:color w:val="auto"/>
        </w:rPr>
        <w:t>, the depositary will vote (or cause the custodian to vote) the ordinary shares held on deposit in accordance with the voting instructions</w:t>
      </w:r>
      <w:r>
        <w:rPr>
          <w:rFonts w:ascii="Arial" w:cs="Arial" w:eastAsia="Arial" w:hAnsi="Arial"/>
          <w:sz w:val="14"/>
          <w:szCs w:val="14"/>
          <w:i w:val="1"/>
          <w:iCs w:val="1"/>
          <w:color w:val="auto"/>
        </w:rPr>
        <w:t xml:space="preserve"> </w:t>
      </w:r>
      <w:r>
        <w:rPr>
          <w:rFonts w:ascii="Arial" w:cs="Arial" w:eastAsia="Arial" w:hAnsi="Arial"/>
          <w:sz w:val="14"/>
          <w:szCs w:val="14"/>
          <w:color w:val="auto"/>
        </w:rPr>
        <w:t>received from the holders of ADSs.</w:t>
      </w:r>
    </w:p>
    <w:p>
      <w:pPr>
        <w:spacing w:after="0" w:line="139" w:lineRule="exact"/>
        <w:rPr>
          <w:sz w:val="20"/>
          <w:szCs w:val="20"/>
          <w:color w:val="auto"/>
        </w:rPr>
      </w:pPr>
    </w:p>
    <w:p>
      <w:pPr>
        <w:jc w:val="both"/>
        <w:ind w:right="40"/>
        <w:spacing w:after="0" w:line="307" w:lineRule="auto"/>
        <w:rPr>
          <w:sz w:val="20"/>
          <w:szCs w:val="20"/>
          <w:color w:val="auto"/>
        </w:rPr>
      </w:pPr>
      <w:r>
        <w:rPr>
          <w:rFonts w:ascii="Arial" w:cs="Arial" w:eastAsia="Arial" w:hAnsi="Arial"/>
          <w:sz w:val="14"/>
          <w:szCs w:val="14"/>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Charges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As an ADS holder, you will be required to pay the following fees under the terms of the deposit agreement:</w:t>
      </w:r>
    </w:p>
    <w:p>
      <w:pPr>
        <w:sectPr>
          <w:pgSz w:w="11900" w:h="16838" w:orient="portrait"/>
          <w:cols w:equalWidth="0" w:num="1">
            <w:col w:w="11240"/>
          </w:cols>
          <w:pgMar w:left="300" w:top="1093" w:right="3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Service</w:t>
      </w:r>
    </w:p>
    <w:p>
      <w:pPr>
        <w:spacing w:after="0" w:line="69" w:lineRule="exact"/>
        <w:rPr>
          <w:sz w:val="20"/>
          <w:szCs w:val="20"/>
          <w:color w:val="auto"/>
        </w:rPr>
      </w:pPr>
    </w:p>
    <w:p>
      <w:pPr>
        <w:ind w:left="20" w:right="320" w:firstLine="35"/>
        <w:spacing w:after="0" w:line="259" w:lineRule="auto"/>
        <w:rPr>
          <w:sz w:val="20"/>
          <w:szCs w:val="20"/>
          <w:color w:val="auto"/>
        </w:rPr>
      </w:pPr>
      <w:r>
        <w:rPr>
          <w:rFonts w:ascii="Arial" w:cs="Arial" w:eastAsia="Arial" w:hAnsi="Arial"/>
          <w:sz w:val="14"/>
          <w:szCs w:val="14"/>
          <w:color w:val="auto"/>
        </w:rPr>
        <w:t>Issuance of ADSs (e.g., an issuance of ADS upon a deposit of ordinary shares or upon a change in the ADS(s)-to-ordinary shares ratio), excluding ADS issuances as a result of distributions of ordinary shares</w:t>
      </w:r>
    </w:p>
    <w:p>
      <w:pPr>
        <w:spacing w:after="0" w:line="243" w:lineRule="exact"/>
        <w:rPr>
          <w:sz w:val="20"/>
          <w:szCs w:val="20"/>
          <w:color w:val="auto"/>
        </w:rPr>
      </w:pPr>
    </w:p>
    <w:p>
      <w:pPr>
        <w:ind w:left="20"/>
        <w:spacing w:after="0" w:line="266" w:lineRule="auto"/>
        <w:rPr>
          <w:sz w:val="20"/>
          <w:szCs w:val="20"/>
          <w:color w:val="auto"/>
        </w:rPr>
      </w:pPr>
      <w:r>
        <w:rPr>
          <w:rFonts w:ascii="Arial" w:cs="Arial" w:eastAsia="Arial" w:hAnsi="Arial"/>
          <w:sz w:val="14"/>
          <w:szCs w:val="14"/>
          <w:color w:val="auto"/>
        </w:rPr>
        <w:t>Cancellation of ADSs (e.g., a cancellation of ADSs for delivery of deposited property or upon a change in the ADS(s)-to-ordinary shares ratio)</w:t>
      </w:r>
    </w:p>
    <w:p>
      <w:pPr>
        <w:spacing w:after="0" w:line="365" w:lineRule="exact"/>
        <w:rPr>
          <w:sz w:val="20"/>
          <w:szCs w:val="20"/>
          <w:color w:val="auto"/>
        </w:rPr>
      </w:pPr>
    </w:p>
    <w:p>
      <w:pPr>
        <w:ind w:left="20" w:right="100"/>
        <w:spacing w:after="0" w:line="266" w:lineRule="auto"/>
        <w:rPr>
          <w:sz w:val="20"/>
          <w:szCs w:val="20"/>
          <w:color w:val="auto"/>
        </w:rPr>
      </w:pPr>
      <w:r>
        <w:rPr>
          <w:rFonts w:ascii="Arial" w:cs="Arial" w:eastAsia="Arial" w:hAnsi="Arial"/>
          <w:sz w:val="14"/>
          <w:szCs w:val="14"/>
          <w:color w:val="auto"/>
        </w:rPr>
        <w:t>Distribution of cash dividends or other cash distributions (e.g., upon a sale of rights and other entitlements)</w:t>
      </w:r>
    </w:p>
    <w:p>
      <w:pPr>
        <w:spacing w:after="0" w:line="365" w:lineRule="exact"/>
        <w:rPr>
          <w:sz w:val="20"/>
          <w:szCs w:val="20"/>
          <w:color w:val="auto"/>
        </w:rPr>
      </w:pPr>
    </w:p>
    <w:p>
      <w:pPr>
        <w:ind w:left="20" w:right="340"/>
        <w:spacing w:after="0" w:line="266" w:lineRule="auto"/>
        <w:rPr>
          <w:sz w:val="20"/>
          <w:szCs w:val="20"/>
          <w:color w:val="auto"/>
        </w:rPr>
      </w:pPr>
      <w:r>
        <w:rPr>
          <w:rFonts w:ascii="Arial" w:cs="Arial" w:eastAsia="Arial" w:hAnsi="Arial"/>
          <w:sz w:val="14"/>
          <w:szCs w:val="14"/>
          <w:color w:val="auto"/>
        </w:rPr>
        <w:t>Distribution of ADSs pursuant to (i) stock dividends or other free stock distributions, or (ii) exercise of rights to purchase additional ADSs</w:t>
      </w:r>
    </w:p>
    <w:p>
      <w:pPr>
        <w:spacing w:after="0" w:line="365" w:lineRule="exact"/>
        <w:rPr>
          <w:sz w:val="20"/>
          <w:szCs w:val="20"/>
          <w:color w:val="auto"/>
        </w:rPr>
      </w:pPr>
    </w:p>
    <w:p>
      <w:pPr>
        <w:ind w:left="20" w:right="120"/>
        <w:spacing w:after="0" w:line="266" w:lineRule="auto"/>
        <w:rPr>
          <w:sz w:val="20"/>
          <w:szCs w:val="20"/>
          <w:color w:val="auto"/>
        </w:rPr>
      </w:pPr>
      <w:r>
        <w:rPr>
          <w:rFonts w:ascii="Arial" w:cs="Arial" w:eastAsia="Arial" w:hAnsi="Arial"/>
          <w:sz w:val="14"/>
          <w:szCs w:val="14"/>
          <w:color w:val="auto"/>
        </w:rPr>
        <w:t>Distribution of securities other than ADSs or rights to purchase additional ADSs (e.g., upon a spin-off)</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Fee</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Up to $0.05 per ADS issued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Up to $0.05 per ADS cancelled</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Up to $0.05 per ADS held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Up to $0.05 per ADS held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Up to $0.05 per ADS held</w:t>
      </w:r>
    </w:p>
    <w:p>
      <w:pPr>
        <w:spacing w:after="0" w:line="200" w:lineRule="exact"/>
        <w:rPr>
          <w:sz w:val="20"/>
          <w:szCs w:val="20"/>
          <w:color w:val="auto"/>
        </w:rPr>
      </w:pPr>
    </w:p>
    <w:p>
      <w:pPr>
        <w:spacing w:after="0" w:line="254" w:lineRule="exact"/>
        <w:rPr>
          <w:sz w:val="20"/>
          <w:szCs w:val="20"/>
          <w:color w:val="auto"/>
        </w:rPr>
      </w:pPr>
    </w:p>
    <w:p>
      <w:pPr>
        <w:ind w:right="1820"/>
        <w:spacing w:after="0" w:line="266" w:lineRule="auto"/>
        <w:rPr>
          <w:sz w:val="20"/>
          <w:szCs w:val="20"/>
          <w:color w:val="auto"/>
        </w:rPr>
      </w:pPr>
      <w:r>
        <w:rPr>
          <w:rFonts w:ascii="Arial" w:cs="Arial" w:eastAsia="Arial" w:hAnsi="Arial"/>
          <w:sz w:val="14"/>
          <w:szCs w:val="14"/>
          <w:color w:val="auto"/>
        </w:rPr>
        <w:t>Up to $ 0.05 per ADS held on the applicable record date(s) established by the depositary</w:t>
      </w:r>
    </w:p>
    <w:p>
      <w:pPr>
        <w:spacing w:after="0" w:line="200" w:lineRule="exact"/>
        <w:rPr>
          <w:sz w:val="20"/>
          <w:szCs w:val="20"/>
          <w:color w:val="auto"/>
        </w:rPr>
      </w:pPr>
    </w:p>
    <w:p>
      <w:pPr>
        <w:sectPr>
          <w:pgSz w:w="11900" w:h="16838" w:orient="portrait"/>
          <w:cols w:equalWidth="0" w:num="2">
            <w:col w:w="5920" w:space="340"/>
            <w:col w:w="4980"/>
          </w:cols>
          <w:pgMar w:left="300" w:top="1093" w:right="359"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As an ADS holder you will also be responsible to pay certain charges such as: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40"/>
          </w:cols>
          <w:pgMar w:left="300" w:top="1093" w:right="359" w:bottom="1440" w:gutter="0" w:footer="0" w:header="0"/>
          <w:type w:val="continuous"/>
        </w:sectPr>
      </w:pPr>
    </w:p>
    <w:bookmarkStart w:id="135" w:name="page136"/>
    <w:bookmarkEnd w:id="135"/>
    <w:p>
      <w:pPr>
        <w:ind w:left="1520" w:hanging="737"/>
        <w:spacing w:after="0"/>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taxes (including applicable interest and penalties) and other governmental charges;</w:t>
      </w:r>
    </w:p>
    <w:p>
      <w:pPr>
        <w:spacing w:after="0" w:line="263" w:lineRule="exact"/>
        <w:rPr>
          <w:rFonts w:ascii="Arial" w:cs="Arial" w:eastAsia="Arial" w:hAnsi="Arial"/>
          <w:sz w:val="14"/>
          <w:szCs w:val="14"/>
          <w:color w:val="auto"/>
        </w:rPr>
      </w:pPr>
    </w:p>
    <w:p>
      <w:pPr>
        <w:ind w:left="1520" w:right="1560" w:hanging="737"/>
        <w:spacing w:after="0" w:line="259" w:lineRule="auto"/>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42" w:lineRule="exact"/>
        <w:rPr>
          <w:rFonts w:ascii="Arial" w:cs="Arial" w:eastAsia="Arial" w:hAnsi="Arial"/>
          <w:sz w:val="14"/>
          <w:szCs w:val="14"/>
          <w:color w:val="auto"/>
        </w:rPr>
      </w:pPr>
    </w:p>
    <w:p>
      <w:pPr>
        <w:ind w:left="1520" w:hanging="737"/>
        <w:spacing w:after="0"/>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certain cable, telex and facsimile transmission and delivery expenses;</w:t>
      </w:r>
    </w:p>
    <w:p>
      <w:pPr>
        <w:spacing w:after="0" w:line="263" w:lineRule="exact"/>
        <w:rPr>
          <w:rFonts w:ascii="Arial" w:cs="Arial" w:eastAsia="Arial" w:hAnsi="Arial"/>
          <w:sz w:val="14"/>
          <w:szCs w:val="14"/>
          <w:color w:val="auto"/>
        </w:rPr>
      </w:pPr>
    </w:p>
    <w:p>
      <w:pPr>
        <w:ind w:left="1520" w:hanging="737"/>
        <w:spacing w:after="0"/>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expenses and charges incurred by the depositary in the conversion of foreign currency;</w:t>
      </w:r>
    </w:p>
    <w:p>
      <w:pPr>
        <w:spacing w:after="0" w:line="263" w:lineRule="exact"/>
        <w:rPr>
          <w:rFonts w:ascii="Arial" w:cs="Arial" w:eastAsia="Arial" w:hAnsi="Arial"/>
          <w:sz w:val="14"/>
          <w:szCs w:val="14"/>
          <w:color w:val="auto"/>
        </w:rPr>
      </w:pPr>
    </w:p>
    <w:p>
      <w:pPr>
        <w:ind w:left="1520" w:right="1980" w:hanging="737"/>
        <w:spacing w:after="0" w:line="266" w:lineRule="auto"/>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fees and expenses incurred by the depositary in connection with compliance with exchange control regulations and other regulatory requirements applicable to ordinary shares, ADSs and ADRs; and</w:t>
      </w:r>
    </w:p>
    <w:p>
      <w:pPr>
        <w:spacing w:after="0" w:line="237" w:lineRule="exact"/>
        <w:rPr>
          <w:rFonts w:ascii="Arial" w:cs="Arial" w:eastAsia="Arial" w:hAnsi="Arial"/>
          <w:sz w:val="14"/>
          <w:szCs w:val="14"/>
          <w:color w:val="auto"/>
        </w:rPr>
      </w:pPr>
    </w:p>
    <w:p>
      <w:pPr>
        <w:ind w:left="1520" w:right="1860" w:hanging="737"/>
        <w:spacing w:after="0" w:line="266" w:lineRule="auto"/>
        <w:tabs>
          <w:tab w:leader="none" w:pos="1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fees and expenses incurred by the depositary, the custodian, or any nominee in connection with the servicing or delivery of deposited property.</w:t>
      </w:r>
    </w:p>
    <w:p>
      <w:pPr>
        <w:spacing w:after="0" w:line="26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66" w:lineRule="exact"/>
        <w:rPr>
          <w:sz w:val="20"/>
          <w:szCs w:val="20"/>
          <w:color w:val="auto"/>
        </w:rPr>
      </w:pPr>
    </w:p>
    <w:p>
      <w:pPr>
        <w:ind w:right="140"/>
        <w:spacing w:after="0" w:line="303" w:lineRule="auto"/>
        <w:rPr>
          <w:sz w:val="20"/>
          <w:szCs w:val="20"/>
          <w:color w:val="auto"/>
        </w:rPr>
      </w:pPr>
      <w:r>
        <w:rPr>
          <w:rFonts w:ascii="Arial" w:cs="Arial" w:eastAsia="Arial" w:hAnsi="Arial"/>
          <w:sz w:val="14"/>
          <w:szCs w:val="14"/>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Amendments and Termination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80"/>
          </w:cols>
          <w:pgMar w:left="300" w:top="1157" w:right="319" w:bottom="1440" w:gutter="0" w:footer="0" w:header="0"/>
        </w:sectPr>
      </w:pPr>
    </w:p>
    <w:bookmarkStart w:id="136" w:name="page137"/>
    <w:bookmarkEnd w:id="136"/>
    <w:p>
      <w:pPr>
        <w:ind w:right="60"/>
        <w:spacing w:after="0" w:line="303" w:lineRule="auto"/>
        <w:rPr>
          <w:sz w:val="20"/>
          <w:szCs w:val="20"/>
          <w:color w:val="auto"/>
        </w:rPr>
      </w:pPr>
      <w:r>
        <w:rPr>
          <w:rFonts w:ascii="Arial" w:cs="Arial" w:eastAsia="Arial" w:hAnsi="Arial"/>
          <w:sz w:val="14"/>
          <w:szCs w:val="14"/>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61" w:lineRule="exact"/>
        <w:rPr>
          <w:sz w:val="20"/>
          <w:szCs w:val="20"/>
          <w:color w:val="auto"/>
        </w:rPr>
      </w:pPr>
    </w:p>
    <w:p>
      <w:pPr>
        <w:ind w:right="180"/>
        <w:spacing w:after="0" w:line="313" w:lineRule="auto"/>
        <w:rPr>
          <w:sz w:val="20"/>
          <w:szCs w:val="20"/>
          <w:color w:val="auto"/>
        </w:rPr>
      </w:pPr>
      <w:r>
        <w:rPr>
          <w:rFonts w:ascii="Arial" w:cs="Arial" w:eastAsia="Arial" w:hAnsi="Arial"/>
          <w:sz w:val="14"/>
          <w:szCs w:val="14"/>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0" w:lineRule="exact"/>
        <w:rPr>
          <w:sz w:val="20"/>
          <w:szCs w:val="20"/>
          <w:color w:val="auto"/>
        </w:rPr>
      </w:pPr>
    </w:p>
    <w:p>
      <w:pPr>
        <w:spacing w:after="0" w:line="303" w:lineRule="exact"/>
        <w:rPr>
          <w:sz w:val="20"/>
          <w:szCs w:val="20"/>
          <w:color w:val="auto"/>
        </w:rPr>
      </w:pPr>
    </w:p>
    <w:p>
      <w:pPr>
        <w:jc w:val="both"/>
        <w:ind w:right="400"/>
        <w:spacing w:after="0" w:line="307" w:lineRule="auto"/>
        <w:rPr>
          <w:sz w:val="20"/>
          <w:szCs w:val="20"/>
          <w:color w:val="auto"/>
        </w:rPr>
      </w:pPr>
      <w:r>
        <w:rPr>
          <w:rFonts w:ascii="Arial" w:cs="Arial" w:eastAsia="Arial" w:hAnsi="Arial"/>
          <w:sz w:val="14"/>
          <w:szCs w:val="14"/>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w:t>
      </w:r>
    </w:p>
    <w:p>
      <w:pPr>
        <w:spacing w:after="0" w:line="228"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60"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Books of Depositary</w:t>
      </w:r>
    </w:p>
    <w:p>
      <w:pPr>
        <w:spacing w:after="0" w:line="228" w:lineRule="exact"/>
        <w:rPr>
          <w:sz w:val="20"/>
          <w:szCs w:val="20"/>
          <w:color w:val="auto"/>
        </w:rPr>
      </w:pPr>
    </w:p>
    <w:p>
      <w:pPr>
        <w:ind w:right="320"/>
        <w:spacing w:after="0" w:line="313" w:lineRule="auto"/>
        <w:rPr>
          <w:sz w:val="20"/>
          <w:szCs w:val="20"/>
          <w:color w:val="auto"/>
        </w:rPr>
      </w:pPr>
      <w:r>
        <w:rPr>
          <w:rFonts w:ascii="Arial" w:cs="Arial" w:eastAsia="Arial" w:hAnsi="Arial"/>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53"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Transmission of Notices, Reports and Proxy Soliciting Material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093" w:right="339" w:bottom="1440" w:gutter="0" w:footer="0" w:header="0"/>
        </w:sectPr>
      </w:pPr>
    </w:p>
    <w:bookmarkStart w:id="137" w:name="page138"/>
    <w:bookmarkEnd w:id="137"/>
    <w:p>
      <w:pPr>
        <w:spacing w:after="0" w:line="307" w:lineRule="auto"/>
        <w:rPr>
          <w:sz w:val="20"/>
          <w:szCs w:val="20"/>
          <w:color w:val="auto"/>
        </w:rPr>
      </w:pPr>
      <w:r>
        <w:rPr>
          <w:rFonts w:ascii="Arial" w:cs="Arial" w:eastAsia="Arial" w:hAnsi="Arial"/>
          <w:sz w:val="14"/>
          <w:szCs w:val="14"/>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Limitations on Obligations and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The deposit agreement limits our obligations and the depositary's obligations to you. Please note the following:</w:t>
      </w:r>
    </w:p>
    <w:p>
      <w:pPr>
        <w:spacing w:after="0" w:line="200" w:lineRule="exact"/>
        <w:rPr>
          <w:sz w:val="20"/>
          <w:szCs w:val="20"/>
          <w:color w:val="auto"/>
        </w:rPr>
      </w:pPr>
    </w:p>
    <w:p>
      <w:pPr>
        <w:spacing w:after="0" w:line="244" w:lineRule="exact"/>
        <w:rPr>
          <w:sz w:val="20"/>
          <w:szCs w:val="20"/>
          <w:color w:val="auto"/>
        </w:rPr>
      </w:pPr>
    </w:p>
    <w:p>
      <w:pPr>
        <w:ind w:left="1580" w:hanging="797"/>
        <w:spacing w:after="0"/>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are obligated only to take the actions specifically stated in the deposit agreement without negligence or bad faith.</w:t>
      </w:r>
    </w:p>
    <w:p>
      <w:pPr>
        <w:spacing w:after="0" w:line="263" w:lineRule="exact"/>
        <w:rPr>
          <w:rFonts w:ascii="Arial" w:cs="Arial" w:eastAsia="Arial" w:hAnsi="Arial"/>
          <w:sz w:val="14"/>
          <w:szCs w:val="14"/>
          <w:color w:val="auto"/>
        </w:rPr>
      </w:pPr>
    </w:p>
    <w:p>
      <w:pPr>
        <w:ind w:left="1580" w:right="1080" w:hanging="797"/>
        <w:spacing w:after="0" w:line="266"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37" w:lineRule="exact"/>
        <w:rPr>
          <w:rFonts w:ascii="Arial" w:cs="Arial" w:eastAsia="Arial" w:hAnsi="Arial"/>
          <w:sz w:val="14"/>
          <w:szCs w:val="14"/>
          <w:color w:val="auto"/>
        </w:rPr>
      </w:pPr>
    </w:p>
    <w:p>
      <w:pPr>
        <w:ind w:left="1580" w:right="1100" w:hanging="797"/>
        <w:spacing w:after="0" w:line="256"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44" w:lineRule="exact"/>
        <w:rPr>
          <w:rFonts w:ascii="Arial" w:cs="Arial" w:eastAsia="Arial" w:hAnsi="Arial"/>
          <w:sz w:val="14"/>
          <w:szCs w:val="14"/>
          <w:color w:val="auto"/>
        </w:rPr>
      </w:pPr>
    </w:p>
    <w:p>
      <w:pPr>
        <w:ind w:left="1580" w:hanging="797"/>
        <w:spacing w:after="0"/>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will not be obligated to perform any act that is inconsistent with the terms of the deposit agreement.</w:t>
      </w:r>
    </w:p>
    <w:p>
      <w:pPr>
        <w:spacing w:after="0" w:line="263" w:lineRule="exact"/>
        <w:rPr>
          <w:rFonts w:ascii="Arial" w:cs="Arial" w:eastAsia="Arial" w:hAnsi="Arial"/>
          <w:sz w:val="14"/>
          <w:szCs w:val="14"/>
          <w:color w:val="auto"/>
        </w:rPr>
      </w:pPr>
    </w:p>
    <w:p>
      <w:pPr>
        <w:ind w:left="1580" w:right="1160" w:hanging="797"/>
        <w:spacing w:after="0" w:line="256"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44" w:lineRule="exact"/>
        <w:rPr>
          <w:rFonts w:ascii="Arial" w:cs="Arial" w:eastAsia="Arial" w:hAnsi="Arial"/>
          <w:sz w:val="14"/>
          <w:szCs w:val="14"/>
          <w:color w:val="auto"/>
        </w:rPr>
      </w:pPr>
    </w:p>
    <w:p>
      <w:pPr>
        <w:ind w:left="1580" w:right="1160" w:hanging="797"/>
        <w:spacing w:after="0" w:line="266"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237" w:lineRule="exact"/>
        <w:rPr>
          <w:rFonts w:ascii="Arial" w:cs="Arial" w:eastAsia="Arial" w:hAnsi="Arial"/>
          <w:sz w:val="14"/>
          <w:szCs w:val="14"/>
          <w:color w:val="auto"/>
        </w:rPr>
      </w:pPr>
    </w:p>
    <w:p>
      <w:pPr>
        <w:ind w:left="1580" w:right="1140" w:hanging="797"/>
        <w:spacing w:after="0" w:line="259"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42" w:lineRule="exact"/>
        <w:rPr>
          <w:rFonts w:ascii="Arial" w:cs="Arial" w:eastAsia="Arial" w:hAnsi="Arial"/>
          <w:sz w:val="14"/>
          <w:szCs w:val="14"/>
          <w:color w:val="auto"/>
        </w:rPr>
      </w:pPr>
    </w:p>
    <w:p>
      <w:pPr>
        <w:ind w:left="1580" w:right="1100" w:hanging="797"/>
        <w:spacing w:after="0" w:line="266" w:lineRule="auto"/>
        <w:tabs>
          <w:tab w:leader="none" w:pos="1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00"/>
          </w:cols>
          <w:pgMar w:left="300" w:top="1094" w:right="399" w:bottom="1440" w:gutter="0" w:footer="0" w:header="0"/>
        </w:sectPr>
      </w:pPr>
    </w:p>
    <w:bookmarkStart w:id="138" w:name="page139"/>
    <w:bookmarkEnd w:id="138"/>
    <w:p>
      <w:pPr>
        <w:ind w:left="1580" w:right="1360" w:hanging="797"/>
        <w:spacing w:after="0" w:line="266" w:lineRule="auto"/>
        <w:tabs>
          <w:tab w:leader="none" w:pos="1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and the depositary may rely without any liability upon any written notice, request or other document believed to be genuine and to have been signed or presented by the proper parties.</w:t>
      </w:r>
    </w:p>
    <w:p>
      <w:pPr>
        <w:spacing w:after="0" w:line="237" w:lineRule="exact"/>
        <w:rPr>
          <w:rFonts w:ascii="Arial" w:cs="Arial" w:eastAsia="Arial" w:hAnsi="Arial"/>
          <w:sz w:val="14"/>
          <w:szCs w:val="14"/>
          <w:color w:val="auto"/>
        </w:rPr>
      </w:pPr>
    </w:p>
    <w:p>
      <w:pPr>
        <w:ind w:left="1580" w:right="1640" w:hanging="797"/>
        <w:spacing w:after="0" w:line="266" w:lineRule="auto"/>
        <w:tabs>
          <w:tab w:leader="none" w:pos="1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and the depositary also disclaim liability for any consequential or punitive damages for any breach of the terms of the deposit agreement.</w:t>
      </w:r>
    </w:p>
    <w:p>
      <w:pPr>
        <w:spacing w:after="0" w:line="237" w:lineRule="exact"/>
        <w:rPr>
          <w:rFonts w:ascii="Arial" w:cs="Arial" w:eastAsia="Arial" w:hAnsi="Arial"/>
          <w:sz w:val="14"/>
          <w:szCs w:val="14"/>
          <w:color w:val="auto"/>
        </w:rPr>
      </w:pPr>
    </w:p>
    <w:p>
      <w:pPr>
        <w:ind w:left="1580" w:hanging="797"/>
        <w:spacing w:after="0"/>
        <w:tabs>
          <w:tab w:leader="none" w:pos="1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disclaimer of any Securities Act liability is intended by any provision of the deposit agreement.</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Pre-Release Transactions</w:t>
      </w:r>
    </w:p>
    <w:p>
      <w:pPr>
        <w:spacing w:after="0" w:line="228"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Taxes</w:t>
      </w:r>
    </w:p>
    <w:p>
      <w:pPr>
        <w:spacing w:after="0" w:line="228" w:lineRule="exact"/>
        <w:rPr>
          <w:sz w:val="20"/>
          <w:szCs w:val="20"/>
          <w:color w:val="auto"/>
        </w:rPr>
      </w:pPr>
    </w:p>
    <w:p>
      <w:pPr>
        <w:ind w:right="80"/>
        <w:spacing w:after="0" w:line="307" w:lineRule="auto"/>
        <w:rPr>
          <w:sz w:val="20"/>
          <w:szCs w:val="20"/>
          <w:color w:val="auto"/>
        </w:rPr>
      </w:pPr>
      <w:r>
        <w:rPr>
          <w:rFonts w:ascii="Arial" w:cs="Arial" w:eastAsia="Arial" w:hAnsi="Arial"/>
          <w:sz w:val="14"/>
          <w:szCs w:val="14"/>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57" w:lineRule="exact"/>
        <w:rPr>
          <w:sz w:val="20"/>
          <w:szCs w:val="20"/>
          <w:color w:val="auto"/>
        </w:rPr>
      </w:pPr>
    </w:p>
    <w:p>
      <w:pPr>
        <w:ind w:right="280"/>
        <w:spacing w:after="0" w:line="303" w:lineRule="auto"/>
        <w:rPr>
          <w:sz w:val="20"/>
          <w:szCs w:val="20"/>
          <w:color w:val="auto"/>
        </w:rPr>
      </w:pPr>
      <w:r>
        <w:rPr>
          <w:rFonts w:ascii="Arial" w:cs="Arial" w:eastAsia="Arial" w:hAnsi="Arial"/>
          <w:sz w:val="14"/>
          <w:szCs w:val="14"/>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Conversion</w:t>
      </w:r>
    </w:p>
    <w:p>
      <w:pPr>
        <w:spacing w:after="0" w:line="228"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57" w:lineRule="exact"/>
        <w:rPr>
          <w:sz w:val="20"/>
          <w:szCs w:val="20"/>
          <w:color w:val="auto"/>
        </w:rPr>
      </w:pPr>
    </w:p>
    <w:p>
      <w:pPr>
        <w:ind w:right="460"/>
        <w:spacing w:after="0" w:line="313" w:lineRule="auto"/>
        <w:rPr>
          <w:sz w:val="20"/>
          <w:szCs w:val="20"/>
          <w:color w:val="auto"/>
        </w:rPr>
      </w:pPr>
      <w:r>
        <w:rPr>
          <w:rFonts w:ascii="Arial" w:cs="Arial" w:eastAsia="Arial" w:hAnsi="Arial"/>
          <w:sz w:val="14"/>
          <w:szCs w:val="14"/>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260"/>
          </w:cols>
          <w:pgMar w:left="300" w:top="1157" w:right="339" w:bottom="1440" w:gutter="0" w:footer="0" w:header="0"/>
        </w:sectPr>
      </w:pPr>
    </w:p>
    <w:bookmarkStart w:id="139" w:name="page140"/>
    <w:bookmarkEnd w:id="139"/>
    <w:p>
      <w:pPr>
        <w:ind w:left="1540" w:right="1420" w:hanging="757"/>
        <w:spacing w:after="0" w:line="266" w:lineRule="auto"/>
        <w:tabs>
          <w:tab w:leader="none" w:pos="1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Convert the foreign currency to the extent practical and lawful and distribute the U.S. dollars to the holders for whom the conversion and distribution is lawful and practical.</w:t>
      </w:r>
    </w:p>
    <w:p>
      <w:pPr>
        <w:spacing w:after="0" w:line="237" w:lineRule="exact"/>
        <w:rPr>
          <w:rFonts w:ascii="Arial" w:cs="Arial" w:eastAsia="Arial" w:hAnsi="Arial"/>
          <w:sz w:val="14"/>
          <w:szCs w:val="14"/>
          <w:color w:val="auto"/>
        </w:rPr>
      </w:pPr>
    </w:p>
    <w:p>
      <w:pPr>
        <w:ind w:left="1540" w:hanging="757"/>
        <w:spacing w:after="0"/>
        <w:tabs>
          <w:tab w:leader="none" w:pos="1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Distribute the foreign currency to holders for whom the distribution is lawful and practical.</w:t>
      </w:r>
    </w:p>
    <w:p>
      <w:pPr>
        <w:spacing w:after="0" w:line="263" w:lineRule="exact"/>
        <w:rPr>
          <w:rFonts w:ascii="Arial" w:cs="Arial" w:eastAsia="Arial" w:hAnsi="Arial"/>
          <w:sz w:val="14"/>
          <w:szCs w:val="14"/>
          <w:color w:val="auto"/>
        </w:rPr>
      </w:pPr>
    </w:p>
    <w:p>
      <w:pPr>
        <w:ind w:left="1540" w:hanging="757"/>
        <w:spacing w:after="0"/>
        <w:tabs>
          <w:tab w:leader="none" w:pos="1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Hold the foreign currency (without liability for interest) for the applicable holders.</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Governing Law/Waiver of Jury Trial</w:t>
      </w:r>
    </w:p>
    <w:p>
      <w:pPr>
        <w:spacing w:after="0" w:line="228" w:lineRule="exact"/>
        <w:rPr>
          <w:sz w:val="20"/>
          <w:szCs w:val="20"/>
          <w:color w:val="auto"/>
        </w:rPr>
      </w:pPr>
    </w:p>
    <w:p>
      <w:pPr>
        <w:ind w:right="120"/>
        <w:spacing w:after="0" w:line="313" w:lineRule="auto"/>
        <w:rPr>
          <w:sz w:val="20"/>
          <w:szCs w:val="20"/>
          <w:color w:val="auto"/>
        </w:rPr>
      </w:pPr>
      <w:r>
        <w:rPr>
          <w:rFonts w:ascii="Arial" w:cs="Arial" w:eastAsia="Arial" w:hAnsi="Arial"/>
          <w:sz w:val="14"/>
          <w:szCs w:val="14"/>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53"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auto"/>
        </w:rPr>
        <w:t>|US-DOCS\121028032.3||</w:t>
      </w:r>
    </w:p>
    <w:p>
      <w:pPr>
        <w:sectPr>
          <w:pgSz w:w="11900" w:h="16838" w:orient="portrait"/>
          <w:cols w:equalWidth="0" w:num="1">
            <w:col w:w="11180"/>
          </w:cols>
          <w:pgMar w:left="300" w:top="1157" w:right="419" w:bottom="1440" w:gutter="0" w:footer="0" w:header="0"/>
        </w:sectPr>
      </w:pPr>
    </w:p>
    <w:bookmarkStart w:id="140" w:name="page141"/>
    <w:bookmarkEnd w:id="140"/>
    <w:p>
      <w:pPr>
        <w:ind w:left="2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1367790" cy="666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367790" cy="666750"/>
                    </a:xfrm>
                    <a:prstGeom prst="rect">
                      <a:avLst/>
                    </a:prstGeom>
                    <a:noFill/>
                  </pic:spPr>
                </pic:pic>
              </a:graphicData>
            </a:graphic>
          </wp:anchor>
        </w:drawing>
        <w:t>DRAFT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AND CONFIDENTIAL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35" w:lineRule="auto"/>
        <w:rPr>
          <w:sz w:val="20"/>
          <w:szCs w:val="20"/>
          <w:color w:val="auto"/>
        </w:rPr>
      </w:pPr>
      <w:r>
        <w:rPr>
          <w:rFonts w:ascii="Arial" w:cs="Arial" w:eastAsia="Arial" w:hAnsi="Arial"/>
          <w:sz w:val="16"/>
          <w:szCs w:val="16"/>
          <w:color w:val="auto"/>
        </w:rPr>
        <w:t>[Address]</w:t>
      </w:r>
    </w:p>
    <w:p>
      <w:pPr>
        <w:jc w:val="right"/>
        <w:spacing w:after="0"/>
        <w:rPr>
          <w:sz w:val="20"/>
          <w:szCs w:val="20"/>
          <w:color w:val="auto"/>
        </w:rPr>
      </w:pPr>
      <w:r>
        <w:rPr>
          <w:rFonts w:ascii="Arial" w:cs="Arial" w:eastAsia="Arial" w:hAnsi="Arial"/>
          <w:sz w:val="16"/>
          <w:szCs w:val="16"/>
          <w:color w:val="auto"/>
        </w:rPr>
        <w:t>[Date]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Dear [Name],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 of appointment as a non-executive director</w:t>
      </w:r>
    </w:p>
    <w:p>
      <w:pPr>
        <w:spacing w:after="0" w:line="16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On behalf of the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of Verona Pharma plc (“</w:t>
      </w:r>
      <w:r>
        <w:rPr>
          <w:rFonts w:ascii="Arial" w:cs="Arial" w:eastAsia="Arial" w:hAnsi="Arial"/>
          <w:sz w:val="16"/>
          <w:szCs w:val="16"/>
          <w:b w:val="1"/>
          <w:bCs w:val="1"/>
          <w:color w:val="auto"/>
        </w:rPr>
        <w:t>Company”</w:t>
      </w:r>
      <w:r>
        <w:rPr>
          <w:rFonts w:ascii="Arial" w:cs="Arial" w:eastAsia="Arial" w:hAnsi="Arial"/>
          <w:sz w:val="16"/>
          <w:szCs w:val="16"/>
          <w:color w:val="auto"/>
        </w:rPr>
        <w:t>), it is with pleasure that I confirm your appointment as a non-executive director of the Company, with effect from [Date] (“</w:t>
      </w:r>
      <w:r>
        <w:rPr>
          <w:rFonts w:ascii="Arial" w:cs="Arial" w:eastAsia="Arial" w:hAnsi="Arial"/>
          <w:sz w:val="16"/>
          <w:szCs w:val="16"/>
          <w:b w:val="1"/>
          <w:bCs w:val="1"/>
          <w:color w:val="auto"/>
        </w:rPr>
        <w:t>Effective Date</w:t>
      </w:r>
      <w:r>
        <w:rPr>
          <w:rFonts w:ascii="Arial" w:cs="Arial" w:eastAsia="Arial" w:hAnsi="Arial"/>
          <w:sz w:val="16"/>
          <w:szCs w:val="16"/>
          <w:color w:val="auto"/>
        </w:rPr>
        <w:t>”) and to set out your duties, terms of appointment and remuneration.</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210" w:lineRule="exact"/>
        <w:rPr>
          <w:sz w:val="20"/>
          <w:szCs w:val="20"/>
          <w:color w:val="auto"/>
        </w:rPr>
      </w:pPr>
    </w:p>
    <w:p>
      <w:pPr>
        <w:ind w:left="520" w:hanging="515"/>
        <w:spacing w:after="0"/>
        <w:tabs>
          <w:tab w:leader="none" w:pos="52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w:t>
      </w:r>
    </w:p>
    <w:p>
      <w:pPr>
        <w:spacing w:after="0" w:line="205" w:lineRule="exact"/>
        <w:rPr>
          <w:sz w:val="20"/>
          <w:szCs w:val="20"/>
          <w:color w:val="auto"/>
        </w:rPr>
      </w:pPr>
    </w:p>
    <w:p>
      <w:pPr>
        <w:ind w:left="360" w:hanging="355"/>
        <w:spacing w:after="0"/>
        <w:tabs>
          <w:tab w:leader="none" w:pos="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remaining provisions of this letter, your appointment shall commence on the Effective Date and shall continue subject to:</w:t>
      </w:r>
    </w:p>
    <w:p>
      <w:pPr>
        <w:spacing w:after="0" w:line="81" w:lineRule="exact"/>
        <w:rPr>
          <w:rFonts w:ascii="Arial" w:cs="Arial" w:eastAsia="Arial" w:hAnsi="Arial"/>
          <w:sz w:val="16"/>
          <w:szCs w:val="16"/>
          <w:color w:val="auto"/>
        </w:rPr>
      </w:pPr>
    </w:p>
    <w:p>
      <w:pPr>
        <w:ind w:left="1100" w:hanging="523"/>
        <w:spacing w:after="0" w:line="239" w:lineRule="auto"/>
        <w:tabs>
          <w:tab w:leader="none" w:pos="11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your election or re-election at the Company’s annual general meetings at which you are standing for election or re-election and otherwise to the provisions of the Company’s articles of association, as amended from time to time (“</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79" w:lineRule="exact"/>
        <w:rPr>
          <w:rFonts w:ascii="Arial" w:cs="Arial" w:eastAsia="Arial" w:hAnsi="Arial"/>
          <w:sz w:val="16"/>
          <w:szCs w:val="16"/>
          <w:color w:val="auto"/>
        </w:rPr>
      </w:pPr>
    </w:p>
    <w:p>
      <w:pPr>
        <w:ind w:left="1100" w:hanging="559"/>
        <w:spacing w:after="0"/>
        <w:tabs>
          <w:tab w:leader="none" w:pos="11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prior termination, which shall be at the discretion of either party upon three months’ written notice; and</w:t>
      </w:r>
    </w:p>
    <w:p>
      <w:pPr>
        <w:spacing w:after="0" w:line="81" w:lineRule="exact"/>
        <w:rPr>
          <w:rFonts w:ascii="Arial" w:cs="Arial" w:eastAsia="Arial" w:hAnsi="Arial"/>
          <w:sz w:val="16"/>
          <w:szCs w:val="16"/>
          <w:color w:val="auto"/>
        </w:rPr>
      </w:pPr>
    </w:p>
    <w:p>
      <w:pPr>
        <w:ind w:left="1100" w:hanging="595"/>
        <w:spacing w:after="0"/>
        <w:tabs>
          <w:tab w:leader="none" w:pos="11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prior termination at any time without notice in accordance with the provisions of paragraph 1.3 below.</w:t>
      </w:r>
    </w:p>
    <w:p>
      <w:pPr>
        <w:spacing w:after="0" w:line="197" w:lineRule="exact"/>
        <w:rPr>
          <w:rFonts w:ascii="Arial" w:cs="Arial" w:eastAsia="Arial" w:hAnsi="Arial"/>
          <w:sz w:val="16"/>
          <w:szCs w:val="16"/>
          <w:color w:val="auto"/>
        </w:rPr>
      </w:pPr>
    </w:p>
    <w:p>
      <w:pPr>
        <w:ind w:left="520" w:hanging="515"/>
        <w:spacing w:after="0" w:line="238" w:lineRule="auto"/>
        <w:tabs>
          <w:tab w:leader="none" w:pos="3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You may be required to serve on one or more Board committees from time to time, and will be provided with the relevant terms of reference on your appointment to such committees. With effect from the Effective Date, you will serve on the Nominations and Corporate Governance Committee. You also may be asked to serve as a non-executive director on the board of any of the Company's subsidiaries.</w:t>
      </w:r>
    </w:p>
    <w:p>
      <w:pPr>
        <w:spacing w:after="0" w:line="195" w:lineRule="exact"/>
        <w:rPr>
          <w:rFonts w:ascii="Arial" w:cs="Arial" w:eastAsia="Arial" w:hAnsi="Arial"/>
          <w:sz w:val="16"/>
          <w:szCs w:val="16"/>
          <w:color w:val="auto"/>
        </w:rPr>
      </w:pPr>
    </w:p>
    <w:p>
      <w:pPr>
        <w:ind w:left="360" w:hanging="355"/>
        <w:spacing w:after="0"/>
        <w:tabs>
          <w:tab w:leader="none" w:pos="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Notwithstanding paragraph 1.1 above, the Company may terminate your appointment with immediate effect if you have:</w:t>
      </w:r>
    </w:p>
    <w:p>
      <w:pPr>
        <w:spacing w:after="0" w:line="81" w:lineRule="exact"/>
        <w:rPr>
          <w:rFonts w:ascii="Arial" w:cs="Arial" w:eastAsia="Arial" w:hAnsi="Arial"/>
          <w:sz w:val="16"/>
          <w:szCs w:val="16"/>
          <w:color w:val="auto"/>
        </w:rPr>
      </w:pPr>
    </w:p>
    <w:p>
      <w:pPr>
        <w:ind w:left="1100" w:hanging="523"/>
        <w:spacing w:after="0"/>
        <w:tabs>
          <w:tab w:leader="none" w:pos="11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committed a material breach of your obligations under this letter;</w:t>
      </w:r>
    </w:p>
    <w:p>
      <w:pPr>
        <w:spacing w:after="0" w:line="81" w:lineRule="exact"/>
        <w:rPr>
          <w:rFonts w:ascii="Arial" w:cs="Arial" w:eastAsia="Arial" w:hAnsi="Arial"/>
          <w:sz w:val="16"/>
          <w:szCs w:val="16"/>
          <w:color w:val="auto"/>
        </w:rPr>
      </w:pPr>
    </w:p>
    <w:p>
      <w:pPr>
        <w:ind w:left="1100" w:hanging="559"/>
        <w:spacing w:after="0" w:line="239" w:lineRule="auto"/>
        <w:tabs>
          <w:tab w:leader="none" w:pos="1099" w:val="left"/>
        </w:tabs>
        <w:numPr>
          <w:ilvl w:val="1"/>
          <w:numId w:val="63"/>
        </w:numPr>
        <w:rPr>
          <w:rFonts w:ascii="Arial" w:cs="Arial" w:eastAsia="Arial" w:hAnsi="Arial"/>
          <w:sz w:val="16"/>
          <w:szCs w:val="16"/>
          <w:color w:val="auto"/>
        </w:rPr>
      </w:pPr>
      <w:r>
        <w:rPr>
          <w:rFonts w:ascii="Arial" w:cs="Arial" w:eastAsia="Arial" w:hAnsi="Arial"/>
          <w:sz w:val="16"/>
          <w:szCs w:val="16"/>
          <w:color w:val="auto"/>
        </w:rPr>
        <w:t>been found guilty of fraud, gross misconduct and/or any serious or persistent negligence or misconduct in respect of your obligations under this letter, or otherwise in respect of your fiduciary duties owed to the Company;</w:t>
      </w:r>
    </w:p>
    <w:p>
      <w:pPr>
        <w:sectPr>
          <w:pgSz w:w="11900" w:h="16838" w:orient="portrait"/>
          <w:cols w:equalWidth="0" w:num="1">
            <w:col w:w="11280"/>
          </w:cols>
          <w:pgMar w:left="300" w:top="109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Registered office: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0"/>
          <w:szCs w:val="10"/>
          <w:color w:val="auto"/>
        </w:rPr>
        <w:t>One Central Square,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Cardiff CF10 1FS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0"/>
          <w:szCs w:val="10"/>
          <w:color w:val="auto"/>
        </w:rPr>
        <w:t>United Kingdom</w:t>
      </w:r>
    </w:p>
    <w:p>
      <w:pPr>
        <w:spacing w:after="0" w:line="2" w:lineRule="exact"/>
        <w:rPr>
          <w:sz w:val="20"/>
          <w:szCs w:val="20"/>
          <w:color w:val="auto"/>
        </w:rPr>
      </w:pPr>
    </w:p>
    <w:p>
      <w:pPr>
        <w:ind w:left="20"/>
        <w:spacing w:after="0"/>
        <w:rPr>
          <w:sz w:val="20"/>
          <w:szCs w:val="20"/>
          <w:color w:val="auto"/>
        </w:rPr>
      </w:pPr>
      <w:r>
        <w:rPr>
          <w:rFonts w:ascii="Arial" w:cs="Arial" w:eastAsia="Arial" w:hAnsi="Arial"/>
          <w:sz w:val="9"/>
          <w:szCs w:val="9"/>
          <w:color w:val="auto"/>
        </w:rPr>
        <w:t>Company number 5375156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Principal office:</w:t>
      </w:r>
    </w:p>
    <w:p>
      <w:pPr>
        <w:spacing w:after="0" w:line="2" w:lineRule="exact"/>
        <w:rPr>
          <w:sz w:val="20"/>
          <w:szCs w:val="20"/>
          <w:color w:val="auto"/>
        </w:rPr>
      </w:pPr>
    </w:p>
    <w:p>
      <w:pPr>
        <w:spacing w:after="0"/>
        <w:rPr>
          <w:sz w:val="20"/>
          <w:szCs w:val="20"/>
          <w:color w:val="auto"/>
        </w:rPr>
      </w:pPr>
      <w:r>
        <w:rPr>
          <w:rFonts w:ascii="Arial" w:cs="Arial" w:eastAsia="Arial" w:hAnsi="Arial"/>
          <w:sz w:val="9"/>
          <w:szCs w:val="9"/>
          <w:color w:val="auto"/>
        </w:rPr>
        <w:t>3 More London Riverside</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London SE1 2RE</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United Kingdom</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T: +44 (0) 20 3283 4200</w:t>
      </w:r>
    </w:p>
    <w:p>
      <w:pPr>
        <w:sectPr>
          <w:pgSz w:w="11900" w:h="16838" w:orient="portrait"/>
          <w:cols w:equalWidth="0" w:num="2">
            <w:col w:w="8220" w:space="720"/>
            <w:col w:w="2340"/>
          </w:cols>
          <w:pgMar w:left="300" w:top="1091" w:right="319" w:bottom="1440" w:gutter="0" w:footer="0" w:header="0"/>
          <w:type w:val="continuous"/>
        </w:sectPr>
      </w:pPr>
    </w:p>
    <w:bookmarkStart w:id="141" w:name="page142"/>
    <w:bookmarkEnd w:id="141"/>
    <w:p>
      <w:pPr>
        <w:spacing w:after="0" w:line="200" w:lineRule="exact"/>
        <w:rPr>
          <w:sz w:val="20"/>
          <w:szCs w:val="20"/>
          <w:color w:val="auto"/>
        </w:rPr>
      </w:pPr>
    </w:p>
    <w:p>
      <w:pPr>
        <w:spacing w:after="0" w:line="226" w:lineRule="exact"/>
        <w:rPr>
          <w:sz w:val="20"/>
          <w:szCs w:val="20"/>
          <w:color w:val="auto"/>
        </w:rPr>
      </w:pPr>
    </w:p>
    <w:p>
      <w:pPr>
        <w:ind w:left="1095" w:hanging="468"/>
        <w:spacing w:after="0" w:line="239" w:lineRule="auto"/>
        <w:tabs>
          <w:tab w:leader="none" w:pos="1090" w:val="left"/>
        </w:tabs>
        <w:numPr>
          <w:ilvl w:val="1"/>
          <w:numId w:val="64"/>
        </w:numPr>
        <w:rPr>
          <w:rFonts w:ascii="Arial" w:cs="Arial" w:eastAsia="Arial" w:hAnsi="Arial"/>
          <w:sz w:val="16"/>
          <w:szCs w:val="16"/>
          <w:color w:val="auto"/>
        </w:rPr>
      </w:pPr>
      <w:r>
        <w:rPr>
          <w:rFonts w:ascii="Arial" w:cs="Arial" w:eastAsia="Arial" w:hAnsi="Arial"/>
          <w:sz w:val="16"/>
          <w:szCs w:val="16"/>
          <w:color w:val="auto"/>
        </w:rPr>
        <w:t>committed any serious or repeated breach or non-observance of your obligations to the Company (which include an obligation not to breach your statutory, fiduciary or common-law duties);</w:t>
      </w:r>
    </w:p>
    <w:p>
      <w:pPr>
        <w:spacing w:after="0" w:line="79" w:lineRule="exact"/>
        <w:rPr>
          <w:rFonts w:ascii="Arial" w:cs="Arial" w:eastAsia="Arial" w:hAnsi="Arial"/>
          <w:sz w:val="16"/>
          <w:szCs w:val="16"/>
          <w:color w:val="auto"/>
        </w:rPr>
      </w:pPr>
    </w:p>
    <w:p>
      <w:pPr>
        <w:ind w:left="1095" w:hanging="504"/>
        <w:spacing w:after="0" w:line="239" w:lineRule="auto"/>
        <w:tabs>
          <w:tab w:leader="none" w:pos="10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been guilty of any fraud or dishonesty or acted in any manner which, in the Company's opinion, brings or is likely to bring you or the Company into disrepute or is materially adverse to the Company's interests;</w:t>
      </w:r>
    </w:p>
    <w:p>
      <w:pPr>
        <w:spacing w:after="0" w:line="79" w:lineRule="exact"/>
        <w:rPr>
          <w:rFonts w:ascii="Arial" w:cs="Arial" w:eastAsia="Arial" w:hAnsi="Arial"/>
          <w:sz w:val="16"/>
          <w:szCs w:val="16"/>
          <w:color w:val="auto"/>
        </w:rPr>
      </w:pPr>
    </w:p>
    <w:p>
      <w:pPr>
        <w:ind w:left="1095" w:hanging="540"/>
        <w:spacing w:after="0" w:line="239" w:lineRule="auto"/>
        <w:tabs>
          <w:tab w:leader="none" w:pos="1087" w:val="left"/>
        </w:tabs>
        <w:numPr>
          <w:ilvl w:val="1"/>
          <w:numId w:val="64"/>
        </w:numPr>
        <w:rPr>
          <w:rFonts w:ascii="Arial" w:cs="Arial" w:eastAsia="Arial" w:hAnsi="Arial"/>
          <w:sz w:val="16"/>
          <w:szCs w:val="16"/>
          <w:color w:val="auto"/>
        </w:rPr>
      </w:pPr>
      <w:r>
        <w:rPr>
          <w:rFonts w:ascii="Arial" w:cs="Arial" w:eastAsia="Arial" w:hAnsi="Arial"/>
          <w:sz w:val="16"/>
          <w:szCs w:val="16"/>
          <w:color w:val="auto"/>
        </w:rPr>
        <w:t>been convicted of an arrestable criminal offence other than a road traffic offence for which a fine or non-custodial penalty is imposed (including if you are convicted of the criminal offence of insider dealing under the Criminal Justice Act 1993 or any similar conviction in the United States);</w:t>
      </w:r>
    </w:p>
    <w:p>
      <w:pPr>
        <w:spacing w:after="0" w:line="79" w:lineRule="exact"/>
        <w:rPr>
          <w:rFonts w:ascii="Arial" w:cs="Arial" w:eastAsia="Arial" w:hAnsi="Arial"/>
          <w:sz w:val="16"/>
          <w:szCs w:val="16"/>
          <w:color w:val="auto"/>
        </w:rPr>
      </w:pPr>
    </w:p>
    <w:p>
      <w:pPr>
        <w:ind w:left="1095" w:hanging="538"/>
        <w:spacing w:after="0" w:line="239" w:lineRule="auto"/>
        <w:tabs>
          <w:tab w:leader="none" w:pos="1086" w:val="left"/>
        </w:tabs>
        <w:numPr>
          <w:ilvl w:val="1"/>
          <w:numId w:val="64"/>
        </w:numPr>
        <w:rPr>
          <w:rFonts w:ascii="Arial" w:cs="Arial" w:eastAsia="Arial" w:hAnsi="Arial"/>
          <w:sz w:val="16"/>
          <w:szCs w:val="16"/>
          <w:color w:val="auto"/>
        </w:rPr>
      </w:pPr>
      <w:r>
        <w:rPr>
          <w:rFonts w:ascii="Arial" w:cs="Arial" w:eastAsia="Arial" w:hAnsi="Arial"/>
          <w:sz w:val="16"/>
          <w:szCs w:val="16"/>
          <w:color w:val="auto"/>
        </w:rPr>
        <w:t>been declared bankrupt or have made an arrangement with or for the benefit of your creditors, or if you are the subject of insolvency or similar proceedings, whether in a state or federal court, or any jurisdiction;</w:t>
      </w:r>
    </w:p>
    <w:p>
      <w:pPr>
        <w:spacing w:after="0" w:line="79" w:lineRule="exact"/>
        <w:rPr>
          <w:rFonts w:ascii="Arial" w:cs="Arial" w:eastAsia="Arial" w:hAnsi="Arial"/>
          <w:sz w:val="16"/>
          <w:szCs w:val="16"/>
          <w:color w:val="auto"/>
        </w:rPr>
      </w:pPr>
    </w:p>
    <w:p>
      <w:pPr>
        <w:ind w:left="1095" w:hanging="503"/>
        <w:spacing w:after="0"/>
        <w:tabs>
          <w:tab w:leader="none" w:pos="10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been disqualified from acting as a director for any reason; or</w:t>
      </w:r>
    </w:p>
    <w:p>
      <w:pPr>
        <w:spacing w:after="0" w:line="81" w:lineRule="exact"/>
        <w:rPr>
          <w:rFonts w:ascii="Arial" w:cs="Arial" w:eastAsia="Arial" w:hAnsi="Arial"/>
          <w:sz w:val="16"/>
          <w:szCs w:val="16"/>
          <w:color w:val="auto"/>
        </w:rPr>
      </w:pPr>
    </w:p>
    <w:p>
      <w:pPr>
        <w:ind w:left="1095" w:hanging="538"/>
        <w:spacing w:after="0" w:line="239" w:lineRule="auto"/>
        <w:tabs>
          <w:tab w:leader="none" w:pos="1097"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not complied with the Company’s Code of Business Conduct and Ethics, as amended from time to time, available on Verona Pharma’s website at </w:t>
      </w:r>
      <w:r>
        <w:rPr>
          <w:rFonts w:ascii="Arial" w:cs="Arial" w:eastAsia="Arial" w:hAnsi="Arial"/>
          <w:sz w:val="16"/>
          <w:szCs w:val="16"/>
          <w:u w:val="single" w:color="auto"/>
          <w:color w:val="0000FF"/>
        </w:rPr>
        <w:t>www.veronapharma.com</w:t>
      </w:r>
      <w:r>
        <w:rPr>
          <w:rFonts w:ascii="Arial" w:cs="Arial" w:eastAsia="Arial" w:hAnsi="Arial"/>
          <w:sz w:val="16"/>
          <w:szCs w:val="16"/>
          <w:color w:val="000000"/>
        </w:rPr>
        <w:t>.</w:t>
      </w:r>
    </w:p>
    <w:p>
      <w:pPr>
        <w:spacing w:after="0" w:line="185" w:lineRule="exact"/>
        <w:rPr>
          <w:rFonts w:ascii="Arial" w:cs="Arial" w:eastAsia="Arial" w:hAnsi="Arial"/>
          <w:sz w:val="16"/>
          <w:szCs w:val="16"/>
          <w:color w:val="auto"/>
        </w:rPr>
      </w:pPr>
    </w:p>
    <w:p>
      <w:pPr>
        <w:jc w:val="both"/>
        <w:ind w:left="515" w:hanging="515"/>
        <w:spacing w:after="0" w:line="237" w:lineRule="auto"/>
        <w:tabs>
          <w:tab w:leader="none" w:pos="5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termination of your appointment, you shall, at the Company's request, resign from your office as non-executive director of the Company and any offices you hold in any of the Company's group companies without any claim for compensation or damages. If you fail to resign, you irrevocably appoint any member of the Board as your attorney in your name and on your behalf to sign any documents and take such other steps as are necessary to give effect to those resignations.</w:t>
      </w:r>
    </w:p>
    <w:p>
      <w:pPr>
        <w:spacing w:after="0" w:line="196" w:lineRule="exact"/>
        <w:rPr>
          <w:rFonts w:ascii="Arial" w:cs="Arial" w:eastAsia="Arial" w:hAnsi="Arial"/>
          <w:sz w:val="16"/>
          <w:szCs w:val="16"/>
          <w:color w:val="auto"/>
        </w:rPr>
      </w:pPr>
    </w:p>
    <w:p>
      <w:pPr>
        <w:ind w:left="515" w:hanging="515"/>
        <w:spacing w:after="0"/>
        <w:tabs>
          <w:tab w:leader="none" w:pos="5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matters arise which cause you concern about your role, you should discuss these matters with the chairperson of the Board.</w:t>
      </w:r>
    </w:p>
    <w:p>
      <w:pPr>
        <w:spacing w:after="0" w:line="201" w:lineRule="exact"/>
        <w:rPr>
          <w:sz w:val="20"/>
          <w:szCs w:val="20"/>
          <w:color w:val="auto"/>
        </w:rPr>
      </w:pPr>
    </w:p>
    <w:p>
      <w:pPr>
        <w:ind w:left="515" w:hanging="515"/>
        <w:spacing w:after="0"/>
        <w:tabs>
          <w:tab w:leader="none" w:pos="51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Time commitment</w:t>
      </w:r>
    </w:p>
    <w:p>
      <w:pPr>
        <w:spacing w:after="0" w:line="216" w:lineRule="exact"/>
        <w:rPr>
          <w:sz w:val="20"/>
          <w:szCs w:val="20"/>
          <w:color w:val="auto"/>
        </w:rPr>
      </w:pPr>
    </w:p>
    <w:p>
      <w:pPr>
        <w:jc w:val="both"/>
        <w:ind w:left="515" w:hanging="515"/>
        <w:spacing w:after="0" w:line="238" w:lineRule="auto"/>
        <w:tabs>
          <w:tab w:leader="none" w:pos="5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You will be expected to devote such time as is necessary for the proper performance of your duties. We envisage that, on average, you will spend a minimum of two days a month on work for the Company, recognising however that particular events may from time to time require you to devote to the Company more time than this.</w:t>
      </w:r>
    </w:p>
    <w:p>
      <w:pPr>
        <w:spacing w:after="0" w:line="168" w:lineRule="exact"/>
        <w:rPr>
          <w:rFonts w:ascii="Arial" w:cs="Arial" w:eastAsia="Arial" w:hAnsi="Arial"/>
          <w:sz w:val="16"/>
          <w:szCs w:val="16"/>
          <w:color w:val="auto"/>
        </w:rPr>
      </w:pPr>
    </w:p>
    <w:p>
      <w:pPr>
        <w:jc w:val="both"/>
        <w:ind w:left="515" w:hanging="515"/>
        <w:spacing w:after="0" w:line="247" w:lineRule="auto"/>
        <w:tabs>
          <w:tab w:leader="none" w:pos="51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You will be expected to attend scheduled and </w:t>
      </w:r>
      <w:r>
        <w:rPr>
          <w:rFonts w:ascii="Arial" w:cs="Arial" w:eastAsia="Arial" w:hAnsi="Arial"/>
          <w:sz w:val="16"/>
          <w:szCs w:val="16"/>
          <w:i w:val="1"/>
          <w:iCs w:val="1"/>
          <w:color w:val="auto"/>
        </w:rPr>
        <w:t>ad hoc</w:t>
      </w:r>
      <w:r>
        <w:rPr>
          <w:rFonts w:ascii="Arial" w:cs="Arial" w:eastAsia="Arial" w:hAnsi="Arial"/>
          <w:sz w:val="16"/>
          <w:szCs w:val="16"/>
          <w:color w:val="auto"/>
        </w:rPr>
        <w:t xml:space="preserve"> Board meetings, the annual general meeting, Board strategic planning sessions, meetings with the chairperson, the chief executive officer and other directors and meetings with major shareholders. Board meetings normally take place in London, but some meetings may be held in the US or by electronic means, as required.</w:t>
      </w:r>
    </w:p>
    <w:p>
      <w:pPr>
        <w:spacing w:after="0" w:line="190" w:lineRule="exact"/>
        <w:rPr>
          <w:rFonts w:ascii="Arial" w:cs="Arial" w:eastAsia="Arial" w:hAnsi="Arial"/>
          <w:sz w:val="16"/>
          <w:szCs w:val="16"/>
          <w:color w:val="auto"/>
        </w:rPr>
      </w:pPr>
    </w:p>
    <w:p>
      <w:pPr>
        <w:ind w:left="515" w:hanging="515"/>
        <w:spacing w:after="0" w:line="239" w:lineRule="auto"/>
        <w:tabs>
          <w:tab w:leader="none" w:pos="53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By accepting this appointment, you confirm that, taking into account all of your other commitments, you are able to allocate sufficient time to the Company to discharge your responsibilities effectively.</w:t>
      </w:r>
    </w:p>
    <w:p>
      <w:pPr>
        <w:sectPr>
          <w:pgSz w:w="11900" w:h="16838" w:orient="portrait"/>
          <w:cols w:equalWidth="0" w:num="1">
            <w:col w:w="11275"/>
          </w:cols>
          <w:pgMar w:left="305" w:top="1440" w:right="31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5" w:hanging="515"/>
        <w:spacing w:after="0"/>
        <w:tabs>
          <w:tab w:leader="none" w:pos="515"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Role and duties</w:t>
      </w:r>
    </w:p>
    <w:p>
      <w:pPr>
        <w:spacing w:after="0" w:line="216" w:lineRule="exact"/>
        <w:rPr>
          <w:sz w:val="20"/>
          <w:szCs w:val="20"/>
          <w:color w:val="auto"/>
        </w:rPr>
      </w:pPr>
    </w:p>
    <w:p>
      <w:pPr>
        <w:ind w:left="515" w:hanging="515"/>
        <w:spacing w:after="0"/>
        <w:tabs>
          <w:tab w:leader="none" w:pos="5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Board as a whole is collectively responsible for the success of the Company. The Board's role is to:</w:t>
      </w:r>
    </w:p>
    <w:p>
      <w:pPr>
        <w:spacing w:after="0" w:line="81" w:lineRule="exact"/>
        <w:rPr>
          <w:rFonts w:ascii="Arial" w:cs="Arial" w:eastAsia="Arial" w:hAnsi="Arial"/>
          <w:sz w:val="16"/>
          <w:szCs w:val="16"/>
          <w:color w:val="auto"/>
        </w:rPr>
      </w:pPr>
    </w:p>
    <w:p>
      <w:pPr>
        <w:ind w:left="1095" w:hanging="468"/>
        <w:spacing w:after="0" w:line="239" w:lineRule="auto"/>
        <w:tabs>
          <w:tab w:leader="none" w:pos="1090" w:val="left"/>
        </w:tabs>
        <w:numPr>
          <w:ilvl w:val="1"/>
          <w:numId w:val="69"/>
        </w:numPr>
        <w:rPr>
          <w:rFonts w:ascii="Arial" w:cs="Arial" w:eastAsia="Arial" w:hAnsi="Arial"/>
          <w:sz w:val="16"/>
          <w:szCs w:val="16"/>
          <w:color w:val="auto"/>
        </w:rPr>
      </w:pPr>
      <w:r>
        <w:rPr>
          <w:rFonts w:ascii="Arial" w:cs="Arial" w:eastAsia="Arial" w:hAnsi="Arial"/>
          <w:sz w:val="16"/>
          <w:szCs w:val="16"/>
          <w:color w:val="auto"/>
        </w:rPr>
        <w:t>provide entrepreneurial leadership of the Company within a framework of prudent and effective controls which enable risk to be assessed and managed;</w:t>
      </w:r>
    </w:p>
    <w:p>
      <w:pPr>
        <w:spacing w:after="0" w:line="79" w:lineRule="exact"/>
        <w:rPr>
          <w:rFonts w:ascii="Arial" w:cs="Arial" w:eastAsia="Arial" w:hAnsi="Arial"/>
          <w:sz w:val="16"/>
          <w:szCs w:val="16"/>
          <w:color w:val="auto"/>
        </w:rPr>
      </w:pPr>
    </w:p>
    <w:p>
      <w:pPr>
        <w:ind w:left="1095" w:hanging="504"/>
        <w:spacing w:after="0" w:line="239" w:lineRule="auto"/>
        <w:tabs>
          <w:tab w:leader="none" w:pos="1089" w:val="left"/>
        </w:tabs>
        <w:numPr>
          <w:ilvl w:val="1"/>
          <w:numId w:val="69"/>
        </w:numPr>
        <w:rPr>
          <w:rFonts w:ascii="Arial" w:cs="Arial" w:eastAsia="Arial" w:hAnsi="Arial"/>
          <w:sz w:val="16"/>
          <w:szCs w:val="16"/>
          <w:color w:val="auto"/>
        </w:rPr>
      </w:pPr>
      <w:r>
        <w:rPr>
          <w:rFonts w:ascii="Arial" w:cs="Arial" w:eastAsia="Arial" w:hAnsi="Arial"/>
          <w:sz w:val="16"/>
          <w:szCs w:val="16"/>
          <w:color w:val="auto"/>
        </w:rPr>
        <w:t>set the Company’s strategic aims, ensure that the necessary financial and human resources are in place for the Company to meet its objectives, and review management performance; and</w:t>
      </w:r>
    </w:p>
    <w:p>
      <w:pPr>
        <w:spacing w:after="0" w:line="79" w:lineRule="exact"/>
        <w:rPr>
          <w:rFonts w:ascii="Arial" w:cs="Arial" w:eastAsia="Arial" w:hAnsi="Arial"/>
          <w:sz w:val="16"/>
          <w:szCs w:val="16"/>
          <w:color w:val="auto"/>
        </w:rPr>
      </w:pPr>
    </w:p>
    <w:p>
      <w:pPr>
        <w:ind w:left="1095" w:hanging="540"/>
        <w:spacing w:after="0"/>
        <w:tabs>
          <w:tab w:leader="none" w:pos="1095" w:val="left"/>
        </w:tabs>
        <w:numPr>
          <w:ilvl w:val="1"/>
          <w:numId w:val="69"/>
        </w:numPr>
        <w:rPr>
          <w:rFonts w:ascii="Arial" w:cs="Arial" w:eastAsia="Arial" w:hAnsi="Arial"/>
          <w:sz w:val="16"/>
          <w:szCs w:val="16"/>
          <w:color w:val="auto"/>
        </w:rPr>
      </w:pPr>
      <w:r>
        <w:rPr>
          <w:rFonts w:ascii="Arial" w:cs="Arial" w:eastAsia="Arial" w:hAnsi="Arial"/>
          <w:sz w:val="16"/>
          <w:szCs w:val="16"/>
          <w:color w:val="auto"/>
        </w:rPr>
        <w:t>set the Company’s values and standards and ensure that its obligations to its shareholders and others are understood and met.</w:t>
      </w:r>
    </w:p>
    <w:p>
      <w:pPr>
        <w:spacing w:after="0" w:line="81" w:lineRule="exact"/>
        <w:rPr>
          <w:sz w:val="20"/>
          <w:szCs w:val="20"/>
          <w:color w:val="auto"/>
        </w:rPr>
      </w:pPr>
    </w:p>
    <w:p>
      <w:pPr>
        <w:ind w:left="515"/>
        <w:spacing w:after="0"/>
        <w:rPr>
          <w:sz w:val="20"/>
          <w:szCs w:val="20"/>
          <w:color w:val="auto"/>
        </w:rPr>
      </w:pPr>
      <w:r>
        <w:rPr>
          <w:rFonts w:ascii="Arial" w:cs="Arial" w:eastAsia="Arial" w:hAnsi="Arial"/>
          <w:sz w:val="16"/>
          <w:szCs w:val="16"/>
          <w:color w:val="auto"/>
        </w:rPr>
        <w:t>All directors must take decisions objectively in the interests of the Company.</w:t>
      </w:r>
    </w:p>
    <w:p>
      <w:pPr>
        <w:spacing w:after="0" w:line="187" w:lineRule="exact"/>
        <w:rPr>
          <w:sz w:val="20"/>
          <w:szCs w:val="20"/>
          <w:color w:val="auto"/>
        </w:rPr>
      </w:pPr>
    </w:p>
    <w:p>
      <w:pPr>
        <w:jc w:val="both"/>
        <w:ind w:left="515" w:hanging="515"/>
        <w:spacing w:after="0" w:line="238" w:lineRule="auto"/>
        <w:tabs>
          <w:tab w:leader="none" w:pos="5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195" w:lineRule="exact"/>
        <w:rPr>
          <w:rFonts w:ascii="Arial" w:cs="Arial" w:eastAsia="Arial" w:hAnsi="Arial"/>
          <w:sz w:val="16"/>
          <w:szCs w:val="16"/>
          <w:color w:val="auto"/>
        </w:rPr>
      </w:pPr>
    </w:p>
    <w:p>
      <w:pPr>
        <w:ind w:left="515" w:hanging="515"/>
        <w:spacing w:after="0" w:line="239" w:lineRule="auto"/>
        <w:tabs>
          <w:tab w:leader="none" w:pos="530" w:val="left"/>
        </w:tabs>
        <w:numPr>
          <w:ilvl w:val="0"/>
          <w:numId w:val="70"/>
        </w:numPr>
        <w:rPr>
          <w:rFonts w:ascii="Arial" w:cs="Arial" w:eastAsia="Arial" w:hAnsi="Arial"/>
          <w:sz w:val="16"/>
          <w:szCs w:val="16"/>
          <w:color w:val="auto"/>
        </w:rPr>
      </w:pPr>
      <w:r>
        <w:rPr>
          <w:rFonts w:ascii="Arial" w:cs="Arial" w:eastAsia="Arial" w:hAnsi="Arial"/>
          <w:sz w:val="16"/>
          <w:szCs w:val="16"/>
          <w:color w:val="auto"/>
        </w:rPr>
        <w:t>You shall exercise your powers in your role as a non-executive director having regard to relevant obligations under prevailing law and regulation, including the Companies Act 2006 and the relevant rules and requirements of the US Securities and Exchange Commission and of Nasdaq.</w:t>
      </w:r>
    </w:p>
    <w:p>
      <w:pPr>
        <w:spacing w:after="0" w:line="185" w:lineRule="exact"/>
        <w:rPr>
          <w:rFonts w:ascii="Arial" w:cs="Arial" w:eastAsia="Arial" w:hAnsi="Arial"/>
          <w:sz w:val="16"/>
          <w:szCs w:val="16"/>
          <w:color w:val="auto"/>
        </w:rPr>
      </w:pPr>
    </w:p>
    <w:p>
      <w:pPr>
        <w:jc w:val="both"/>
        <w:ind w:left="515" w:hanging="515"/>
        <w:spacing w:after="0" w:line="238" w:lineRule="auto"/>
        <w:tabs>
          <w:tab w:leader="none" w:pos="5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You shall have particular regard to the general duties of directors in the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89" w:lineRule="exact"/>
        <w:rPr>
          <w:rFonts w:ascii="Arial" w:cs="Arial" w:eastAsia="Arial" w:hAnsi="Arial"/>
          <w:sz w:val="16"/>
          <w:szCs w:val="16"/>
          <w:color w:val="auto"/>
        </w:rPr>
      </w:pPr>
    </w:p>
    <w:p>
      <w:pPr>
        <w:ind w:left="1095" w:hanging="468"/>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likely consequences of any decision in the long term;</w:t>
      </w:r>
    </w:p>
    <w:p>
      <w:pPr>
        <w:spacing w:after="0" w:line="102" w:lineRule="exact"/>
        <w:rPr>
          <w:rFonts w:ascii="Arial" w:cs="Arial" w:eastAsia="Arial" w:hAnsi="Arial"/>
          <w:sz w:val="16"/>
          <w:szCs w:val="16"/>
          <w:color w:val="auto"/>
        </w:rPr>
      </w:pPr>
    </w:p>
    <w:p>
      <w:pPr>
        <w:ind w:left="1095" w:hanging="504"/>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interests of the Company’s employees;</w:t>
      </w:r>
    </w:p>
    <w:p>
      <w:pPr>
        <w:spacing w:after="0" w:line="102" w:lineRule="exact"/>
        <w:rPr>
          <w:rFonts w:ascii="Arial" w:cs="Arial" w:eastAsia="Arial" w:hAnsi="Arial"/>
          <w:sz w:val="16"/>
          <w:szCs w:val="16"/>
          <w:color w:val="auto"/>
        </w:rPr>
      </w:pPr>
    </w:p>
    <w:p>
      <w:pPr>
        <w:ind w:left="1095" w:hanging="540"/>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need to foster the Company’s business relationships with suppliers, customers and others;</w:t>
      </w:r>
    </w:p>
    <w:p>
      <w:pPr>
        <w:spacing w:after="0" w:line="102" w:lineRule="exact"/>
        <w:rPr>
          <w:rFonts w:ascii="Arial" w:cs="Arial" w:eastAsia="Arial" w:hAnsi="Arial"/>
          <w:sz w:val="16"/>
          <w:szCs w:val="16"/>
          <w:color w:val="auto"/>
        </w:rPr>
      </w:pPr>
    </w:p>
    <w:p>
      <w:pPr>
        <w:ind w:left="1095" w:hanging="538"/>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impact of the Company’s operations on the community and the environment;</w:t>
      </w:r>
    </w:p>
    <w:p>
      <w:pPr>
        <w:spacing w:after="0" w:line="102" w:lineRule="exact"/>
        <w:rPr>
          <w:rFonts w:ascii="Arial" w:cs="Arial" w:eastAsia="Arial" w:hAnsi="Arial"/>
          <w:sz w:val="16"/>
          <w:szCs w:val="16"/>
          <w:color w:val="auto"/>
        </w:rPr>
      </w:pPr>
    </w:p>
    <w:p>
      <w:pPr>
        <w:ind w:left="1095" w:hanging="503"/>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desirability of the Company maintaining a reputation for high standards of business conduct; and</w:t>
      </w:r>
    </w:p>
    <w:p>
      <w:pPr>
        <w:spacing w:after="0" w:line="102" w:lineRule="exact"/>
        <w:rPr>
          <w:rFonts w:ascii="Arial" w:cs="Arial" w:eastAsia="Arial" w:hAnsi="Arial"/>
          <w:sz w:val="16"/>
          <w:szCs w:val="16"/>
          <w:color w:val="auto"/>
        </w:rPr>
      </w:pPr>
    </w:p>
    <w:p>
      <w:pPr>
        <w:ind w:left="1095" w:hanging="538"/>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need to act fairly as between the members of the Company.</w:t>
      </w:r>
    </w:p>
    <w:p>
      <w:pPr>
        <w:spacing w:after="0" w:line="208" w:lineRule="exact"/>
        <w:rPr>
          <w:rFonts w:ascii="Arial" w:cs="Arial" w:eastAsia="Arial" w:hAnsi="Arial"/>
          <w:sz w:val="16"/>
          <w:szCs w:val="16"/>
          <w:color w:val="auto"/>
        </w:rPr>
      </w:pPr>
    </w:p>
    <w:p>
      <w:pPr>
        <w:ind w:left="515" w:hanging="515"/>
        <w:spacing w:after="0"/>
        <w:tabs>
          <w:tab w:leader="none" w:pos="5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your role as a non-executive director, you shall also be required to:</w:t>
      </w:r>
    </w:p>
    <w:p>
      <w:pPr>
        <w:spacing w:after="0" w:line="81" w:lineRule="exact"/>
        <w:rPr>
          <w:rFonts w:ascii="Arial" w:cs="Arial" w:eastAsia="Arial" w:hAnsi="Arial"/>
          <w:sz w:val="16"/>
          <w:szCs w:val="16"/>
          <w:color w:val="auto"/>
        </w:rPr>
      </w:pPr>
    </w:p>
    <w:p>
      <w:pPr>
        <w:ind w:left="1095" w:hanging="468"/>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constructively challenge and help develop proposals on strategy;</w:t>
      </w:r>
    </w:p>
    <w:p>
      <w:pPr>
        <w:spacing w:after="0" w:line="81" w:lineRule="exact"/>
        <w:rPr>
          <w:rFonts w:ascii="Arial" w:cs="Arial" w:eastAsia="Arial" w:hAnsi="Arial"/>
          <w:sz w:val="16"/>
          <w:szCs w:val="16"/>
          <w:color w:val="auto"/>
        </w:rPr>
      </w:pPr>
    </w:p>
    <w:p>
      <w:pPr>
        <w:ind w:left="1095" w:hanging="504"/>
        <w:spacing w:after="0"/>
        <w:tabs>
          <w:tab w:leader="none" w:pos="1095" w:val="left"/>
        </w:tabs>
        <w:numPr>
          <w:ilvl w:val="1"/>
          <w:numId w:val="70"/>
        </w:numPr>
        <w:rPr>
          <w:rFonts w:ascii="Arial" w:cs="Arial" w:eastAsia="Arial" w:hAnsi="Arial"/>
          <w:sz w:val="16"/>
          <w:szCs w:val="16"/>
          <w:color w:val="auto"/>
        </w:rPr>
      </w:pPr>
      <w:r>
        <w:rPr>
          <w:rFonts w:ascii="Arial" w:cs="Arial" w:eastAsia="Arial" w:hAnsi="Arial"/>
          <w:sz w:val="16"/>
          <w:szCs w:val="16"/>
          <w:color w:val="auto"/>
        </w:rPr>
        <w:t>scrutinise the performance of management in meeting agreed goals and objectives and monitor the reporting of performance;</w:t>
      </w:r>
    </w:p>
    <w:p>
      <w:pPr>
        <w:sectPr>
          <w:pgSz w:w="11900" w:h="16838" w:orient="portrait"/>
          <w:cols w:equalWidth="0" w:num="1">
            <w:col w:w="11275"/>
          </w:cols>
          <w:pgMar w:left="305" w:top="1440" w:right="319" w:bottom="1440" w:gutter="0" w:footer="0" w:header="0"/>
        </w:sectPr>
      </w:pPr>
    </w:p>
    <w:bookmarkStart w:id="143" w:name="page144"/>
    <w:bookmarkEnd w:id="143"/>
    <w:p>
      <w:pPr>
        <w:spacing w:after="0" w:line="200" w:lineRule="exact"/>
        <w:rPr>
          <w:sz w:val="20"/>
          <w:szCs w:val="20"/>
          <w:color w:val="auto"/>
        </w:rPr>
      </w:pPr>
    </w:p>
    <w:p>
      <w:pPr>
        <w:spacing w:after="0" w:line="226" w:lineRule="exact"/>
        <w:rPr>
          <w:sz w:val="20"/>
          <w:szCs w:val="20"/>
          <w:color w:val="auto"/>
        </w:rPr>
      </w:pPr>
    </w:p>
    <w:p>
      <w:pPr>
        <w:ind w:left="1095" w:hanging="540"/>
        <w:spacing w:after="0"/>
        <w:tabs>
          <w:tab w:leader="none" w:pos="10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satisfy yourself on the integrity of financial information and that financial controls and systems of risk management are robust and defensible;</w:t>
      </w:r>
    </w:p>
    <w:p>
      <w:pPr>
        <w:spacing w:after="0" w:line="81" w:lineRule="exact"/>
        <w:rPr>
          <w:rFonts w:ascii="Arial" w:cs="Arial" w:eastAsia="Arial" w:hAnsi="Arial"/>
          <w:sz w:val="16"/>
          <w:szCs w:val="16"/>
          <w:color w:val="auto"/>
        </w:rPr>
      </w:pPr>
    </w:p>
    <w:p>
      <w:pPr>
        <w:ind w:left="1095" w:hanging="538"/>
        <w:spacing w:after="0" w:line="239" w:lineRule="auto"/>
        <w:tabs>
          <w:tab w:leader="none" w:pos="10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be responsible for determining appropriate levels of remuneration of executive directors and have a prime role in appointing and, where necessary, removing senior management and in succession planning;</w:t>
      </w:r>
    </w:p>
    <w:p>
      <w:pPr>
        <w:spacing w:after="0" w:line="79" w:lineRule="exact"/>
        <w:rPr>
          <w:rFonts w:ascii="Arial" w:cs="Arial" w:eastAsia="Arial" w:hAnsi="Arial"/>
          <w:sz w:val="16"/>
          <w:szCs w:val="16"/>
          <w:color w:val="auto"/>
        </w:rPr>
      </w:pPr>
    </w:p>
    <w:p>
      <w:pPr>
        <w:ind w:left="1095" w:hanging="503"/>
        <w:spacing w:after="0" w:line="239" w:lineRule="auto"/>
        <w:tabs>
          <w:tab w:leader="none" w:pos="1087"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uphold high standards of integrity and probity and support the executive directors in instilling the appropriate culture, values and behaviours in the boardroom and beyond;</w:t>
      </w:r>
    </w:p>
    <w:p>
      <w:pPr>
        <w:spacing w:after="0" w:line="79" w:lineRule="exact"/>
        <w:rPr>
          <w:rFonts w:ascii="Arial" w:cs="Arial" w:eastAsia="Arial" w:hAnsi="Arial"/>
          <w:sz w:val="16"/>
          <w:szCs w:val="16"/>
          <w:color w:val="auto"/>
        </w:rPr>
      </w:pPr>
    </w:p>
    <w:p>
      <w:pPr>
        <w:ind w:left="1095" w:hanging="538"/>
        <w:spacing w:after="0"/>
        <w:tabs>
          <w:tab w:leader="none" w:pos="10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take into account the views of shareholders and other stakeholders where appropriate;</w:t>
      </w:r>
    </w:p>
    <w:p>
      <w:pPr>
        <w:spacing w:after="0" w:line="81" w:lineRule="exact"/>
        <w:rPr>
          <w:rFonts w:ascii="Arial" w:cs="Arial" w:eastAsia="Arial" w:hAnsi="Arial"/>
          <w:sz w:val="16"/>
          <w:szCs w:val="16"/>
          <w:color w:val="auto"/>
        </w:rPr>
      </w:pPr>
    </w:p>
    <w:p>
      <w:pPr>
        <w:ind w:left="1095" w:hanging="574"/>
        <w:spacing w:after="0"/>
        <w:tabs>
          <w:tab w:leader="none" w:pos="10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make sufficient time available to discharge your responsibilities effectively;</w:t>
      </w:r>
    </w:p>
    <w:p>
      <w:pPr>
        <w:spacing w:after="0" w:line="81" w:lineRule="exact"/>
        <w:rPr>
          <w:rFonts w:ascii="Arial" w:cs="Arial" w:eastAsia="Arial" w:hAnsi="Arial"/>
          <w:sz w:val="16"/>
          <w:szCs w:val="16"/>
          <w:color w:val="auto"/>
        </w:rPr>
      </w:pPr>
    </w:p>
    <w:p>
      <w:pPr>
        <w:ind w:left="1095" w:hanging="610"/>
        <w:spacing w:after="0"/>
        <w:tabs>
          <w:tab w:leader="none" w:pos="10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exercise relevant powers under, and abide by, the Articles;</w:t>
      </w:r>
    </w:p>
    <w:p>
      <w:pPr>
        <w:spacing w:after="0" w:line="81" w:lineRule="exact"/>
        <w:rPr>
          <w:rFonts w:ascii="Arial" w:cs="Arial" w:eastAsia="Arial" w:hAnsi="Arial"/>
          <w:sz w:val="16"/>
          <w:szCs w:val="16"/>
          <w:color w:val="auto"/>
        </w:rPr>
      </w:pPr>
    </w:p>
    <w:p>
      <w:pPr>
        <w:jc w:val="both"/>
        <w:ind w:left="1095" w:hanging="536"/>
        <w:spacing w:after="0" w:line="238" w:lineRule="auto"/>
        <w:tabs>
          <w:tab w:leader="none" w:pos="11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78" w:lineRule="exact"/>
        <w:rPr>
          <w:rFonts w:ascii="Arial" w:cs="Arial" w:eastAsia="Arial" w:hAnsi="Arial"/>
          <w:sz w:val="16"/>
          <w:szCs w:val="16"/>
          <w:color w:val="auto"/>
        </w:rPr>
      </w:pPr>
    </w:p>
    <w:p>
      <w:pPr>
        <w:ind w:left="1095" w:hanging="500"/>
        <w:spacing w:after="0" w:line="239" w:lineRule="auto"/>
        <w:tabs>
          <w:tab w:leader="none" w:pos="1101" w:val="left"/>
        </w:tabs>
        <w:numPr>
          <w:ilvl w:val="2"/>
          <w:numId w:val="71"/>
        </w:numPr>
        <w:rPr>
          <w:rFonts w:ascii="Arial" w:cs="Arial" w:eastAsia="Arial" w:hAnsi="Arial"/>
          <w:sz w:val="16"/>
          <w:szCs w:val="16"/>
          <w:color w:val="auto"/>
        </w:rPr>
      </w:pPr>
      <w:r>
        <w:rPr>
          <w:rFonts w:ascii="Arial" w:cs="Arial" w:eastAsia="Arial" w:hAnsi="Arial"/>
          <w:sz w:val="16"/>
          <w:szCs w:val="16"/>
          <w:color w:val="auto"/>
        </w:rPr>
        <w:t>immediately report your own wrongdoing or the wrongdoing or proposed wrongdoing of any employee of other director of the Company of which you become aware to the chairperson;</w:t>
      </w:r>
    </w:p>
    <w:p>
      <w:pPr>
        <w:spacing w:after="0" w:line="79" w:lineRule="exact"/>
        <w:rPr>
          <w:rFonts w:ascii="Arial" w:cs="Arial" w:eastAsia="Arial" w:hAnsi="Arial"/>
          <w:sz w:val="16"/>
          <w:szCs w:val="16"/>
          <w:color w:val="auto"/>
        </w:rPr>
      </w:pPr>
    </w:p>
    <w:p>
      <w:pPr>
        <w:ind w:left="1095" w:hanging="536"/>
        <w:spacing w:after="0" w:line="239" w:lineRule="auto"/>
        <w:tabs>
          <w:tab w:leader="none" w:pos="11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exercise your powers as a director in accordance with the Company's policies and procedures, including but not limited to the Company’s Code of Business Conduct and Ethics; and</w:t>
      </w:r>
    </w:p>
    <w:p>
      <w:pPr>
        <w:spacing w:after="0" w:line="79" w:lineRule="exact"/>
        <w:rPr>
          <w:rFonts w:ascii="Arial" w:cs="Arial" w:eastAsia="Arial" w:hAnsi="Arial"/>
          <w:sz w:val="16"/>
          <w:szCs w:val="16"/>
          <w:color w:val="auto"/>
        </w:rPr>
      </w:pPr>
    </w:p>
    <w:p>
      <w:pPr>
        <w:ind w:left="1115" w:hanging="591"/>
        <w:spacing w:after="0"/>
        <w:tabs>
          <w:tab w:leader="none" w:pos="1115" w:val="left"/>
        </w:tabs>
        <w:numPr>
          <w:ilvl w:val="2"/>
          <w:numId w:val="71"/>
        </w:numPr>
        <w:rPr>
          <w:rFonts w:ascii="Arial" w:cs="Arial" w:eastAsia="Arial" w:hAnsi="Arial"/>
          <w:sz w:val="16"/>
          <w:szCs w:val="16"/>
          <w:color w:val="auto"/>
        </w:rPr>
      </w:pPr>
      <w:r>
        <w:rPr>
          <w:rFonts w:ascii="Arial" w:cs="Arial" w:eastAsia="Arial" w:hAnsi="Arial"/>
          <w:sz w:val="16"/>
          <w:szCs w:val="16"/>
          <w:color w:val="auto"/>
        </w:rPr>
        <w:t>not do anything that would cause you to be disqualified from acting as a director.</w:t>
      </w:r>
    </w:p>
    <w:p>
      <w:pPr>
        <w:spacing w:after="0" w:line="187" w:lineRule="exact"/>
        <w:rPr>
          <w:rFonts w:ascii="Arial" w:cs="Arial" w:eastAsia="Arial" w:hAnsi="Arial"/>
          <w:sz w:val="16"/>
          <w:szCs w:val="16"/>
          <w:color w:val="auto"/>
        </w:rPr>
      </w:pPr>
    </w:p>
    <w:p>
      <w:pPr>
        <w:ind w:left="495" w:hanging="495"/>
        <w:spacing w:after="0"/>
        <w:tabs>
          <w:tab w:leader="none" w:pos="4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97" w:lineRule="exact"/>
        <w:rPr>
          <w:rFonts w:ascii="Arial" w:cs="Arial" w:eastAsia="Arial" w:hAnsi="Arial"/>
          <w:sz w:val="16"/>
          <w:szCs w:val="16"/>
          <w:color w:val="auto"/>
        </w:rPr>
      </w:pPr>
    </w:p>
    <w:p>
      <w:pPr>
        <w:ind w:left="515" w:hanging="515"/>
        <w:spacing w:after="0" w:line="239" w:lineRule="auto"/>
        <w:tabs>
          <w:tab w:leader="none" w:pos="5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paragraph 7, you shall be entitled to request all relevant information about the Company's affairs as is reasonably necessary to enable you to discharge your duties as a non-executive director.</w:t>
      </w:r>
    </w:p>
    <w:p>
      <w:pPr>
        <w:spacing w:after="0" w:line="195" w:lineRule="exact"/>
        <w:rPr>
          <w:rFonts w:ascii="Arial" w:cs="Arial" w:eastAsia="Arial" w:hAnsi="Arial"/>
          <w:sz w:val="16"/>
          <w:szCs w:val="16"/>
          <w:color w:val="auto"/>
        </w:rPr>
      </w:pPr>
    </w:p>
    <w:p>
      <w:pPr>
        <w:ind w:left="515" w:hanging="515"/>
        <w:spacing w:after="0" w:line="239" w:lineRule="auto"/>
        <w:tabs>
          <w:tab w:leader="none" w:pos="517" w:val="left"/>
        </w:tabs>
        <w:numPr>
          <w:ilvl w:val="0"/>
          <w:numId w:val="72"/>
        </w:numPr>
        <w:rPr>
          <w:rFonts w:ascii="Arial" w:cs="Arial" w:eastAsia="Arial" w:hAnsi="Arial"/>
          <w:sz w:val="16"/>
          <w:szCs w:val="16"/>
          <w:color w:val="auto"/>
        </w:rPr>
      </w:pPr>
      <w:r>
        <w:rPr>
          <w:rFonts w:ascii="Arial" w:cs="Arial" w:eastAsia="Arial" w:hAnsi="Arial"/>
          <w:sz w:val="16"/>
          <w:szCs w:val="16"/>
          <w:color w:val="auto"/>
        </w:rPr>
        <w:t>You shall not, at any time after the termination of your appointment, either personally or by an agent, directly or indirectly represent yourself as being in any way connected with or interested in the business of the Company (except in your capacity as a shareholder, if applicable).</w:t>
      </w:r>
    </w:p>
    <w:p>
      <w:pPr>
        <w:spacing w:after="0" w:line="199" w:lineRule="exact"/>
        <w:rPr>
          <w:sz w:val="20"/>
          <w:szCs w:val="20"/>
          <w:color w:val="auto"/>
        </w:rPr>
      </w:pPr>
    </w:p>
    <w:p>
      <w:pPr>
        <w:ind w:left="515" w:hanging="515"/>
        <w:spacing w:after="0"/>
        <w:tabs>
          <w:tab w:leader="none" w:pos="515"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Fees and expenses</w:t>
      </w:r>
    </w:p>
    <w:p>
      <w:pPr>
        <w:spacing w:after="0" w:line="205" w:lineRule="exact"/>
        <w:rPr>
          <w:sz w:val="20"/>
          <w:szCs w:val="20"/>
          <w:color w:val="auto"/>
        </w:rPr>
      </w:pPr>
    </w:p>
    <w:p>
      <w:pPr>
        <w:jc w:val="both"/>
        <w:ind w:left="515" w:hanging="515"/>
        <w:spacing w:after="0" w:line="237" w:lineRule="auto"/>
        <w:tabs>
          <w:tab w:leader="none" w:pos="5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 effect from the Effective Date, you shall be paid a fee of £[amount] per annum for acting as a non-executive director and a fee of £[amount] per annum as a member of the Nominations and Corporate Governance Committee. The fees shall be paid monthly in arrears in equal instalments after deduction of any taxes and other amounts that are required by law. The fees will be subject to annual review by the Board, the first such review to take place with effect from January 1, [date].</w:t>
      </w:r>
    </w:p>
    <w:p>
      <w:pPr>
        <w:sectPr>
          <w:pgSz w:w="11900" w:h="16838" w:orient="portrait"/>
          <w:cols w:equalWidth="0" w:num="1">
            <w:col w:w="11275"/>
          </w:cols>
          <w:pgMar w:left="305" w:top="1440" w:right="31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15" w:hanging="515"/>
        <w:spacing w:after="0" w:line="238" w:lineRule="auto"/>
        <w:tabs>
          <w:tab w:leader="none" w:pos="51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reimburse you for all reasonable and properly documented expenses that you incur in performing your duties, including reimbursement of business class air travel, but on the basis that these will also be shared on a fair basis with other companies of which you are a non-executive director, consultant or employee, where appropriate.</w:t>
      </w:r>
    </w:p>
    <w:p>
      <w:pPr>
        <w:spacing w:after="0" w:line="195" w:lineRule="exact"/>
        <w:rPr>
          <w:rFonts w:ascii="Arial" w:cs="Arial" w:eastAsia="Arial" w:hAnsi="Arial"/>
          <w:sz w:val="16"/>
          <w:szCs w:val="16"/>
          <w:color w:val="auto"/>
        </w:rPr>
      </w:pPr>
    </w:p>
    <w:p>
      <w:pPr>
        <w:ind w:left="515" w:hanging="515"/>
        <w:spacing w:after="0"/>
        <w:tabs>
          <w:tab w:leader="none" w:pos="5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Additional work outside your normal non-executive director duties will be remunerated separately upon approval of the Board.</w:t>
      </w:r>
    </w:p>
    <w:p>
      <w:pPr>
        <w:spacing w:after="0" w:line="197" w:lineRule="exact"/>
        <w:rPr>
          <w:rFonts w:ascii="Arial" w:cs="Arial" w:eastAsia="Arial" w:hAnsi="Arial"/>
          <w:sz w:val="16"/>
          <w:szCs w:val="16"/>
          <w:color w:val="auto"/>
        </w:rPr>
      </w:pPr>
    </w:p>
    <w:p>
      <w:pPr>
        <w:ind w:left="515" w:hanging="515"/>
        <w:spacing w:after="0"/>
        <w:tabs>
          <w:tab w:leader="none" w:pos="5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You will be eligible to participate in the long term incentive plan of the Company, subject to the discretion of the Company’s Board of Directors.</w:t>
      </w:r>
    </w:p>
    <w:p>
      <w:pPr>
        <w:spacing w:after="0" w:line="201" w:lineRule="exact"/>
        <w:rPr>
          <w:sz w:val="20"/>
          <w:szCs w:val="20"/>
          <w:color w:val="auto"/>
        </w:rPr>
      </w:pPr>
    </w:p>
    <w:p>
      <w:pPr>
        <w:ind w:left="515" w:hanging="515"/>
        <w:spacing w:after="0"/>
        <w:tabs>
          <w:tab w:leader="none" w:pos="515"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professional advice</w:t>
      </w:r>
    </w:p>
    <w:p>
      <w:pPr>
        <w:spacing w:after="0" w:line="184" w:lineRule="exact"/>
        <w:rPr>
          <w:rFonts w:ascii="Arial" w:cs="Arial" w:eastAsia="Arial" w:hAnsi="Arial"/>
          <w:sz w:val="16"/>
          <w:szCs w:val="16"/>
          <w:b w:val="1"/>
          <w:bCs w:val="1"/>
          <w:color w:val="auto"/>
        </w:rPr>
      </w:pPr>
    </w:p>
    <w:p>
      <w:pPr>
        <w:jc w:val="both"/>
        <w:ind w:left="515"/>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In order to enable you to carry out your duties as a non-executive director you will, after consultation with the chief executive officer if that is practicable (and, if appropriate, jointly with any other non-executive directors whose interests are the same as yours), be entitled to seek advice from independent advisers at the Company’s expense.</w:t>
      </w:r>
    </w:p>
    <w:p>
      <w:pPr>
        <w:spacing w:after="0" w:line="198" w:lineRule="exact"/>
        <w:rPr>
          <w:rFonts w:ascii="Arial" w:cs="Arial" w:eastAsia="Arial" w:hAnsi="Arial"/>
          <w:sz w:val="16"/>
          <w:szCs w:val="16"/>
          <w:b w:val="1"/>
          <w:bCs w:val="1"/>
          <w:color w:val="auto"/>
        </w:rPr>
      </w:pPr>
    </w:p>
    <w:p>
      <w:pPr>
        <w:ind w:left="515" w:hanging="515"/>
        <w:spacing w:after="0"/>
        <w:tabs>
          <w:tab w:leader="none" w:pos="515"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Outside interests</w:t>
      </w:r>
    </w:p>
    <w:p>
      <w:pPr>
        <w:spacing w:after="0" w:line="216" w:lineRule="exact"/>
        <w:rPr>
          <w:sz w:val="20"/>
          <w:szCs w:val="20"/>
          <w:color w:val="auto"/>
        </w:rPr>
      </w:pPr>
    </w:p>
    <w:p>
      <w:pPr>
        <w:jc w:val="both"/>
        <w:ind w:left="515" w:hanging="515"/>
        <w:spacing w:after="0" w:line="237" w:lineRule="auto"/>
        <w:tabs>
          <w:tab w:leader="none" w:pos="528" w:val="left"/>
        </w:tabs>
        <w:numPr>
          <w:ilvl w:val="0"/>
          <w:numId w:val="77"/>
        </w:numPr>
        <w:rPr>
          <w:rFonts w:ascii="Arial" w:cs="Arial" w:eastAsia="Arial" w:hAnsi="Arial"/>
          <w:sz w:val="16"/>
          <w:szCs w:val="16"/>
          <w:color w:val="auto"/>
        </w:rPr>
      </w:pPr>
      <w:r>
        <w:rPr>
          <w:rFonts w:ascii="Arial" w:cs="Arial" w:eastAsia="Arial" w:hAnsi="Arial"/>
          <w:sz w:val="16"/>
          <w:szCs w:val="16"/>
          <w:color w:val="auto"/>
        </w:rPr>
        <w:t>It is accepted and acknowledged that you have business interests other than those of the Company. In the event that you become aware of any direct or indirect potential conflicts of interest, these should be promptly disclosed to the chief executive officer as soon as you become aware of them and you may have to seek the agreement of the Board. You will not vote on any resolutions of the Board or the Board committees, or on any matters, in each case where you have any direct or indirect conflict of interest, except as permitted by the Articles.</w:t>
      </w:r>
    </w:p>
    <w:p>
      <w:pPr>
        <w:spacing w:after="0" w:line="200" w:lineRule="exact"/>
        <w:rPr>
          <w:sz w:val="20"/>
          <w:szCs w:val="20"/>
          <w:color w:val="auto"/>
        </w:rPr>
      </w:pPr>
    </w:p>
    <w:p>
      <w:pPr>
        <w:ind w:left="515" w:hanging="515"/>
        <w:spacing w:after="0"/>
        <w:tabs>
          <w:tab w:leader="none" w:pos="515"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216" w:lineRule="exact"/>
        <w:rPr>
          <w:sz w:val="20"/>
          <w:szCs w:val="20"/>
          <w:color w:val="auto"/>
        </w:rPr>
      </w:pPr>
    </w:p>
    <w:p>
      <w:pPr>
        <w:jc w:val="both"/>
        <w:ind w:left="515" w:hanging="515"/>
        <w:spacing w:after="0" w:line="237" w:lineRule="auto"/>
        <w:tabs>
          <w:tab w:leader="none" w:pos="528" w:val="left"/>
        </w:tabs>
        <w:numPr>
          <w:ilvl w:val="0"/>
          <w:numId w:val="79"/>
        </w:numPr>
        <w:rPr>
          <w:rFonts w:ascii="Arial" w:cs="Arial" w:eastAsia="Arial" w:hAnsi="Arial"/>
          <w:sz w:val="16"/>
          <w:szCs w:val="16"/>
          <w:color w:val="auto"/>
        </w:rPr>
      </w:pPr>
      <w:r>
        <w:rPr>
          <w:rFonts w:ascii="Arial" w:cs="Arial" w:eastAsia="Arial" w:hAnsi="Arial"/>
          <w:sz w:val="16"/>
          <w:szCs w:val="16"/>
          <w:color w:val="auto"/>
        </w:rPr>
        <w:t>You acknowledge that all information acquired during your appointment is confidential to the Company and should not be released, communicated or disclosed to third parties, including shareholders of the Company, or used for any reason other than in the interests of the Company, either during your appointment or following termination (by whatever means), without prior clearance from the chief executive officer. This restriction shall cease to apply to any confidential information which may (other than by reason of your breach) become available to the public generally.</w:t>
      </w:r>
    </w:p>
    <w:p>
      <w:pPr>
        <w:spacing w:after="0" w:line="185" w:lineRule="exact"/>
        <w:rPr>
          <w:rFonts w:ascii="Arial" w:cs="Arial" w:eastAsia="Arial" w:hAnsi="Arial"/>
          <w:sz w:val="16"/>
          <w:szCs w:val="16"/>
          <w:color w:val="auto"/>
        </w:rPr>
      </w:pPr>
    </w:p>
    <w:p>
      <w:pPr>
        <w:ind w:left="515" w:hanging="515"/>
        <w:spacing w:after="0"/>
        <w:tabs>
          <w:tab w:leader="none" w:pos="5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You acknowledge the need to hold and retain Company information (in whatever format you may receive it) under appropriately secure conditions.</w:t>
      </w:r>
    </w:p>
    <w:p>
      <w:pPr>
        <w:spacing w:after="0" w:line="212" w:lineRule="exact"/>
        <w:rPr>
          <w:sz w:val="20"/>
          <w:szCs w:val="20"/>
          <w:color w:val="auto"/>
        </w:rPr>
      </w:pPr>
    </w:p>
    <w:p>
      <w:pPr>
        <w:ind w:left="515" w:hanging="515"/>
        <w:spacing w:after="0"/>
        <w:tabs>
          <w:tab w:leader="none" w:pos="515"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Inside information and dealing in the Company's shares</w:t>
      </w:r>
    </w:p>
    <w:p>
      <w:pPr>
        <w:spacing w:after="0" w:line="205" w:lineRule="exact"/>
        <w:rPr>
          <w:sz w:val="20"/>
          <w:szCs w:val="20"/>
          <w:color w:val="auto"/>
        </w:rPr>
      </w:pPr>
    </w:p>
    <w:p>
      <w:pPr>
        <w:ind w:left="515" w:hanging="515"/>
        <w:spacing w:after="0" w:line="239" w:lineRule="auto"/>
        <w:tabs>
          <w:tab w:leader="none" w:pos="528"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Your attention is drawn to the requirements under both law and regulation as to the disclosure of price-sensitive information. You should avoid making any statements that might risk a breach of these requirements in any circumstance whatsoever.</w:t>
      </w:r>
    </w:p>
    <w:p>
      <w:pPr>
        <w:sectPr>
          <w:pgSz w:w="11900" w:h="16838" w:orient="portrait"/>
          <w:cols w:equalWidth="0" w:num="1">
            <w:col w:w="11275"/>
          </w:cols>
          <w:pgMar w:left="305" w:top="1440" w:right="31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15" w:hanging="515"/>
        <w:spacing w:after="0" w:line="237" w:lineRule="auto"/>
        <w:tabs>
          <w:tab w:leader="none" w:pos="517" w:val="left"/>
        </w:tabs>
        <w:numPr>
          <w:ilvl w:val="0"/>
          <w:numId w:val="82"/>
        </w:numPr>
        <w:rPr>
          <w:rFonts w:ascii="Arial" w:cs="Arial" w:eastAsia="Arial" w:hAnsi="Arial"/>
          <w:sz w:val="16"/>
          <w:szCs w:val="16"/>
          <w:color w:val="auto"/>
        </w:rPr>
      </w:pPr>
      <w:r>
        <w:rPr>
          <w:rFonts w:ascii="Arial" w:cs="Arial" w:eastAsia="Arial" w:hAnsi="Arial"/>
          <w:sz w:val="16"/>
          <w:szCs w:val="16"/>
          <w:color w:val="auto"/>
        </w:rPr>
        <w:t>During your period of appointment you are required to comply with the provisions of the Company's Insider Trading Compliance Policy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Compliance Policy adopted by the Company will be provided to you separately.</w:t>
      </w:r>
    </w:p>
    <w:p>
      <w:pPr>
        <w:spacing w:after="0" w:line="210" w:lineRule="exact"/>
        <w:rPr>
          <w:sz w:val="20"/>
          <w:szCs w:val="20"/>
          <w:color w:val="auto"/>
        </w:rPr>
      </w:pPr>
    </w:p>
    <w:p>
      <w:pPr>
        <w:ind w:left="515" w:hanging="515"/>
        <w:spacing w:after="0"/>
        <w:tabs>
          <w:tab w:leader="none" w:pos="515"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and indemnity</w:t>
      </w:r>
    </w:p>
    <w:p>
      <w:pPr>
        <w:spacing w:after="0" w:line="205" w:lineRule="exact"/>
        <w:rPr>
          <w:rFonts w:ascii="Arial" w:cs="Arial" w:eastAsia="Arial" w:hAnsi="Arial"/>
          <w:sz w:val="16"/>
          <w:szCs w:val="16"/>
          <w:b w:val="1"/>
          <w:bCs w:val="1"/>
          <w:color w:val="auto"/>
        </w:rPr>
      </w:pPr>
    </w:p>
    <w:p>
      <w:pPr>
        <w:jc w:val="both"/>
        <w:ind w:left="515"/>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The Company shall maintain directors’ and officers’ liability insurance for your benefit during and after your appointment in respect of any matter occurring or alleged to have occurred while you are or were a director of the Company in such amount and on such terms considered reasonable by the Board. A copy of the policy document is available from the chief financial officer.</w:t>
      </w:r>
    </w:p>
    <w:p>
      <w:pPr>
        <w:spacing w:after="0" w:line="209" w:lineRule="exact"/>
        <w:rPr>
          <w:rFonts w:ascii="Arial" w:cs="Arial" w:eastAsia="Arial" w:hAnsi="Arial"/>
          <w:sz w:val="16"/>
          <w:szCs w:val="16"/>
          <w:b w:val="1"/>
          <w:bCs w:val="1"/>
          <w:color w:val="auto"/>
        </w:rPr>
      </w:pPr>
    </w:p>
    <w:p>
      <w:pPr>
        <w:ind w:left="515" w:hanging="515"/>
        <w:spacing w:after="0"/>
        <w:tabs>
          <w:tab w:leader="none" w:pos="515"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property</w:t>
      </w:r>
    </w:p>
    <w:p>
      <w:pPr>
        <w:spacing w:after="0" w:line="184" w:lineRule="exact"/>
        <w:rPr>
          <w:rFonts w:ascii="Arial" w:cs="Arial" w:eastAsia="Arial" w:hAnsi="Arial"/>
          <w:sz w:val="16"/>
          <w:szCs w:val="16"/>
          <w:b w:val="1"/>
          <w:bCs w:val="1"/>
          <w:color w:val="auto"/>
        </w:rPr>
      </w:pPr>
    </w:p>
    <w:p>
      <w:pPr>
        <w:jc w:val="both"/>
        <w:ind w:left="515"/>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On termination of your appointment with the Company however arising, or at any time at the Board's request, you shall immediately return to the Company all documents, records, papers or other property belonging to the Company which may be in your possession or under your control, and which relate in any way to the Company's business affairs and you shall not retain any copies thereof.</w:t>
      </w:r>
    </w:p>
    <w:p>
      <w:pPr>
        <w:spacing w:after="0" w:line="198" w:lineRule="exact"/>
        <w:rPr>
          <w:rFonts w:ascii="Arial" w:cs="Arial" w:eastAsia="Arial" w:hAnsi="Arial"/>
          <w:sz w:val="16"/>
          <w:szCs w:val="16"/>
          <w:b w:val="1"/>
          <w:bCs w:val="1"/>
          <w:color w:val="auto"/>
        </w:rPr>
      </w:pPr>
    </w:p>
    <w:p>
      <w:pPr>
        <w:ind w:left="515" w:hanging="515"/>
        <w:spacing w:after="0"/>
        <w:tabs>
          <w:tab w:leader="none" w:pos="515"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Moral rights</w:t>
      </w:r>
    </w:p>
    <w:p>
      <w:pPr>
        <w:spacing w:after="0" w:line="184" w:lineRule="exact"/>
        <w:rPr>
          <w:rFonts w:ascii="Arial" w:cs="Arial" w:eastAsia="Arial" w:hAnsi="Arial"/>
          <w:sz w:val="16"/>
          <w:szCs w:val="16"/>
          <w:b w:val="1"/>
          <w:bCs w:val="1"/>
          <w:color w:val="auto"/>
        </w:rPr>
      </w:pPr>
    </w:p>
    <w:p>
      <w:pPr>
        <w:jc w:val="both"/>
        <w:ind w:left="515"/>
        <w:spacing w:after="0" w:line="237" w:lineRule="auto"/>
        <w:rPr>
          <w:rFonts w:ascii="Arial" w:cs="Arial" w:eastAsia="Arial" w:hAnsi="Arial"/>
          <w:sz w:val="16"/>
          <w:szCs w:val="16"/>
          <w:b w:val="1"/>
          <w:bCs w:val="1"/>
          <w:color w:val="auto"/>
        </w:rPr>
      </w:pPr>
      <w:r>
        <w:rPr>
          <w:rFonts w:ascii="Arial" w:cs="Arial" w:eastAsia="Arial" w:hAnsi="Arial"/>
          <w:sz w:val="16"/>
          <w:szCs w:val="16"/>
          <w:color w:val="auto"/>
        </w:rPr>
        <w:t>You hereby irrevocably waive any moral rights in all works prepared by you, in the provision of your services to the Company, to which you are now or may at any future time be entitled under Chapter IV of the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199" w:lineRule="exact"/>
        <w:rPr>
          <w:rFonts w:ascii="Arial" w:cs="Arial" w:eastAsia="Arial" w:hAnsi="Arial"/>
          <w:sz w:val="16"/>
          <w:szCs w:val="16"/>
          <w:b w:val="1"/>
          <w:bCs w:val="1"/>
          <w:color w:val="auto"/>
        </w:rPr>
      </w:pPr>
    </w:p>
    <w:p>
      <w:pPr>
        <w:ind w:left="515" w:hanging="515"/>
        <w:spacing w:after="0"/>
        <w:tabs>
          <w:tab w:leader="none" w:pos="515"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216" w:lineRule="exact"/>
        <w:rPr>
          <w:sz w:val="20"/>
          <w:szCs w:val="20"/>
          <w:color w:val="auto"/>
        </w:rPr>
      </w:pPr>
    </w:p>
    <w:p>
      <w:pPr>
        <w:ind w:left="515" w:hanging="515"/>
        <w:spacing w:after="0" w:line="239" w:lineRule="auto"/>
        <w:tabs>
          <w:tab w:leader="none" w:pos="528" w:val="left"/>
        </w:tabs>
        <w:numPr>
          <w:ilvl w:val="0"/>
          <w:numId w:val="84"/>
        </w:numPr>
        <w:rPr>
          <w:rFonts w:ascii="Arial" w:cs="Arial" w:eastAsia="Arial" w:hAnsi="Arial"/>
          <w:sz w:val="16"/>
          <w:szCs w:val="16"/>
          <w:color w:val="auto"/>
        </w:rPr>
      </w:pPr>
      <w:r>
        <w:rPr>
          <w:rFonts w:ascii="Arial" w:cs="Arial" w:eastAsia="Arial" w:hAnsi="Arial"/>
          <w:sz w:val="16"/>
          <w:szCs w:val="16"/>
          <w:color w:val="auto"/>
        </w:rPr>
        <w:t>By signing this letter you consent to the Company holding and processing data about you for legal, personnel, administrative and management purposes and in particular to the processing of any sensitive personal data (as defined in the Data Protection Act 1998) relating to you.</w:t>
      </w:r>
    </w:p>
    <w:p>
      <w:pPr>
        <w:spacing w:after="0" w:line="185" w:lineRule="exact"/>
        <w:rPr>
          <w:rFonts w:ascii="Arial" w:cs="Arial" w:eastAsia="Arial" w:hAnsi="Arial"/>
          <w:sz w:val="16"/>
          <w:szCs w:val="16"/>
          <w:color w:val="auto"/>
        </w:rPr>
      </w:pPr>
    </w:p>
    <w:p>
      <w:pPr>
        <w:jc w:val="both"/>
        <w:ind w:left="515" w:hanging="515"/>
        <w:spacing w:after="0" w:line="238" w:lineRule="auto"/>
        <w:tabs>
          <w:tab w:leader="none" w:pos="517" w:val="left"/>
        </w:tabs>
        <w:numPr>
          <w:ilvl w:val="0"/>
          <w:numId w:val="84"/>
        </w:numPr>
        <w:rPr>
          <w:rFonts w:ascii="Arial" w:cs="Arial" w:eastAsia="Arial" w:hAnsi="Arial"/>
          <w:sz w:val="16"/>
          <w:szCs w:val="16"/>
          <w:color w:val="auto"/>
        </w:rPr>
      </w:pPr>
      <w:r>
        <w:rPr>
          <w:rFonts w:ascii="Arial" w:cs="Arial" w:eastAsia="Arial" w:hAnsi="Arial"/>
          <w:sz w:val="16"/>
          <w:szCs w:val="16"/>
          <w:color w:val="auto"/>
        </w:rPr>
        <w:t>You consent to the Company making such information available to those who provide products or services to the Company or any company in the Company's group, including employees, professional advisers, shareholders, regulatory authorities, governmental or quasi-governmental organisations and potential purchasers of the Company.</w:t>
      </w:r>
    </w:p>
    <w:p>
      <w:pPr>
        <w:spacing w:after="0" w:line="209" w:lineRule="exact"/>
        <w:rPr>
          <w:sz w:val="20"/>
          <w:szCs w:val="20"/>
          <w:color w:val="auto"/>
        </w:rPr>
      </w:pPr>
    </w:p>
    <w:p>
      <w:pPr>
        <w:ind w:left="515" w:hanging="515"/>
        <w:spacing w:after="0"/>
        <w:tabs>
          <w:tab w:leader="none" w:pos="515"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99" w:lineRule="exact"/>
        <w:rPr>
          <w:sz w:val="20"/>
          <w:szCs w:val="20"/>
          <w:color w:val="auto"/>
        </w:rPr>
      </w:pPr>
    </w:p>
    <w:p>
      <w:pPr>
        <w:ind w:left="515" w:hanging="515"/>
        <w:spacing w:after="0"/>
        <w:tabs>
          <w:tab w:leader="none" w:pos="515"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letter and any document referred to in it constitutes the entire terms and conditions of your appointment and supersedes and extinguishes all previous</w:t>
      </w:r>
    </w:p>
    <w:p>
      <w:pPr>
        <w:sectPr>
          <w:pgSz w:w="11900" w:h="16838" w:orient="portrait"/>
          <w:cols w:equalWidth="0" w:num="1">
            <w:col w:w="11275"/>
          </w:cols>
          <w:pgMar w:left="305" w:top="1440" w:right="319" w:bottom="1440" w:gutter="0" w:footer="0" w:header="0"/>
        </w:sectPr>
      </w:pPr>
    </w:p>
    <w:bookmarkStart w:id="146" w:name="page147"/>
    <w:bookmarkEnd w:id="146"/>
    <w:p>
      <w:pPr>
        <w:spacing w:after="0" w:line="200" w:lineRule="exact"/>
        <w:rPr>
          <w:sz w:val="20"/>
          <w:szCs w:val="20"/>
          <w:color w:val="auto"/>
        </w:rPr>
      </w:pPr>
    </w:p>
    <w:p>
      <w:pPr>
        <w:spacing w:after="0" w:line="311" w:lineRule="exact"/>
        <w:rPr>
          <w:sz w:val="20"/>
          <w:szCs w:val="20"/>
          <w:color w:val="auto"/>
        </w:rPr>
      </w:pPr>
    </w:p>
    <w:p>
      <w:pPr>
        <w:ind w:left="520"/>
        <w:spacing w:after="0" w:line="239" w:lineRule="auto"/>
        <w:rPr>
          <w:sz w:val="20"/>
          <w:szCs w:val="20"/>
          <w:color w:val="auto"/>
        </w:rPr>
      </w:pPr>
      <w:r>
        <w:rPr>
          <w:rFonts w:ascii="Arial" w:cs="Arial" w:eastAsia="Arial" w:hAnsi="Arial"/>
          <w:sz w:val="16"/>
          <w:szCs w:val="16"/>
          <w:color w:val="auto"/>
        </w:rPr>
        <w:t>agreements, promises, assurances, warranties, representations and understandings between you and the Company, whether written or oral, relating to its subject matter.</w:t>
      </w:r>
    </w:p>
    <w:p>
      <w:pPr>
        <w:spacing w:after="0" w:line="79" w:lineRule="exact"/>
        <w:rPr>
          <w:sz w:val="20"/>
          <w:szCs w:val="20"/>
          <w:color w:val="auto"/>
        </w:rPr>
      </w:pPr>
    </w:p>
    <w:p>
      <w:pPr>
        <w:jc w:val="both"/>
        <w:ind w:left="520" w:hanging="515"/>
        <w:spacing w:after="0" w:line="307" w:lineRule="auto"/>
        <w:tabs>
          <w:tab w:leader="none" w:pos="522" w:val="left"/>
        </w:tabs>
        <w:numPr>
          <w:ilvl w:val="0"/>
          <w:numId w:val="87"/>
        </w:numPr>
        <w:rPr>
          <w:rFonts w:ascii="Arial" w:cs="Arial" w:eastAsia="Arial" w:hAnsi="Arial"/>
          <w:sz w:val="14"/>
          <w:szCs w:val="14"/>
          <w:color w:val="auto"/>
        </w:rPr>
      </w:pPr>
      <w:r>
        <w:rPr>
          <w:rFonts w:ascii="Arial" w:cs="Arial" w:eastAsia="Arial" w:hAnsi="Arial"/>
          <w:sz w:val="14"/>
          <w:szCs w:val="14"/>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154"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Variation</w:t>
      </w:r>
    </w:p>
    <w:p>
      <w:pPr>
        <w:spacing w:after="0" w:line="184"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201" w:lineRule="exact"/>
        <w:rPr>
          <w:rFonts w:ascii="Arial" w:cs="Arial" w:eastAsia="Arial" w:hAnsi="Arial"/>
          <w:sz w:val="16"/>
          <w:szCs w:val="16"/>
          <w:b w:val="1"/>
          <w:bCs w:val="1"/>
          <w:color w:val="auto"/>
        </w:rPr>
      </w:pPr>
    </w:p>
    <w:p>
      <w:pPr>
        <w:ind w:left="520" w:hanging="515"/>
        <w:spacing w:after="0"/>
        <w:tabs>
          <w:tab w:leader="none" w:pos="52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and jurisdiction</w:t>
      </w:r>
    </w:p>
    <w:p>
      <w:pPr>
        <w:spacing w:after="0" w:line="184" w:lineRule="exact"/>
        <w:rPr>
          <w:sz w:val="20"/>
          <w:szCs w:val="20"/>
          <w:color w:val="auto"/>
        </w:rPr>
      </w:pPr>
    </w:p>
    <w:p>
      <w:pPr>
        <w:ind w:left="520"/>
        <w:spacing w:after="0" w:line="239" w:lineRule="auto"/>
        <w:rPr>
          <w:sz w:val="20"/>
          <w:szCs w:val="20"/>
          <w:color w:val="auto"/>
        </w:rPr>
      </w:pPr>
      <w:r>
        <w:rPr>
          <w:rFonts w:ascii="Arial" w:cs="Arial" w:eastAsia="Arial" w:hAnsi="Arial"/>
          <w:sz w:val="16"/>
          <w:szCs w:val="16"/>
          <w:color w:val="auto"/>
        </w:rPr>
        <w:t>This letter of appointment shall be governed by and construed in accordance with the law of England and Wales and you and the Company submit to the exclusive jurisdiction of the courts and tribunals of England and Wales.</w:t>
      </w:r>
    </w:p>
    <w:p>
      <w:pPr>
        <w:spacing w:after="0" w:line="79" w:lineRule="exact"/>
        <w:rPr>
          <w:sz w:val="20"/>
          <w:szCs w:val="20"/>
          <w:color w:val="auto"/>
        </w:rPr>
      </w:pPr>
    </w:p>
    <w:p>
      <w:pPr>
        <w:ind w:right="560"/>
        <w:spacing w:after="0" w:line="432" w:lineRule="auto"/>
        <w:rPr>
          <w:sz w:val="20"/>
          <w:szCs w:val="20"/>
          <w:color w:val="auto"/>
        </w:rPr>
      </w:pPr>
      <w:r>
        <w:rPr>
          <w:rFonts w:ascii="Arial" w:cs="Arial" w:eastAsia="Arial" w:hAnsi="Arial"/>
          <w:sz w:val="16"/>
          <w:szCs w:val="16"/>
          <w:color w:val="auto"/>
        </w:rPr>
        <w:t>Please indicate your acceptance of these terms by signing and returning the attached copy of this letter to Ms. Claire Poll at claire.poll@veronapharma.com. Yours sincerely,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Dr. David Ebsworth</w:t>
      </w:r>
    </w:p>
    <w:p>
      <w:pPr>
        <w:spacing w:after="0"/>
        <w:rPr>
          <w:sz w:val="20"/>
          <w:szCs w:val="20"/>
          <w:color w:val="auto"/>
        </w:rPr>
      </w:pPr>
      <w:r>
        <w:rPr>
          <w:rFonts w:ascii="Arial" w:cs="Arial" w:eastAsia="Arial" w:hAnsi="Arial"/>
          <w:sz w:val="16"/>
          <w:szCs w:val="16"/>
          <w:color w:val="auto"/>
        </w:rPr>
        <w:t>Non-Executive Chairperson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 Verona Pharma plc</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 agree to the above terms of my appointment as a non-executive director of Verona Pharma plc as set out in this letter.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rPr>
          <w:sz w:val="20"/>
          <w:szCs w:val="20"/>
          <w:color w:val="auto"/>
        </w:rPr>
      </w:pPr>
      <w:r>
        <w:rPr>
          <w:rFonts w:ascii="Arial" w:cs="Arial" w:eastAsia="Arial" w:hAnsi="Arial"/>
          <w:sz w:val="16"/>
          <w:szCs w:val="16"/>
          <w:color w:val="auto"/>
        </w:rPr>
        <w:t>[Name]</w:t>
      </w:r>
    </w:p>
    <w:p>
      <w:pPr>
        <w:sectPr>
          <w:pgSz w:w="11900" w:h="16838" w:orient="portrait"/>
          <w:cols w:equalWidth="0" w:num="1">
            <w:col w:w="11280"/>
          </w:cols>
          <w:pgMar w:left="300" w:top="1440" w:right="319" w:bottom="1440"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line="4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4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hereby consent to the incorporation by reference in the Registration Statements on Form S-8 (No. 333-248199, 333-237926, 333-217521) of Verona Pharma Plc of our report dated February 25, 2021 relating to the financial statements, which appears in this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2021</w:t>
      </w:r>
    </w:p>
    <w:p>
      <w:pPr>
        <w:sectPr>
          <w:pgSz w:w="11900" w:h="16838" w:orient="portrait"/>
          <w:cols w:equalWidth="0" w:num="1">
            <w:col w:w="11140"/>
          </w:cols>
          <w:pgMar w:left="300" w:top="1440" w:right="4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David Zaccardelli, Pharm.D., certify that:</w:t>
      </w:r>
    </w:p>
    <w:p>
      <w:pPr>
        <w:spacing w:after="0" w:line="179" w:lineRule="exact"/>
        <w:rPr>
          <w:sz w:val="20"/>
          <w:szCs w:val="20"/>
          <w:color w:val="auto"/>
        </w:rPr>
      </w:pPr>
    </w:p>
    <w:p>
      <w:pPr>
        <w:ind w:left="260" w:hanging="255"/>
        <w:spacing w:after="0"/>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Verona Pharma plc;</w:t>
      </w:r>
    </w:p>
    <w:p>
      <w:pPr>
        <w:spacing w:after="0" w:line="178"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00" w:right="140" w:hanging="348"/>
        <w:spacing w:after="0" w:line="368" w:lineRule="auto"/>
        <w:tabs>
          <w:tab w:leader="none" w:pos="652" w:val="left"/>
        </w:tabs>
        <w:numPr>
          <w:ilvl w:val="2"/>
          <w:numId w:val="8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00" w:right="340" w:hanging="348"/>
        <w:spacing w:after="0" w:line="368" w:lineRule="auto"/>
        <w:tabs>
          <w:tab w:leader="none" w:pos="660" w:val="left"/>
        </w:tabs>
        <w:numPr>
          <w:ilvl w:val="2"/>
          <w:numId w:val="8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00" w:right="540" w:hanging="348"/>
        <w:spacing w:after="0" w:line="281" w:lineRule="auto"/>
        <w:tabs>
          <w:tab w:leader="none" w:pos="652" w:val="left"/>
        </w:tabs>
        <w:numPr>
          <w:ilvl w:val="2"/>
          <w:numId w:val="8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00" w:right="180" w:hanging="348"/>
        <w:spacing w:after="0" w:line="321" w:lineRule="auto"/>
        <w:tabs>
          <w:tab w:leader="none" w:pos="660" w:val="left"/>
        </w:tabs>
        <w:numPr>
          <w:ilvl w:val="2"/>
          <w:numId w:val="8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380" w:right="20" w:hanging="248"/>
        <w:spacing w:after="0" w:line="281" w:lineRule="auto"/>
        <w:tabs>
          <w:tab w:leader="none" w:pos="380" w:val="left"/>
        </w:tabs>
        <w:numPr>
          <w:ilvl w:val="1"/>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00" w:right="240" w:hanging="348"/>
        <w:spacing w:after="0" w:line="281" w:lineRule="auto"/>
        <w:tabs>
          <w:tab w:leader="none" w:pos="644" w:val="left"/>
        </w:tabs>
        <w:numPr>
          <w:ilvl w:val="2"/>
          <w:numId w:val="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660" w:hanging="308"/>
        <w:spacing w:after="0"/>
        <w:tabs>
          <w:tab w:leader="none" w:pos="660" w:val="left"/>
        </w:tabs>
        <w:numPr>
          <w:ilvl w:val="2"/>
          <w:numId w:val="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5580" w:val="left"/>
          <w:tab w:leader="none" w:pos="7780" w:val="left"/>
        </w:tabs>
        <w:rPr>
          <w:sz w:val="20"/>
          <w:szCs w:val="20"/>
          <w:color w:val="auto"/>
        </w:rPr>
      </w:pPr>
      <w:r>
        <w:rPr>
          <w:rFonts w:ascii="Arial" w:cs="Arial" w:eastAsia="Arial" w:hAnsi="Arial"/>
          <w:sz w:val="14"/>
          <w:szCs w:val="14"/>
          <w:color w:val="auto"/>
        </w:rPr>
        <w:t>Date: February 25,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26035</wp:posOffset>
            </wp:positionV>
            <wp:extent cx="32740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274060" cy="6985"/>
                    </a:xfrm>
                    <a:prstGeom prst="rect">
                      <a:avLst/>
                    </a:prstGeom>
                    <a:noFill/>
                  </pic:spPr>
                </pic:pic>
              </a:graphicData>
            </a:graphic>
          </wp:anchor>
        </w:drawing>
      </w:r>
    </w:p>
    <w:p>
      <w:pPr>
        <w:spacing w:after="0" w:line="42"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David Zaccardelli, Pharm.D.</w:t>
      </w:r>
    </w:p>
    <w:p>
      <w:pPr>
        <w:spacing w:after="0" w:line="51"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634"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Mark W. Hahn, certify that:</w:t>
      </w:r>
    </w:p>
    <w:p>
      <w:pPr>
        <w:spacing w:after="0" w:line="179" w:lineRule="exact"/>
        <w:rPr>
          <w:sz w:val="20"/>
          <w:szCs w:val="20"/>
          <w:color w:val="auto"/>
        </w:rPr>
      </w:pPr>
    </w:p>
    <w:p>
      <w:pPr>
        <w:ind w:left="520" w:hanging="260"/>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Verona Pharma plc;</w:t>
      </w:r>
    </w:p>
    <w:p>
      <w:pPr>
        <w:spacing w:after="0" w:line="178"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00" w:right="140" w:hanging="348"/>
        <w:spacing w:after="0" w:line="368" w:lineRule="auto"/>
        <w:tabs>
          <w:tab w:leader="none" w:pos="652" w:val="left"/>
        </w:tabs>
        <w:numPr>
          <w:ilvl w:val="1"/>
          <w:numId w:val="9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00" w:right="340" w:hanging="348"/>
        <w:spacing w:after="0" w:line="368" w:lineRule="auto"/>
        <w:tabs>
          <w:tab w:leader="none" w:pos="660" w:val="left"/>
        </w:tabs>
        <w:numPr>
          <w:ilvl w:val="1"/>
          <w:numId w:val="9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00" w:right="540" w:hanging="348"/>
        <w:spacing w:after="0" w:line="281" w:lineRule="auto"/>
        <w:tabs>
          <w:tab w:leader="none" w:pos="652" w:val="left"/>
        </w:tabs>
        <w:numPr>
          <w:ilvl w:val="1"/>
          <w:numId w:val="9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00" w:right="180" w:hanging="348"/>
        <w:spacing w:after="0" w:line="321" w:lineRule="auto"/>
        <w:tabs>
          <w:tab w:leader="none" w:pos="660" w:val="left"/>
        </w:tabs>
        <w:numPr>
          <w:ilvl w:val="1"/>
          <w:numId w:val="9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540" w:hanging="260"/>
        <w:spacing w:after="0" w:line="281" w:lineRule="auto"/>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00" w:right="240" w:hanging="348"/>
        <w:spacing w:after="0" w:line="281" w:lineRule="auto"/>
        <w:tabs>
          <w:tab w:leader="none" w:pos="644" w:val="left"/>
        </w:tabs>
        <w:numPr>
          <w:ilvl w:val="1"/>
          <w:numId w:val="9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660" w:hanging="308"/>
        <w:spacing w:after="0"/>
        <w:tabs>
          <w:tab w:leader="none" w:pos="660" w:val="left"/>
        </w:tabs>
        <w:numPr>
          <w:ilvl w:val="1"/>
          <w:numId w:val="9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5580" w:val="left"/>
          <w:tab w:leader="none" w:pos="8180" w:val="left"/>
        </w:tabs>
        <w:rPr>
          <w:sz w:val="20"/>
          <w:szCs w:val="20"/>
          <w:color w:val="auto"/>
        </w:rPr>
      </w:pPr>
      <w:r>
        <w:rPr>
          <w:rFonts w:ascii="Arial" w:cs="Arial" w:eastAsia="Arial" w:hAnsi="Arial"/>
          <w:sz w:val="14"/>
          <w:szCs w:val="14"/>
          <w:color w:val="auto"/>
        </w:rPr>
        <w:t>Date: February 25,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26035</wp:posOffset>
            </wp:positionV>
            <wp:extent cx="327406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3274060" cy="6985"/>
                    </a:xfrm>
                    <a:prstGeom prst="rect">
                      <a:avLst/>
                    </a:prstGeom>
                    <a:noFill/>
                  </pic:spPr>
                </pic:pic>
              </a:graphicData>
            </a:graphic>
          </wp:anchor>
        </w:drawing>
      </w:r>
    </w:p>
    <w:p>
      <w:pPr>
        <w:spacing w:after="0" w:line="42" w:lineRule="exact"/>
        <w:rPr>
          <w:sz w:val="20"/>
          <w:szCs w:val="20"/>
          <w:color w:val="auto"/>
        </w:rPr>
      </w:pPr>
    </w:p>
    <w:p>
      <w:pPr>
        <w:jc w:val="center"/>
        <w:ind w:left="6100"/>
        <w:spacing w:after="0"/>
        <w:rPr>
          <w:sz w:val="20"/>
          <w:szCs w:val="20"/>
          <w:color w:val="auto"/>
        </w:rPr>
      </w:pPr>
      <w:r>
        <w:rPr>
          <w:rFonts w:ascii="Arial" w:cs="Arial" w:eastAsia="Arial" w:hAnsi="Arial"/>
          <w:sz w:val="14"/>
          <w:szCs w:val="14"/>
          <w:color w:val="auto"/>
        </w:rPr>
        <w:t>Mark W. Hahn</w:t>
      </w:r>
    </w:p>
    <w:p>
      <w:pPr>
        <w:spacing w:after="0" w:line="51" w:lineRule="exact"/>
        <w:rPr>
          <w:sz w:val="20"/>
          <w:szCs w:val="20"/>
          <w:color w:val="auto"/>
        </w:rPr>
      </w:pPr>
    </w:p>
    <w:p>
      <w:pPr>
        <w:jc w:val="center"/>
        <w:ind w:left="6100"/>
        <w:spacing w:after="0"/>
        <w:rPr>
          <w:sz w:val="20"/>
          <w:szCs w:val="20"/>
          <w:color w:val="auto"/>
        </w:rPr>
      </w:pPr>
      <w:r>
        <w:rPr>
          <w:rFonts w:ascii="Arial" w:cs="Arial" w:eastAsia="Arial" w:hAnsi="Arial"/>
          <w:sz w:val="14"/>
          <w:szCs w:val="14"/>
          <w:color w:val="auto"/>
        </w:rPr>
        <w:t>Chief Financial Officer (</w:t>
      </w:r>
      <w:r>
        <w:rPr>
          <w:rFonts w:ascii="Arial" w:cs="Arial" w:eastAsia="Arial" w:hAnsi="Arial"/>
          <w:sz w:val="14"/>
          <w:szCs w:val="14"/>
          <w:i w:val="1"/>
          <w:iCs w:val="1"/>
          <w:color w:val="auto"/>
        </w:rPr>
        <w:t>principal financial officer</w:t>
      </w:r>
      <w:r>
        <w:rPr>
          <w:rFonts w:ascii="Arial" w:cs="Arial" w:eastAsia="Arial" w:hAnsi="Arial"/>
          <w:sz w:val="14"/>
          <w:szCs w:val="14"/>
          <w:color w:val="auto"/>
        </w:rPr>
        <w:t>)</w:t>
      </w:r>
    </w:p>
    <w:p>
      <w:pPr>
        <w:sectPr>
          <w:pgSz w:w="11900" w:h="16838" w:orient="portrait"/>
          <w:cols w:equalWidth="0" w:num="1">
            <w:col w:w="11280"/>
          </w:cols>
          <w:pgMar w:left="300" w:top="634"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ind w:right="40" w:firstLine="347"/>
        <w:spacing w:after="0" w:line="281" w:lineRule="auto"/>
        <w:rPr>
          <w:sz w:val="20"/>
          <w:szCs w:val="20"/>
          <w:color w:val="auto"/>
        </w:rPr>
      </w:pPr>
      <w:r>
        <w:rPr>
          <w:rFonts w:ascii="Arial" w:cs="Arial" w:eastAsia="Arial" w:hAnsi="Arial"/>
          <w:sz w:val="14"/>
          <w:szCs w:val="14"/>
          <w:color w:val="auto"/>
        </w:rPr>
        <w:t>In connection with the Annual Report on Form 10-K of Verona Pharma plc (the “Company”) for the period ended December 31, 2020 as filed with the Securities and Exchange Commission on the date hereof (the “Report”), I certify, pursuant to 18 U.S.C. § 1350, as adopted pursuant to § 906 of the Sarbanes-Oxley Act of 2002, that:</w:t>
      </w:r>
    </w:p>
    <w:p>
      <w:pPr>
        <w:spacing w:after="0" w:line="132" w:lineRule="exact"/>
        <w:rPr>
          <w:sz w:val="20"/>
          <w:szCs w:val="20"/>
          <w:color w:val="auto"/>
        </w:rPr>
      </w:pPr>
    </w:p>
    <w:p>
      <w:pPr>
        <w:ind w:left="660" w:hanging="308"/>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8" w:lineRule="exact"/>
        <w:rPr>
          <w:rFonts w:ascii="Arial" w:cs="Arial" w:eastAsia="Arial" w:hAnsi="Arial"/>
          <w:sz w:val="14"/>
          <w:szCs w:val="14"/>
          <w:color w:val="auto"/>
        </w:rPr>
      </w:pPr>
    </w:p>
    <w:p>
      <w:pPr>
        <w:ind w:left="660" w:hanging="308"/>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5600" w:val="left"/>
          <w:tab w:leader="none" w:pos="7800" w:val="left"/>
        </w:tabs>
        <w:rPr>
          <w:sz w:val="20"/>
          <w:szCs w:val="20"/>
          <w:color w:val="auto"/>
        </w:rPr>
      </w:pPr>
      <w:r>
        <w:rPr>
          <w:rFonts w:ascii="Arial" w:cs="Arial" w:eastAsia="Arial" w:hAnsi="Arial"/>
          <w:sz w:val="14"/>
          <w:szCs w:val="14"/>
          <w:color w:val="auto"/>
        </w:rPr>
        <w:t>Date: February 25,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6771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267710" cy="6985"/>
                    </a:xfrm>
                    <a:prstGeom prst="rect">
                      <a:avLst/>
                    </a:prstGeom>
                    <a:noFill/>
                  </pic:spPr>
                </pic:pic>
              </a:graphicData>
            </a:graphic>
          </wp:anchor>
        </w:drawing>
      </w:r>
    </w:p>
    <w:p>
      <w:pPr>
        <w:spacing w:after="0" w:line="42"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David Zaccardelli, Pharm.D.</w:t>
      </w:r>
    </w:p>
    <w:p>
      <w:pPr>
        <w:spacing w:after="0" w:line="51" w:lineRule="exact"/>
        <w:rPr>
          <w:sz w:val="20"/>
          <w:szCs w:val="20"/>
          <w:color w:val="auto"/>
        </w:rPr>
      </w:pPr>
    </w:p>
    <w:p>
      <w:pPr>
        <w:ind w:left="804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p>
      <w:pPr>
        <w:sectPr>
          <w:pgSz w:w="11900" w:h="16838" w:orient="portrait"/>
          <w:cols w:equalWidth="0" w:num="1">
            <w:col w:w="11280"/>
          </w:cols>
          <w:pgMar w:left="300" w:top="634"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8" w:lineRule="exact"/>
        <w:rPr>
          <w:sz w:val="20"/>
          <w:szCs w:val="20"/>
          <w:color w:val="auto"/>
        </w:rPr>
      </w:pPr>
    </w:p>
    <w:p>
      <w:pPr>
        <w:ind w:right="40" w:firstLine="347"/>
        <w:spacing w:after="0" w:line="281" w:lineRule="auto"/>
        <w:rPr>
          <w:sz w:val="20"/>
          <w:szCs w:val="20"/>
          <w:color w:val="auto"/>
        </w:rPr>
      </w:pPr>
      <w:r>
        <w:rPr>
          <w:rFonts w:ascii="Arial" w:cs="Arial" w:eastAsia="Arial" w:hAnsi="Arial"/>
          <w:sz w:val="14"/>
          <w:szCs w:val="14"/>
          <w:color w:val="auto"/>
        </w:rPr>
        <w:t>In connection with the Annual Report on Form 10-K of Verona Pharma plc (the “Company”) for the period ended December 31, 2020 as filed with the Securities and Exchange Commission on the date hereof (the “Report”), I certify, pursuant to 18 U.S.C. § 1350, as adopted pursuant to § 906 of the Sarbanes-Oxley Act of 2002, that:</w:t>
      </w:r>
    </w:p>
    <w:p>
      <w:pPr>
        <w:spacing w:after="0" w:line="132" w:lineRule="exact"/>
        <w:rPr>
          <w:sz w:val="20"/>
          <w:szCs w:val="20"/>
          <w:color w:val="auto"/>
        </w:rPr>
      </w:pPr>
    </w:p>
    <w:p>
      <w:pPr>
        <w:ind w:left="660" w:hanging="308"/>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8" w:lineRule="exact"/>
        <w:rPr>
          <w:rFonts w:ascii="Arial" w:cs="Arial" w:eastAsia="Arial" w:hAnsi="Arial"/>
          <w:sz w:val="14"/>
          <w:szCs w:val="14"/>
          <w:color w:val="auto"/>
        </w:rPr>
      </w:pPr>
    </w:p>
    <w:p>
      <w:pPr>
        <w:ind w:left="660" w:hanging="308"/>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5600" w:val="left"/>
          <w:tab w:leader="none" w:pos="8180" w:val="left"/>
        </w:tabs>
        <w:rPr>
          <w:sz w:val="20"/>
          <w:szCs w:val="20"/>
          <w:color w:val="auto"/>
        </w:rPr>
      </w:pPr>
      <w:r>
        <w:rPr>
          <w:rFonts w:ascii="Arial" w:cs="Arial" w:eastAsia="Arial" w:hAnsi="Arial"/>
          <w:sz w:val="14"/>
          <w:szCs w:val="14"/>
          <w:color w:val="auto"/>
        </w:rPr>
        <w:t>Date: February 25,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677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3267710" cy="6985"/>
                    </a:xfrm>
                    <a:prstGeom prst="rect">
                      <a:avLst/>
                    </a:prstGeom>
                    <a:noFill/>
                  </pic:spPr>
                </pic:pic>
              </a:graphicData>
            </a:graphic>
          </wp:anchor>
        </w:drawing>
      </w:r>
    </w:p>
    <w:p>
      <w:pPr>
        <w:spacing w:after="0" w:line="42" w:lineRule="exact"/>
        <w:rPr>
          <w:sz w:val="20"/>
          <w:szCs w:val="20"/>
          <w:color w:val="auto"/>
        </w:rPr>
      </w:pPr>
    </w:p>
    <w:p>
      <w:pPr>
        <w:jc w:val="center"/>
        <w:ind w:left="6120"/>
        <w:spacing w:after="0"/>
        <w:rPr>
          <w:sz w:val="20"/>
          <w:szCs w:val="20"/>
          <w:color w:val="auto"/>
        </w:rPr>
      </w:pPr>
      <w:r>
        <w:rPr>
          <w:rFonts w:ascii="Arial" w:cs="Arial" w:eastAsia="Arial" w:hAnsi="Arial"/>
          <w:sz w:val="14"/>
          <w:szCs w:val="14"/>
          <w:color w:val="auto"/>
        </w:rPr>
        <w:t>Mark W. Hahn</w:t>
      </w:r>
    </w:p>
    <w:p>
      <w:pPr>
        <w:spacing w:after="0" w:line="51" w:lineRule="exact"/>
        <w:rPr>
          <w:sz w:val="20"/>
          <w:szCs w:val="20"/>
          <w:color w:val="auto"/>
        </w:rPr>
      </w:pPr>
    </w:p>
    <w:p>
      <w:pPr>
        <w:jc w:val="center"/>
        <w:ind w:left="6120"/>
        <w:spacing w:after="0"/>
        <w:rPr>
          <w:sz w:val="20"/>
          <w:szCs w:val="20"/>
          <w:color w:val="auto"/>
        </w:rPr>
      </w:pPr>
      <w:r>
        <w:rPr>
          <w:rFonts w:ascii="Arial" w:cs="Arial" w:eastAsia="Arial" w:hAnsi="Arial"/>
          <w:sz w:val="14"/>
          <w:szCs w:val="14"/>
          <w:color w:val="auto"/>
        </w:rPr>
        <w:t>Chief Financial Officer (</w:t>
      </w:r>
      <w:r>
        <w:rPr>
          <w:rFonts w:ascii="Arial" w:cs="Arial" w:eastAsia="Arial" w:hAnsi="Arial"/>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lowerLetter"/>
      <w:start w:val="1"/>
    </w:lvl>
    <w:lvl w:ilvl="1">
      <w:lvlJc w:val="left"/>
      <w:lvlText w:val="(%2)"/>
      <w:numFmt w:val="lowerRoman"/>
      <w:start w:val="1"/>
    </w:lvl>
  </w:abstractNum>
  <w:abstractNum w:abstractNumId="63">
    <w:nsid w:val="A0382C5"/>
    <w:multiLevelType w:val="hybridMultilevel"/>
    <w:lvl w:ilvl="0">
      <w:lvlJc w:val="left"/>
      <w:lvlText w:val="%1"/>
      <w:numFmt w:val="lowerLetter"/>
      <w:start w:val="1"/>
    </w:lvl>
    <w:lvl w:ilvl="1">
      <w:lvlJc w:val="left"/>
      <w:lvlText w:val="%2."/>
      <w:numFmt w:val="lowerRoman"/>
      <w:start w:val="1"/>
    </w:lvl>
  </w:abstractNum>
  <w:abstractNum w:abstractNumId="64">
    <w:nsid w:val="8F2B15E"/>
    <w:multiLevelType w:val="hybridMultilevel"/>
    <w:lvl w:ilvl="0">
      <w:lvlJc w:val="left"/>
      <w:lvlText w:val="%1."/>
      <w:numFmt w:val="lowerLetter"/>
      <w:start w:val="1"/>
    </w:lvl>
    <w:lvl w:ilvl="1">
      <w:lvlJc w:val="left"/>
      <w:lvlText w:val="%2"/>
      <w:numFmt w:val="lowerRoman"/>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decimal"/>
      <w:start w:val="2"/>
    </w:lvl>
  </w:abstractNum>
  <w:abstractNum w:abstractNumId="68">
    <w:nsid w:val="4962813B"/>
    <w:multiLevelType w:val="hybridMultilevel"/>
    <w:lvl w:ilvl="0">
      <w:lvlJc w:val="left"/>
      <w:lvlText w:val="%1."/>
      <w:numFmt w:val="lowerLetter"/>
      <w:start w:val="1"/>
    </w:lvl>
    <w:lvl w:ilvl="1">
      <w:lvlJc w:val="left"/>
      <w:lvlText w:val="%2."/>
      <w:numFmt w:val="lowerRoman"/>
      <w:start w:val="1"/>
    </w:lvl>
  </w:abstractNum>
  <w:abstractNum w:abstractNumId="69">
    <w:nsid w:val="60B6DF70"/>
    <w:multiLevelType w:val="hybridMultilevel"/>
    <w:lvl w:ilvl="0">
      <w:lvlJc w:val="left"/>
      <w:lvlText w:val="%1."/>
      <w:numFmt w:val="lowerLetter"/>
      <w:start w:val="2"/>
    </w:lvl>
    <w:lvl w:ilvl="1">
      <w:lvlJc w:val="left"/>
      <w:lvlText w:val="%2."/>
      <w:numFmt w:val="lowerRoman"/>
      <w:start w:val="1"/>
    </w:lvl>
  </w:abstractNum>
  <w:abstractNum w:abstractNumId="70">
    <w:nsid w:val="6A5EE6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9"/>
    </w:lvl>
  </w:abstractNum>
  <w:abstractNum w:abstractNumId="71">
    <w:nsid w:val="14330624"/>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72">
    <w:nsid w:val="7FFFCA11"/>
    <w:multiLevelType w:val="hybridMultilevel"/>
    <w:lvl w:ilvl="0">
      <w:lvlJc w:val="left"/>
      <w:lvlText w:val="%1."/>
      <w:numFmt w:val="decimal"/>
      <w:start w:val="3"/>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1."/>
      <w:numFmt w:val="lowerLetter"/>
      <w:start w:val="2"/>
    </w:lvl>
  </w:abstractNum>
  <w:abstractNum w:abstractNumId="75">
    <w:nsid w:val="100F59DC"/>
    <w:multiLevelType w:val="hybridMultilevel"/>
    <w:lvl w:ilvl="0">
      <w:lvlJc w:val="left"/>
      <w:lvlText w:val="%1."/>
      <w:numFmt w:val="decimal"/>
      <w:start w:val="4"/>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decimal"/>
      <w:start w:val="6"/>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decimal"/>
      <w:start w:val="7"/>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2"/>
    </w:lvl>
  </w:abstractNum>
  <w:abstractNum w:abstractNumId="82">
    <w:nsid w:val="4C04A8AF"/>
    <w:multiLevelType w:val="hybridMultilevel"/>
    <w:lvl w:ilvl="0">
      <w:lvlJc w:val="left"/>
      <w:lvlText w:val="%1."/>
      <w:numFmt w:val="decimal"/>
      <w:start w:val="8"/>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12"/>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decimal"/>
      <w:start w:val="13"/>
    </w:lvl>
  </w:abstractNum>
  <w:abstractNum w:abstractNumId="88">
    <w:nsid w:val="2DF6D64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4"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jpe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99" Type="http://schemas.openxmlformats.org/officeDocument/2006/relationships/hyperlink" Target="https://www.sec.gov/Archives/edgar/data/1657312/000110465920140541/tm2039594d1_ex1.htm" TargetMode="External"/><Relationship Id="rId100" Type="http://schemas.openxmlformats.org/officeDocument/2006/relationships/hyperlink" Target="https://www.sec.gov/Archives/edgar/data/1657312/000165731218000006/exhibit21depositagreemen.htm" TargetMode="External"/><Relationship Id="rId101" Type="http://schemas.openxmlformats.org/officeDocument/2006/relationships/hyperlink" Target="https://www.sec.gov/Archives/edgar/data/1657312/000104746917002313/a2231519zex-4_3.htm" TargetMode="External"/><Relationship Id="rId102" Type="http://schemas.openxmlformats.org/officeDocument/2006/relationships/hyperlink" Target="https://www.sec.gov/Archives/edgar/data/1657312/000104746917002313/a2231519zex-4_4.htm" TargetMode="External"/><Relationship Id="rId103" Type="http://schemas.openxmlformats.org/officeDocument/2006/relationships/hyperlink" Target="https://www.sec.gov/Archives/edgar/data/1657312/000104746917002313/a2231519zex-10_1.htm" TargetMode="External"/><Relationship Id="rId104" Type="http://schemas.openxmlformats.org/officeDocument/2006/relationships/hyperlink" Target="https://www.sec.gov/Archives/edgar/data/1657312/000110465920085620/tm2025101d2_ex2.htm" TargetMode="External"/><Relationship Id="rId105" Type="http://schemas.openxmlformats.org/officeDocument/2006/relationships/hyperlink" Target="https://www.sec.gov/Archives/edgar/data/1657312/000104746917002313/a2231519zex-10_2.htm" TargetMode="External"/><Relationship Id="rId106" Type="http://schemas.openxmlformats.org/officeDocument/2006/relationships/hyperlink" Target="https://www.sec.gov/Archives/edgar/data/1657312/000165731219000007/renewalagreementnovember.htm" TargetMode="External"/><Relationship Id="rId107" Type="http://schemas.openxmlformats.org/officeDocument/2006/relationships/hyperlink" Target="https://www.sec.gov/Archives/edgar/data/1657312/000165731219000007/renewalagreementapril320.htm" TargetMode="External"/><Relationship Id="rId108" Type="http://schemas.openxmlformats.org/officeDocument/2006/relationships/hyperlink" Target="https://www.sec.gov/Archives/edgar/data/1657312/000165731220000019/ex433reguslease13914316s.htm" TargetMode="External"/><Relationship Id="rId109" Type="http://schemas.openxmlformats.org/officeDocument/2006/relationships/hyperlink" Target="https://www.sec.gov/Archives/edgar/data/1657312/000165731220000019/ex434reguslease14214416s.htm" TargetMode="External"/><Relationship Id="rId110" Type="http://schemas.openxmlformats.org/officeDocument/2006/relationships/hyperlink" Target="https://www.sec.gov/Archives/edgar/data/1657312/000165731220000019/ex435reguslease145a15116.htm" TargetMode="External"/><Relationship Id="rId111" Type="http://schemas.openxmlformats.org/officeDocument/2006/relationships/hyperlink" Target="https://www.sec.gov/Archives/edgar/data/1657312/000165731220000019/ex436regushudsonyardslea.htm" TargetMode="External"/><Relationship Id="rId112" Type="http://schemas.openxmlformats.org/officeDocument/2006/relationships/hyperlink" Target="https://www.sec.gov/Archives/edgar/data/1657312/000104746917002313/a2231519zex-10_4.htm" TargetMode="External"/><Relationship Id="rId113" Type="http://schemas.openxmlformats.org/officeDocument/2006/relationships/hyperlink" Target="https://www.sec.gov/Archives/edgar/data/1657312/000104746917002313/a2231519zex-10_5.htm" TargetMode="External"/><Relationship Id="rId115" Type="http://schemas.openxmlformats.org/officeDocument/2006/relationships/hyperlink" Target="https://www.sec.gov/Archives/edgar/data/1657312/000165731218000006/exhibit462017plan.htm" TargetMode="External"/><Relationship Id="rId116" Type="http://schemas.openxmlformats.org/officeDocument/2006/relationships/hyperlink" Target="https://www.sec.gov/Archives/edgar/data/1657312/000165731220000019/a47dzaccarrelliemploymen.htm" TargetMode="External"/><Relationship Id="rId117" Type="http://schemas.openxmlformats.org/officeDocument/2006/relationships/hyperlink" Target="https://www.sec.gov/Archives/edgar/data/1657312/000165731219000007/kathyrickardemploymentag.htm" TargetMode="External"/><Relationship Id="rId118" Type="http://schemas.openxmlformats.org/officeDocument/2006/relationships/hyperlink" Target="https://www.sec.gov/Archives/edgar/data/1657312/000104746917002313/a2231519zex-10_9.htm" TargetMode="External"/><Relationship Id="rId119" Type="http://schemas.openxmlformats.org/officeDocument/2006/relationships/hyperlink" Target="https://www.sec.gov/Archives/edgar/data/1657312/000110465920095810/tm2027314d2_ex10-12.htm" TargetMode="External"/><Relationship Id="rId120" Type="http://schemas.openxmlformats.org/officeDocument/2006/relationships/hyperlink" Target="https://www.sec.gov/Archives/edgar/data/1657312/000104746917002697/a2231786zex-10_111.htm" TargetMode="External"/><Relationship Id="rId121" Type="http://schemas.openxmlformats.org/officeDocument/2006/relationships/hyperlink" Target="https://www.sec.gov/Archives/edgar/data/1657312/000104746917002697/a2231786zex-10_112.htm" TargetMode="External"/><Relationship Id="rId122" Type="http://schemas.openxmlformats.org/officeDocument/2006/relationships/hyperlink" Target="https://www.sec.gov/Archives/edgar/data/1657312/000104746917002313/a2231519zex-10_12.htm" TargetMode="External"/><Relationship Id="rId123" Type="http://schemas.openxmlformats.org/officeDocument/2006/relationships/hyperlink" Target="https://www.sec.gov/Archives/edgar/data/1657312/000104746917002313/a2231519zex-10_13.htm" TargetMode="External"/><Relationship Id="rId124" Type="http://schemas.openxmlformats.org/officeDocument/2006/relationships/hyperlink" Target="https://www.sec.gov/Archives/edgar/data/1657312/000104746917002313/a2231519zex-10_14.htm" TargetMode="External"/><Relationship Id="rId125" Type="http://schemas.openxmlformats.org/officeDocument/2006/relationships/hyperlink" Target="https://www.sec.gov/Archives/edgar/data/1657312/000110465920085620/tm2025101d2_ex1.htm" TargetMode="External"/><Relationship Id="rId126" Type="http://schemas.openxmlformats.org/officeDocument/2006/relationships/hyperlink" Target="https://www.sec.gov/Archives/edgar/data/1657312/000110465920128643/tm2036424d1_ex1-1.htm" TargetMode="External"/><Relationship Id="rId127" Type="http://schemas.openxmlformats.org/officeDocument/2006/relationships/hyperlink" Target="https://www.sec.gov/Archives/edgar/data/1657312/000104746917002313/a223151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2021-02-25T09:59:31Z</dcterms:created>
  <dcterms:modified xsi:type="dcterms:W3CDTF">2021-02-25T09:59:31Z</dcterms:modified>
</cp:coreProperties>
</file>