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13G/A</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4)*</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u w:val="single" w:color="auto"/>
          <w:color w:val="auto"/>
        </w:rPr>
        <w:t>Verona Pharma plc</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Ordinary Shares, nominal value £0.05 per share</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American Depositary Shares, each representing eight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1954530</wp:posOffset>
            </wp:positionH>
            <wp:positionV relativeFrom="paragraph">
              <wp:posOffset>-19050</wp:posOffset>
            </wp:positionV>
            <wp:extent cx="3204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421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925050106</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September 30, 2024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60" w:right="9120" w:firstLine="9"/>
        <w:spacing w:after="0" w:line="226" w:lineRule="exact"/>
        <w:tabs>
          <w:tab w:leader="none" w:pos="1106"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Rule 13d-1(b)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13d-1(c)</w:t>
      </w:r>
    </w:p>
    <w:p>
      <w:pPr>
        <w:ind w:left="1120" w:hanging="451"/>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671830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925050106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40575" cy="5734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5734685"/>
                    </a:xfrm>
                    <a:prstGeom prst="rect">
                      <a:avLst/>
                    </a:prstGeom>
                    <a:noFill/>
                  </pic:spPr>
                </pic:pic>
              </a:graphicData>
            </a:graphic>
          </wp:anchor>
        </w:drawing>
      </w:r>
    </w:p>
    <w:p>
      <w:pPr>
        <w:spacing w:after="0" w:line="30" w:lineRule="exact"/>
        <w:rPr>
          <w:sz w:val="20"/>
          <w:szCs w:val="20"/>
          <w:color w:val="auto"/>
        </w:rPr>
      </w:pPr>
    </w:p>
    <w:p>
      <w:pPr>
        <w:ind w:left="580" w:hanging="365"/>
        <w:spacing w:after="0"/>
        <w:tabs>
          <w:tab w:leader="none" w:pos="5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580" w:right="5100"/>
        <w:spacing w:after="0" w:line="41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 RA Capital Management, L.P.</w:t>
      </w:r>
    </w:p>
    <w:p>
      <w:pPr>
        <w:spacing w:after="0" w:line="32" w:lineRule="exact"/>
        <w:rPr>
          <w:sz w:val="20"/>
          <w:szCs w:val="20"/>
          <w:color w:val="auto"/>
        </w:rPr>
      </w:pPr>
    </w:p>
    <w:p>
      <w:pPr>
        <w:ind w:left="580" w:hanging="365"/>
        <w:spacing w:after="0"/>
        <w:tabs>
          <w:tab w:leader="none" w:pos="5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03" w:lineRule="exact"/>
        <w:rPr>
          <w:sz w:val="20"/>
          <w:szCs w:val="20"/>
          <w:color w:val="auto"/>
        </w:rPr>
      </w:pPr>
    </w:p>
    <w:p>
      <w:pPr>
        <w:ind w:left="102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63" w:lineRule="exact"/>
        <w:rPr>
          <w:sz w:val="20"/>
          <w:szCs w:val="20"/>
          <w:color w:val="auto"/>
        </w:rPr>
      </w:pPr>
    </w:p>
    <w:p>
      <w:pPr>
        <w:ind w:left="102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71" w:lineRule="exact"/>
        <w:rPr>
          <w:sz w:val="20"/>
          <w:szCs w:val="20"/>
          <w:color w:val="auto"/>
        </w:rPr>
      </w:pPr>
    </w:p>
    <w:p>
      <w:pPr>
        <w:ind w:left="580" w:hanging="365"/>
        <w:spacing w:after="0"/>
        <w:tabs>
          <w:tab w:leader="none" w:pos="5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66" w:lineRule="exact"/>
        <w:rPr>
          <w:sz w:val="20"/>
          <w:szCs w:val="20"/>
          <w:color w:val="auto"/>
        </w:rPr>
      </w:pPr>
    </w:p>
    <w:p>
      <w:pPr>
        <w:ind w:left="580" w:right="7020" w:hanging="365"/>
        <w:spacing w:after="0" w:line="433" w:lineRule="auto"/>
        <w:tabs>
          <w:tab w:leader="none" w:pos="5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37"/>
        </w:trPr>
        <w:tc>
          <w:tcPr>
            <w:tcW w:w="1520" w:type="dxa"/>
            <w:vAlign w:val="bottom"/>
            <w:tcBorders>
              <w:top w:val="single" w:sz="8" w:color="auto"/>
              <w:right w:val="single" w:sz="8" w:color="auto"/>
            </w:tcBorders>
          </w:tcPr>
          <w:p>
            <w:pPr>
              <w:spacing w:after="0"/>
              <w:rPr>
                <w:sz w:val="20"/>
                <w:szCs w:val="20"/>
                <w:color w:val="auto"/>
              </w:rPr>
            </w:pPr>
          </w:p>
        </w:tc>
        <w:tc>
          <w:tcPr>
            <w:tcW w:w="420" w:type="dxa"/>
            <w:vAlign w:val="bottom"/>
            <w:tcBorders>
              <w:top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w:t>
            </w:r>
          </w:p>
        </w:tc>
        <w:tc>
          <w:tcPr>
            <w:tcW w:w="93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Borders>
              <w:right w:val="single" w:sz="8" w:color="auto"/>
            </w:tcBorders>
          </w:tcPr>
          <w:p>
            <w:pPr>
              <w:spacing w:after="0"/>
              <w:rPr>
                <w:sz w:val="24"/>
                <w:szCs w:val="24"/>
                <w:color w:val="auto"/>
              </w:rPr>
            </w:pP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20" w:type="dxa"/>
            <w:vAlign w:val="bottom"/>
            <w:tcBorders>
              <w:right w:val="single" w:sz="8" w:color="auto"/>
            </w:tcBorders>
            <w:vMerge w:val="continue"/>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9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420" w:type="dxa"/>
            <w:vAlign w:val="bottom"/>
            <w:tcBorders>
              <w:right w:val="single" w:sz="8" w:color="auto"/>
            </w:tcBorders>
          </w:tcPr>
          <w:p>
            <w:pPr>
              <w:jc w:val="right"/>
              <w:ind w:right="70"/>
              <w:spacing w:after="0" w:line="191" w:lineRule="exact"/>
              <w:rPr>
                <w:sz w:val="20"/>
                <w:szCs w:val="20"/>
                <w:color w:val="auto"/>
              </w:rPr>
            </w:pPr>
            <w:r>
              <w:rPr>
                <w:rFonts w:ascii="Times New Roman" w:cs="Times New Roman" w:eastAsia="Times New Roman" w:hAnsi="Times New Roman"/>
                <w:sz w:val="18"/>
                <w:szCs w:val="18"/>
                <w:b w:val="1"/>
                <w:bCs w:val="1"/>
                <w:color w:val="auto"/>
              </w:rPr>
              <w:t>6</w:t>
            </w:r>
          </w:p>
        </w:tc>
        <w:tc>
          <w:tcPr>
            <w:tcW w:w="93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20" w:type="dxa"/>
            <w:vAlign w:val="bottom"/>
            <w:tcBorders>
              <w:right w:val="single" w:sz="8" w:color="auto"/>
            </w:tcBorders>
          </w:tcPr>
          <w:p>
            <w:pPr>
              <w:spacing w:after="0"/>
              <w:rPr>
                <w:sz w:val="18"/>
                <w:szCs w:val="18"/>
                <w:color w:val="auto"/>
              </w:rPr>
            </w:pPr>
          </w:p>
        </w:tc>
        <w:tc>
          <w:tcPr>
            <w:tcW w:w="9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8,460,090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20" w:type="dxa"/>
            <w:vAlign w:val="bottom"/>
            <w:tcBorders>
              <w:right w:val="single" w:sz="8" w:color="auto"/>
            </w:tcBorders>
          </w:tcPr>
          <w:p>
            <w:pPr>
              <w:spacing w:after="0"/>
              <w:rPr>
                <w:sz w:val="18"/>
                <w:szCs w:val="18"/>
                <w:color w:val="auto"/>
              </w:rPr>
            </w:pPr>
          </w:p>
        </w:tc>
        <w:tc>
          <w:tcPr>
            <w:tcW w:w="93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20" w:type="dxa"/>
            <w:vAlign w:val="bottom"/>
            <w:tcBorders>
              <w:bottom w:val="single" w:sz="8" w:color="auto"/>
              <w:right w:val="single" w:sz="8" w:color="auto"/>
            </w:tcBorders>
          </w:tcPr>
          <w:p>
            <w:pPr>
              <w:spacing w:after="0"/>
              <w:rPr>
                <w:sz w:val="10"/>
                <w:szCs w:val="10"/>
                <w:color w:val="auto"/>
              </w:rPr>
            </w:pPr>
          </w:p>
        </w:tc>
        <w:tc>
          <w:tcPr>
            <w:tcW w:w="93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52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9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tcBorders>
              <w:right w:val="single" w:sz="8" w:color="auto"/>
            </w:tcBorders>
            <w:vMerge w:val="continue"/>
          </w:tcPr>
          <w:p>
            <w:pPr>
              <w:spacing w:after="0"/>
              <w:rPr>
                <w:sz w:val="14"/>
                <w:szCs w:val="14"/>
                <w:color w:val="auto"/>
              </w:rPr>
            </w:pPr>
          </w:p>
        </w:tc>
        <w:tc>
          <w:tcPr>
            <w:tcW w:w="93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520" w:type="dxa"/>
            <w:vAlign w:val="bottom"/>
            <w:tcBorders>
              <w:right w:val="single" w:sz="8" w:color="auto"/>
            </w:tcBorders>
            <w:vMerge w:val="continue"/>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93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20" w:type="dxa"/>
            <w:vAlign w:val="bottom"/>
            <w:tcBorders>
              <w:right w:val="single" w:sz="8" w:color="auto"/>
            </w:tcBorders>
          </w:tcPr>
          <w:p>
            <w:pPr>
              <w:spacing w:after="0"/>
              <w:rPr>
                <w:sz w:val="18"/>
                <w:szCs w:val="18"/>
                <w:color w:val="auto"/>
              </w:rPr>
            </w:pPr>
          </w:p>
        </w:tc>
        <w:tc>
          <w:tcPr>
            <w:tcW w:w="9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right w:val="single" w:sz="8" w:color="auto"/>
            </w:tcBorders>
          </w:tcPr>
          <w:p>
            <w:pPr>
              <w:spacing w:after="0"/>
              <w:rPr>
                <w:sz w:val="7"/>
                <w:szCs w:val="7"/>
                <w:color w:val="auto"/>
              </w:rPr>
            </w:pPr>
          </w:p>
        </w:tc>
        <w:tc>
          <w:tcPr>
            <w:tcW w:w="93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1520" w:type="dxa"/>
            <w:vAlign w:val="bottom"/>
            <w:tcBorders>
              <w:right w:val="single" w:sz="8" w:color="auto"/>
            </w:tcBorders>
            <w:vMerge w:val="continue"/>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93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520" w:type="dxa"/>
            <w:vAlign w:val="bottom"/>
            <w:tcBorders>
              <w:right w:val="single" w:sz="8" w:color="auto"/>
            </w:tcBorders>
          </w:tcPr>
          <w:p>
            <w:pPr>
              <w:spacing w:after="0"/>
              <w:rPr>
                <w:sz w:val="21"/>
                <w:szCs w:val="21"/>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52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8,460,090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2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9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540" w:right="4160" w:hanging="345"/>
        <w:spacing w:after="0" w:line="406" w:lineRule="auto"/>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 8,460,090</w:t>
      </w:r>
    </w:p>
    <w:p>
      <w:pPr>
        <w:spacing w:after="0" w:line="2" w:lineRule="exact"/>
        <w:rPr>
          <w:sz w:val="20"/>
          <w:szCs w:val="20"/>
          <w:color w:val="auto"/>
        </w:rPr>
      </w:pPr>
    </w:p>
    <w:p>
      <w:pPr>
        <w:ind w:left="160"/>
        <w:spacing w:after="0" w:line="207" w:lineRule="exact"/>
        <w:tabs>
          <w:tab w:leader="none" w:pos="520" w:val="left"/>
          <w:tab w:leader="none" w:pos="96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306" w:lineRule="exact"/>
        <w:rPr>
          <w:sz w:val="20"/>
          <w:szCs w:val="20"/>
          <w:color w:val="auto"/>
        </w:rPr>
      </w:pPr>
    </w:p>
    <w:p>
      <w:pPr>
        <w:ind w:left="540" w:right="5780" w:hanging="385"/>
        <w:spacing w:after="0" w:line="438" w:lineRule="auto"/>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9.99%</w:t>
      </w:r>
    </w:p>
    <w:p>
      <w:pPr>
        <w:spacing w:after="0" w:line="14" w:lineRule="exact"/>
        <w:rPr>
          <w:rFonts w:ascii="Times New Roman" w:cs="Times New Roman" w:eastAsia="Times New Roman" w:hAnsi="Times New Roman"/>
          <w:sz w:val="18"/>
          <w:szCs w:val="18"/>
          <w:b w:val="1"/>
          <w:bCs w:val="1"/>
          <w:color w:val="auto"/>
        </w:rPr>
      </w:pPr>
    </w:p>
    <w:p>
      <w:pPr>
        <w:ind w:left="540" w:right="6400" w:hanging="390"/>
        <w:spacing w:after="0" w:line="438" w:lineRule="auto"/>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904"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925050106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40575" cy="5735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5735320"/>
                    </a:xfrm>
                    <a:prstGeom prst="rect">
                      <a:avLst/>
                    </a:prstGeom>
                    <a:noFill/>
                  </pic:spPr>
                </pic:pic>
              </a:graphicData>
            </a:graphic>
          </wp:anchor>
        </w:drawing>
      </w:r>
    </w:p>
    <w:p>
      <w:pPr>
        <w:spacing w:after="0" w:line="30" w:lineRule="exact"/>
        <w:rPr>
          <w:sz w:val="20"/>
          <w:szCs w:val="20"/>
          <w:color w:val="auto"/>
        </w:rPr>
      </w:pPr>
    </w:p>
    <w:p>
      <w:pPr>
        <w:ind w:left="580" w:hanging="365"/>
        <w:spacing w:after="0"/>
        <w:tabs>
          <w:tab w:leader="none" w:pos="5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580" w:right="5100"/>
        <w:spacing w:after="0" w:line="41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 Peter Kolchinsky</w:t>
      </w:r>
    </w:p>
    <w:p>
      <w:pPr>
        <w:spacing w:after="0" w:line="32" w:lineRule="exact"/>
        <w:rPr>
          <w:sz w:val="20"/>
          <w:szCs w:val="20"/>
          <w:color w:val="auto"/>
        </w:rPr>
      </w:pPr>
    </w:p>
    <w:p>
      <w:pPr>
        <w:ind w:left="580" w:hanging="365"/>
        <w:spacing w:after="0"/>
        <w:tabs>
          <w:tab w:leader="none" w:pos="5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03" w:lineRule="exact"/>
        <w:rPr>
          <w:sz w:val="20"/>
          <w:szCs w:val="20"/>
          <w:color w:val="auto"/>
        </w:rPr>
      </w:pPr>
    </w:p>
    <w:p>
      <w:pPr>
        <w:ind w:left="102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63" w:lineRule="exact"/>
        <w:rPr>
          <w:sz w:val="20"/>
          <w:szCs w:val="20"/>
          <w:color w:val="auto"/>
        </w:rPr>
      </w:pPr>
    </w:p>
    <w:p>
      <w:pPr>
        <w:ind w:left="102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71" w:lineRule="exact"/>
        <w:rPr>
          <w:sz w:val="20"/>
          <w:szCs w:val="20"/>
          <w:color w:val="auto"/>
        </w:rPr>
      </w:pPr>
    </w:p>
    <w:p>
      <w:pPr>
        <w:ind w:left="580" w:hanging="365"/>
        <w:spacing w:after="0"/>
        <w:tabs>
          <w:tab w:leader="none" w:pos="5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66" w:lineRule="exact"/>
        <w:rPr>
          <w:sz w:val="20"/>
          <w:szCs w:val="20"/>
          <w:color w:val="auto"/>
        </w:rPr>
      </w:pPr>
    </w:p>
    <w:p>
      <w:pPr>
        <w:ind w:left="580" w:right="7020" w:hanging="365"/>
        <w:spacing w:after="0" w:line="433" w:lineRule="auto"/>
        <w:tabs>
          <w:tab w:leader="none" w:pos="5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United States of America</w:t>
      </w:r>
    </w:p>
    <w:tbl>
      <w:tblPr>
        <w:tblLayout w:type="fixed"/>
        <w:tblInd w:w="0" w:type="dxa"/>
        <w:tblCellMar>
          <w:top w:w="0" w:type="dxa"/>
          <w:left w:w="0" w:type="dxa"/>
          <w:bottom w:w="0" w:type="dxa"/>
          <w:right w:w="0" w:type="dxa"/>
        </w:tblCellMar>
      </w:tblPr>
      <w:tr>
        <w:trPr>
          <w:trHeight w:val="237"/>
        </w:trPr>
        <w:tc>
          <w:tcPr>
            <w:tcW w:w="1520" w:type="dxa"/>
            <w:vAlign w:val="bottom"/>
            <w:tcBorders>
              <w:top w:val="single" w:sz="8" w:color="auto"/>
              <w:right w:val="single" w:sz="8" w:color="auto"/>
            </w:tcBorders>
          </w:tcPr>
          <w:p>
            <w:pPr>
              <w:spacing w:after="0"/>
              <w:rPr>
                <w:sz w:val="20"/>
                <w:szCs w:val="20"/>
                <w:color w:val="auto"/>
              </w:rPr>
            </w:pPr>
          </w:p>
        </w:tc>
        <w:tc>
          <w:tcPr>
            <w:tcW w:w="420" w:type="dxa"/>
            <w:vAlign w:val="bottom"/>
            <w:tcBorders>
              <w:top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w:t>
            </w:r>
          </w:p>
        </w:tc>
        <w:tc>
          <w:tcPr>
            <w:tcW w:w="93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Borders>
              <w:right w:val="single" w:sz="8" w:color="auto"/>
            </w:tcBorders>
          </w:tcPr>
          <w:p>
            <w:pPr>
              <w:spacing w:after="0"/>
              <w:rPr>
                <w:sz w:val="24"/>
                <w:szCs w:val="24"/>
                <w:color w:val="auto"/>
              </w:rPr>
            </w:pP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20" w:type="dxa"/>
            <w:vAlign w:val="bottom"/>
            <w:tcBorders>
              <w:right w:val="single" w:sz="8" w:color="auto"/>
            </w:tcBorders>
            <w:vMerge w:val="continue"/>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9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420" w:type="dxa"/>
            <w:vAlign w:val="bottom"/>
            <w:tcBorders>
              <w:right w:val="single" w:sz="8" w:color="auto"/>
            </w:tcBorders>
          </w:tcPr>
          <w:p>
            <w:pPr>
              <w:jc w:val="right"/>
              <w:ind w:right="70"/>
              <w:spacing w:after="0" w:line="191" w:lineRule="exact"/>
              <w:rPr>
                <w:sz w:val="20"/>
                <w:szCs w:val="20"/>
                <w:color w:val="auto"/>
              </w:rPr>
            </w:pPr>
            <w:r>
              <w:rPr>
                <w:rFonts w:ascii="Times New Roman" w:cs="Times New Roman" w:eastAsia="Times New Roman" w:hAnsi="Times New Roman"/>
                <w:sz w:val="18"/>
                <w:szCs w:val="18"/>
                <w:b w:val="1"/>
                <w:bCs w:val="1"/>
                <w:color w:val="auto"/>
              </w:rPr>
              <w:t>6</w:t>
            </w:r>
          </w:p>
        </w:tc>
        <w:tc>
          <w:tcPr>
            <w:tcW w:w="93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20" w:type="dxa"/>
            <w:vAlign w:val="bottom"/>
            <w:tcBorders>
              <w:right w:val="single" w:sz="8" w:color="auto"/>
            </w:tcBorders>
          </w:tcPr>
          <w:p>
            <w:pPr>
              <w:spacing w:after="0"/>
              <w:rPr>
                <w:sz w:val="18"/>
                <w:szCs w:val="18"/>
                <w:color w:val="auto"/>
              </w:rPr>
            </w:pPr>
          </w:p>
        </w:tc>
        <w:tc>
          <w:tcPr>
            <w:tcW w:w="9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8,460,090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20" w:type="dxa"/>
            <w:vAlign w:val="bottom"/>
            <w:tcBorders>
              <w:right w:val="single" w:sz="8" w:color="auto"/>
            </w:tcBorders>
          </w:tcPr>
          <w:p>
            <w:pPr>
              <w:spacing w:after="0"/>
              <w:rPr>
                <w:sz w:val="18"/>
                <w:szCs w:val="18"/>
                <w:color w:val="auto"/>
              </w:rPr>
            </w:pPr>
          </w:p>
        </w:tc>
        <w:tc>
          <w:tcPr>
            <w:tcW w:w="93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20" w:type="dxa"/>
            <w:vAlign w:val="bottom"/>
            <w:tcBorders>
              <w:bottom w:val="single" w:sz="8" w:color="auto"/>
              <w:right w:val="single" w:sz="8" w:color="auto"/>
            </w:tcBorders>
          </w:tcPr>
          <w:p>
            <w:pPr>
              <w:spacing w:after="0"/>
              <w:rPr>
                <w:sz w:val="10"/>
                <w:szCs w:val="10"/>
                <w:color w:val="auto"/>
              </w:rPr>
            </w:pPr>
          </w:p>
        </w:tc>
        <w:tc>
          <w:tcPr>
            <w:tcW w:w="93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52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9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tcBorders>
              <w:right w:val="single" w:sz="8" w:color="auto"/>
            </w:tcBorders>
            <w:vMerge w:val="continue"/>
          </w:tcPr>
          <w:p>
            <w:pPr>
              <w:spacing w:after="0"/>
              <w:rPr>
                <w:sz w:val="14"/>
                <w:szCs w:val="14"/>
                <w:color w:val="auto"/>
              </w:rPr>
            </w:pPr>
          </w:p>
        </w:tc>
        <w:tc>
          <w:tcPr>
            <w:tcW w:w="93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520" w:type="dxa"/>
            <w:vAlign w:val="bottom"/>
            <w:tcBorders>
              <w:right w:val="single" w:sz="8" w:color="auto"/>
            </w:tcBorders>
            <w:vMerge w:val="continue"/>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93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20" w:type="dxa"/>
            <w:vAlign w:val="bottom"/>
            <w:tcBorders>
              <w:right w:val="single" w:sz="8" w:color="auto"/>
            </w:tcBorders>
          </w:tcPr>
          <w:p>
            <w:pPr>
              <w:spacing w:after="0"/>
              <w:rPr>
                <w:sz w:val="18"/>
                <w:szCs w:val="18"/>
                <w:color w:val="auto"/>
              </w:rPr>
            </w:pPr>
          </w:p>
        </w:tc>
        <w:tc>
          <w:tcPr>
            <w:tcW w:w="9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right w:val="single" w:sz="8" w:color="auto"/>
            </w:tcBorders>
          </w:tcPr>
          <w:p>
            <w:pPr>
              <w:spacing w:after="0"/>
              <w:rPr>
                <w:sz w:val="7"/>
                <w:szCs w:val="7"/>
                <w:color w:val="auto"/>
              </w:rPr>
            </w:pPr>
          </w:p>
        </w:tc>
        <w:tc>
          <w:tcPr>
            <w:tcW w:w="93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1520" w:type="dxa"/>
            <w:vAlign w:val="bottom"/>
            <w:tcBorders>
              <w:right w:val="single" w:sz="8" w:color="auto"/>
            </w:tcBorders>
            <w:vMerge w:val="continue"/>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93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520" w:type="dxa"/>
            <w:vAlign w:val="bottom"/>
            <w:tcBorders>
              <w:right w:val="single" w:sz="8" w:color="auto"/>
            </w:tcBorders>
          </w:tcPr>
          <w:p>
            <w:pPr>
              <w:spacing w:after="0"/>
              <w:rPr>
                <w:sz w:val="21"/>
                <w:szCs w:val="21"/>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52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8,460,090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2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9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540" w:right="4160" w:hanging="345"/>
        <w:spacing w:after="0" w:line="406" w:lineRule="auto"/>
        <w:tabs>
          <w:tab w:leader="none" w:pos="5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 8,460,090</w:t>
      </w:r>
    </w:p>
    <w:p>
      <w:pPr>
        <w:spacing w:after="0" w:line="2" w:lineRule="exact"/>
        <w:rPr>
          <w:sz w:val="20"/>
          <w:szCs w:val="20"/>
          <w:color w:val="auto"/>
        </w:rPr>
      </w:pPr>
    </w:p>
    <w:p>
      <w:pPr>
        <w:ind w:left="160"/>
        <w:spacing w:after="0" w:line="207" w:lineRule="exact"/>
        <w:tabs>
          <w:tab w:leader="none" w:pos="520" w:val="left"/>
          <w:tab w:leader="none" w:pos="96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306" w:lineRule="exact"/>
        <w:rPr>
          <w:sz w:val="20"/>
          <w:szCs w:val="20"/>
          <w:color w:val="auto"/>
        </w:rPr>
      </w:pPr>
    </w:p>
    <w:p>
      <w:pPr>
        <w:ind w:left="540" w:right="5780" w:hanging="385"/>
        <w:spacing w:after="0" w:line="438" w:lineRule="auto"/>
        <w:tabs>
          <w:tab w:leader="none" w:pos="5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9.99%</w:t>
      </w:r>
    </w:p>
    <w:p>
      <w:pPr>
        <w:spacing w:after="0" w:line="14" w:lineRule="exact"/>
        <w:rPr>
          <w:rFonts w:ascii="Times New Roman" w:cs="Times New Roman" w:eastAsia="Times New Roman" w:hAnsi="Times New Roman"/>
          <w:sz w:val="18"/>
          <w:szCs w:val="18"/>
          <w:b w:val="1"/>
          <w:bCs w:val="1"/>
          <w:color w:val="auto"/>
        </w:rPr>
      </w:pPr>
    </w:p>
    <w:p>
      <w:pPr>
        <w:ind w:left="540" w:right="6400" w:hanging="390"/>
        <w:spacing w:after="0" w:line="438" w:lineRule="auto"/>
        <w:tabs>
          <w:tab w:leader="none" w:pos="5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904"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925050106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40575" cy="5734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0575" cy="5734685"/>
                    </a:xfrm>
                    <a:prstGeom prst="rect">
                      <a:avLst/>
                    </a:prstGeom>
                    <a:noFill/>
                  </pic:spPr>
                </pic:pic>
              </a:graphicData>
            </a:graphic>
          </wp:anchor>
        </w:drawing>
      </w:r>
    </w:p>
    <w:p>
      <w:pPr>
        <w:spacing w:after="0" w:line="30" w:lineRule="exact"/>
        <w:rPr>
          <w:sz w:val="20"/>
          <w:szCs w:val="20"/>
          <w:color w:val="auto"/>
        </w:rPr>
      </w:pPr>
    </w:p>
    <w:p>
      <w:pPr>
        <w:ind w:left="580" w:hanging="365"/>
        <w:spacing w:after="0"/>
        <w:tabs>
          <w:tab w:leader="none" w:pos="5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580" w:right="5100"/>
        <w:spacing w:after="0" w:line="41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 Rajeev Shah</w:t>
      </w:r>
    </w:p>
    <w:p>
      <w:pPr>
        <w:spacing w:after="0" w:line="32" w:lineRule="exact"/>
        <w:rPr>
          <w:sz w:val="20"/>
          <w:szCs w:val="20"/>
          <w:color w:val="auto"/>
        </w:rPr>
      </w:pPr>
    </w:p>
    <w:p>
      <w:pPr>
        <w:ind w:left="580" w:hanging="365"/>
        <w:spacing w:after="0"/>
        <w:tabs>
          <w:tab w:leader="none" w:pos="5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03" w:lineRule="exact"/>
        <w:rPr>
          <w:sz w:val="20"/>
          <w:szCs w:val="20"/>
          <w:color w:val="auto"/>
        </w:rPr>
      </w:pPr>
    </w:p>
    <w:p>
      <w:pPr>
        <w:ind w:left="102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63" w:lineRule="exact"/>
        <w:rPr>
          <w:sz w:val="20"/>
          <w:szCs w:val="20"/>
          <w:color w:val="auto"/>
        </w:rPr>
      </w:pPr>
    </w:p>
    <w:p>
      <w:pPr>
        <w:ind w:left="102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71" w:lineRule="exact"/>
        <w:rPr>
          <w:sz w:val="20"/>
          <w:szCs w:val="20"/>
          <w:color w:val="auto"/>
        </w:rPr>
      </w:pPr>
    </w:p>
    <w:p>
      <w:pPr>
        <w:ind w:left="580" w:hanging="365"/>
        <w:spacing w:after="0"/>
        <w:tabs>
          <w:tab w:leader="none" w:pos="5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66" w:lineRule="exact"/>
        <w:rPr>
          <w:sz w:val="20"/>
          <w:szCs w:val="20"/>
          <w:color w:val="auto"/>
        </w:rPr>
      </w:pPr>
    </w:p>
    <w:p>
      <w:pPr>
        <w:ind w:left="580" w:right="7020" w:hanging="365"/>
        <w:spacing w:after="0" w:line="433" w:lineRule="auto"/>
        <w:tabs>
          <w:tab w:leader="none" w:pos="5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United States of America</w:t>
      </w:r>
    </w:p>
    <w:tbl>
      <w:tblPr>
        <w:tblLayout w:type="fixed"/>
        <w:tblInd w:w="0" w:type="dxa"/>
        <w:tblCellMar>
          <w:top w:w="0" w:type="dxa"/>
          <w:left w:w="0" w:type="dxa"/>
          <w:bottom w:w="0" w:type="dxa"/>
          <w:right w:w="0" w:type="dxa"/>
        </w:tblCellMar>
      </w:tblPr>
      <w:tr>
        <w:trPr>
          <w:trHeight w:val="237"/>
        </w:trPr>
        <w:tc>
          <w:tcPr>
            <w:tcW w:w="1520" w:type="dxa"/>
            <w:vAlign w:val="bottom"/>
            <w:tcBorders>
              <w:top w:val="single" w:sz="8" w:color="auto"/>
              <w:right w:val="single" w:sz="8" w:color="auto"/>
            </w:tcBorders>
          </w:tcPr>
          <w:p>
            <w:pPr>
              <w:spacing w:after="0"/>
              <w:rPr>
                <w:sz w:val="20"/>
                <w:szCs w:val="20"/>
                <w:color w:val="auto"/>
              </w:rPr>
            </w:pPr>
          </w:p>
        </w:tc>
        <w:tc>
          <w:tcPr>
            <w:tcW w:w="420" w:type="dxa"/>
            <w:vAlign w:val="bottom"/>
            <w:tcBorders>
              <w:top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w:t>
            </w:r>
          </w:p>
        </w:tc>
        <w:tc>
          <w:tcPr>
            <w:tcW w:w="93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Borders>
              <w:right w:val="single" w:sz="8" w:color="auto"/>
            </w:tcBorders>
          </w:tcPr>
          <w:p>
            <w:pPr>
              <w:spacing w:after="0"/>
              <w:rPr>
                <w:sz w:val="24"/>
                <w:szCs w:val="24"/>
                <w:color w:val="auto"/>
              </w:rPr>
            </w:pP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20" w:type="dxa"/>
            <w:vAlign w:val="bottom"/>
            <w:tcBorders>
              <w:right w:val="single" w:sz="8" w:color="auto"/>
            </w:tcBorders>
            <w:vMerge w:val="continue"/>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9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420" w:type="dxa"/>
            <w:vAlign w:val="bottom"/>
            <w:tcBorders>
              <w:right w:val="single" w:sz="8" w:color="auto"/>
            </w:tcBorders>
          </w:tcPr>
          <w:p>
            <w:pPr>
              <w:jc w:val="right"/>
              <w:ind w:right="70"/>
              <w:spacing w:after="0" w:line="191" w:lineRule="exact"/>
              <w:rPr>
                <w:sz w:val="20"/>
                <w:szCs w:val="20"/>
                <w:color w:val="auto"/>
              </w:rPr>
            </w:pPr>
            <w:r>
              <w:rPr>
                <w:rFonts w:ascii="Times New Roman" w:cs="Times New Roman" w:eastAsia="Times New Roman" w:hAnsi="Times New Roman"/>
                <w:sz w:val="18"/>
                <w:szCs w:val="18"/>
                <w:b w:val="1"/>
                <w:bCs w:val="1"/>
                <w:color w:val="auto"/>
              </w:rPr>
              <w:t>6</w:t>
            </w:r>
          </w:p>
        </w:tc>
        <w:tc>
          <w:tcPr>
            <w:tcW w:w="93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20" w:type="dxa"/>
            <w:vAlign w:val="bottom"/>
            <w:tcBorders>
              <w:right w:val="single" w:sz="8" w:color="auto"/>
            </w:tcBorders>
          </w:tcPr>
          <w:p>
            <w:pPr>
              <w:spacing w:after="0"/>
              <w:rPr>
                <w:sz w:val="18"/>
                <w:szCs w:val="18"/>
                <w:color w:val="auto"/>
              </w:rPr>
            </w:pPr>
          </w:p>
        </w:tc>
        <w:tc>
          <w:tcPr>
            <w:tcW w:w="9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8,460,090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20" w:type="dxa"/>
            <w:vAlign w:val="bottom"/>
            <w:tcBorders>
              <w:right w:val="single" w:sz="8" w:color="auto"/>
            </w:tcBorders>
          </w:tcPr>
          <w:p>
            <w:pPr>
              <w:spacing w:after="0"/>
              <w:rPr>
                <w:sz w:val="18"/>
                <w:szCs w:val="18"/>
                <w:color w:val="auto"/>
              </w:rPr>
            </w:pPr>
          </w:p>
        </w:tc>
        <w:tc>
          <w:tcPr>
            <w:tcW w:w="93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20" w:type="dxa"/>
            <w:vAlign w:val="bottom"/>
            <w:tcBorders>
              <w:bottom w:val="single" w:sz="8" w:color="auto"/>
              <w:right w:val="single" w:sz="8" w:color="auto"/>
            </w:tcBorders>
          </w:tcPr>
          <w:p>
            <w:pPr>
              <w:spacing w:after="0"/>
              <w:rPr>
                <w:sz w:val="10"/>
                <w:szCs w:val="10"/>
                <w:color w:val="auto"/>
              </w:rPr>
            </w:pPr>
          </w:p>
        </w:tc>
        <w:tc>
          <w:tcPr>
            <w:tcW w:w="93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52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9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tcBorders>
              <w:right w:val="single" w:sz="8" w:color="auto"/>
            </w:tcBorders>
            <w:vMerge w:val="continue"/>
          </w:tcPr>
          <w:p>
            <w:pPr>
              <w:spacing w:after="0"/>
              <w:rPr>
                <w:sz w:val="14"/>
                <w:szCs w:val="14"/>
                <w:color w:val="auto"/>
              </w:rPr>
            </w:pPr>
          </w:p>
        </w:tc>
        <w:tc>
          <w:tcPr>
            <w:tcW w:w="93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520" w:type="dxa"/>
            <w:vAlign w:val="bottom"/>
            <w:tcBorders>
              <w:right w:val="single" w:sz="8" w:color="auto"/>
            </w:tcBorders>
            <w:vMerge w:val="continue"/>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93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20" w:type="dxa"/>
            <w:vAlign w:val="bottom"/>
            <w:tcBorders>
              <w:right w:val="single" w:sz="8" w:color="auto"/>
            </w:tcBorders>
          </w:tcPr>
          <w:p>
            <w:pPr>
              <w:spacing w:after="0"/>
              <w:rPr>
                <w:sz w:val="18"/>
                <w:szCs w:val="18"/>
                <w:color w:val="auto"/>
              </w:rPr>
            </w:pPr>
          </w:p>
        </w:tc>
        <w:tc>
          <w:tcPr>
            <w:tcW w:w="9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right w:val="single" w:sz="8" w:color="auto"/>
            </w:tcBorders>
          </w:tcPr>
          <w:p>
            <w:pPr>
              <w:spacing w:after="0"/>
              <w:rPr>
                <w:sz w:val="7"/>
                <w:szCs w:val="7"/>
                <w:color w:val="auto"/>
              </w:rPr>
            </w:pPr>
          </w:p>
        </w:tc>
        <w:tc>
          <w:tcPr>
            <w:tcW w:w="93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1520" w:type="dxa"/>
            <w:vAlign w:val="bottom"/>
            <w:tcBorders>
              <w:right w:val="single" w:sz="8" w:color="auto"/>
            </w:tcBorders>
            <w:vMerge w:val="continue"/>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93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520" w:type="dxa"/>
            <w:vAlign w:val="bottom"/>
            <w:tcBorders>
              <w:right w:val="single" w:sz="8" w:color="auto"/>
            </w:tcBorders>
          </w:tcPr>
          <w:p>
            <w:pPr>
              <w:spacing w:after="0"/>
              <w:rPr>
                <w:sz w:val="21"/>
                <w:szCs w:val="21"/>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52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8,460,090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2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9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540" w:right="4160" w:hanging="345"/>
        <w:spacing w:after="0" w:line="406" w:lineRule="auto"/>
        <w:tabs>
          <w:tab w:leader="none" w:pos="5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 8,460,090</w:t>
      </w:r>
    </w:p>
    <w:p>
      <w:pPr>
        <w:spacing w:after="0" w:line="2" w:lineRule="exact"/>
        <w:rPr>
          <w:sz w:val="20"/>
          <w:szCs w:val="20"/>
          <w:color w:val="auto"/>
        </w:rPr>
      </w:pPr>
    </w:p>
    <w:p>
      <w:pPr>
        <w:ind w:left="160"/>
        <w:spacing w:after="0" w:line="207" w:lineRule="exact"/>
        <w:tabs>
          <w:tab w:leader="none" w:pos="520" w:val="left"/>
          <w:tab w:leader="none" w:pos="96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306" w:lineRule="exact"/>
        <w:rPr>
          <w:sz w:val="20"/>
          <w:szCs w:val="20"/>
          <w:color w:val="auto"/>
        </w:rPr>
      </w:pPr>
    </w:p>
    <w:p>
      <w:pPr>
        <w:ind w:left="540" w:right="5780" w:hanging="385"/>
        <w:spacing w:after="0" w:line="438" w:lineRule="auto"/>
        <w:tabs>
          <w:tab w:leader="none" w:pos="5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9.99%</w:t>
      </w:r>
    </w:p>
    <w:p>
      <w:pPr>
        <w:spacing w:after="0" w:line="14" w:lineRule="exact"/>
        <w:rPr>
          <w:rFonts w:ascii="Times New Roman" w:cs="Times New Roman" w:eastAsia="Times New Roman" w:hAnsi="Times New Roman"/>
          <w:sz w:val="18"/>
          <w:szCs w:val="18"/>
          <w:b w:val="1"/>
          <w:bCs w:val="1"/>
          <w:color w:val="auto"/>
        </w:rPr>
      </w:pPr>
    </w:p>
    <w:p>
      <w:pPr>
        <w:ind w:left="540" w:right="6400" w:hanging="390"/>
        <w:spacing w:after="0" w:line="438" w:lineRule="auto"/>
        <w:tabs>
          <w:tab w:leader="none" w:pos="5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904"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925050106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40575" cy="5735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0575" cy="5735320"/>
                    </a:xfrm>
                    <a:prstGeom prst="rect">
                      <a:avLst/>
                    </a:prstGeom>
                    <a:noFill/>
                  </pic:spPr>
                </pic:pic>
              </a:graphicData>
            </a:graphic>
          </wp:anchor>
        </w:drawing>
      </w:r>
    </w:p>
    <w:p>
      <w:pPr>
        <w:spacing w:after="0" w:line="30" w:lineRule="exact"/>
        <w:rPr>
          <w:sz w:val="20"/>
          <w:szCs w:val="20"/>
          <w:color w:val="auto"/>
        </w:rPr>
      </w:pPr>
    </w:p>
    <w:p>
      <w:pPr>
        <w:ind w:left="580" w:hanging="365"/>
        <w:spacing w:after="0"/>
        <w:tabs>
          <w:tab w:leader="none" w:pos="5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580" w:right="5100"/>
        <w:spacing w:after="0" w:line="41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 RA Capital Healthcare Fund, L.P.</w:t>
      </w:r>
    </w:p>
    <w:p>
      <w:pPr>
        <w:spacing w:after="0" w:line="32" w:lineRule="exact"/>
        <w:rPr>
          <w:sz w:val="20"/>
          <w:szCs w:val="20"/>
          <w:color w:val="auto"/>
        </w:rPr>
      </w:pPr>
    </w:p>
    <w:p>
      <w:pPr>
        <w:ind w:left="580" w:hanging="365"/>
        <w:spacing w:after="0"/>
        <w:tabs>
          <w:tab w:leader="none" w:pos="5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03" w:lineRule="exact"/>
        <w:rPr>
          <w:sz w:val="20"/>
          <w:szCs w:val="20"/>
          <w:color w:val="auto"/>
        </w:rPr>
      </w:pPr>
    </w:p>
    <w:p>
      <w:pPr>
        <w:ind w:left="102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63" w:lineRule="exact"/>
        <w:rPr>
          <w:sz w:val="20"/>
          <w:szCs w:val="20"/>
          <w:color w:val="auto"/>
        </w:rPr>
      </w:pPr>
    </w:p>
    <w:p>
      <w:pPr>
        <w:ind w:left="102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71" w:lineRule="exact"/>
        <w:rPr>
          <w:sz w:val="20"/>
          <w:szCs w:val="20"/>
          <w:color w:val="auto"/>
        </w:rPr>
      </w:pPr>
    </w:p>
    <w:p>
      <w:pPr>
        <w:ind w:left="580" w:hanging="365"/>
        <w:spacing w:after="0"/>
        <w:tabs>
          <w:tab w:leader="none" w:pos="5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66" w:lineRule="exact"/>
        <w:rPr>
          <w:sz w:val="20"/>
          <w:szCs w:val="20"/>
          <w:color w:val="auto"/>
        </w:rPr>
      </w:pPr>
    </w:p>
    <w:p>
      <w:pPr>
        <w:ind w:left="580" w:right="7020" w:hanging="365"/>
        <w:spacing w:after="0" w:line="433" w:lineRule="auto"/>
        <w:tabs>
          <w:tab w:leader="none" w:pos="5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37"/>
        </w:trPr>
        <w:tc>
          <w:tcPr>
            <w:tcW w:w="1520" w:type="dxa"/>
            <w:vAlign w:val="bottom"/>
            <w:tcBorders>
              <w:top w:val="single" w:sz="8" w:color="auto"/>
              <w:right w:val="single" w:sz="8" w:color="auto"/>
            </w:tcBorders>
          </w:tcPr>
          <w:p>
            <w:pPr>
              <w:spacing w:after="0"/>
              <w:rPr>
                <w:sz w:val="20"/>
                <w:szCs w:val="20"/>
                <w:color w:val="auto"/>
              </w:rPr>
            </w:pPr>
          </w:p>
        </w:tc>
        <w:tc>
          <w:tcPr>
            <w:tcW w:w="420" w:type="dxa"/>
            <w:vAlign w:val="bottom"/>
            <w:tcBorders>
              <w:top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w:t>
            </w:r>
          </w:p>
        </w:tc>
        <w:tc>
          <w:tcPr>
            <w:tcW w:w="93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Borders>
              <w:right w:val="single" w:sz="8" w:color="auto"/>
            </w:tcBorders>
          </w:tcPr>
          <w:p>
            <w:pPr>
              <w:spacing w:after="0"/>
              <w:rPr>
                <w:sz w:val="24"/>
                <w:szCs w:val="24"/>
                <w:color w:val="auto"/>
              </w:rPr>
            </w:pP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20" w:type="dxa"/>
            <w:vAlign w:val="bottom"/>
            <w:tcBorders>
              <w:right w:val="single" w:sz="8" w:color="auto"/>
            </w:tcBorders>
            <w:vMerge w:val="continue"/>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9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420" w:type="dxa"/>
            <w:vAlign w:val="bottom"/>
            <w:tcBorders>
              <w:right w:val="single" w:sz="8" w:color="auto"/>
            </w:tcBorders>
          </w:tcPr>
          <w:p>
            <w:pPr>
              <w:jc w:val="right"/>
              <w:ind w:right="70"/>
              <w:spacing w:after="0" w:line="191" w:lineRule="exact"/>
              <w:rPr>
                <w:sz w:val="20"/>
                <w:szCs w:val="20"/>
                <w:color w:val="auto"/>
              </w:rPr>
            </w:pPr>
            <w:r>
              <w:rPr>
                <w:rFonts w:ascii="Times New Roman" w:cs="Times New Roman" w:eastAsia="Times New Roman" w:hAnsi="Times New Roman"/>
                <w:sz w:val="18"/>
                <w:szCs w:val="18"/>
                <w:b w:val="1"/>
                <w:bCs w:val="1"/>
                <w:color w:val="auto"/>
              </w:rPr>
              <w:t>6</w:t>
            </w:r>
          </w:p>
        </w:tc>
        <w:tc>
          <w:tcPr>
            <w:tcW w:w="93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20" w:type="dxa"/>
            <w:vAlign w:val="bottom"/>
            <w:tcBorders>
              <w:right w:val="single" w:sz="8" w:color="auto"/>
            </w:tcBorders>
          </w:tcPr>
          <w:p>
            <w:pPr>
              <w:spacing w:after="0"/>
              <w:rPr>
                <w:sz w:val="18"/>
                <w:szCs w:val="18"/>
                <w:color w:val="auto"/>
              </w:rPr>
            </w:pPr>
          </w:p>
        </w:tc>
        <w:tc>
          <w:tcPr>
            <w:tcW w:w="9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8,460,090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20" w:type="dxa"/>
            <w:vAlign w:val="bottom"/>
            <w:tcBorders>
              <w:right w:val="single" w:sz="8" w:color="auto"/>
            </w:tcBorders>
          </w:tcPr>
          <w:p>
            <w:pPr>
              <w:spacing w:after="0"/>
              <w:rPr>
                <w:sz w:val="18"/>
                <w:szCs w:val="18"/>
                <w:color w:val="auto"/>
              </w:rPr>
            </w:pPr>
          </w:p>
        </w:tc>
        <w:tc>
          <w:tcPr>
            <w:tcW w:w="93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20" w:type="dxa"/>
            <w:vAlign w:val="bottom"/>
            <w:tcBorders>
              <w:bottom w:val="single" w:sz="8" w:color="auto"/>
              <w:right w:val="single" w:sz="8" w:color="auto"/>
            </w:tcBorders>
          </w:tcPr>
          <w:p>
            <w:pPr>
              <w:spacing w:after="0"/>
              <w:rPr>
                <w:sz w:val="10"/>
                <w:szCs w:val="10"/>
                <w:color w:val="auto"/>
              </w:rPr>
            </w:pPr>
          </w:p>
        </w:tc>
        <w:tc>
          <w:tcPr>
            <w:tcW w:w="93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52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9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tcBorders>
              <w:right w:val="single" w:sz="8" w:color="auto"/>
            </w:tcBorders>
            <w:vMerge w:val="continue"/>
          </w:tcPr>
          <w:p>
            <w:pPr>
              <w:spacing w:after="0"/>
              <w:rPr>
                <w:sz w:val="14"/>
                <w:szCs w:val="14"/>
                <w:color w:val="auto"/>
              </w:rPr>
            </w:pPr>
          </w:p>
        </w:tc>
        <w:tc>
          <w:tcPr>
            <w:tcW w:w="93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520" w:type="dxa"/>
            <w:vAlign w:val="bottom"/>
            <w:tcBorders>
              <w:right w:val="single" w:sz="8" w:color="auto"/>
            </w:tcBorders>
            <w:vMerge w:val="continue"/>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93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20" w:type="dxa"/>
            <w:vAlign w:val="bottom"/>
            <w:tcBorders>
              <w:right w:val="single" w:sz="8" w:color="auto"/>
            </w:tcBorders>
          </w:tcPr>
          <w:p>
            <w:pPr>
              <w:spacing w:after="0"/>
              <w:rPr>
                <w:sz w:val="18"/>
                <w:szCs w:val="18"/>
                <w:color w:val="auto"/>
              </w:rPr>
            </w:pPr>
          </w:p>
        </w:tc>
        <w:tc>
          <w:tcPr>
            <w:tcW w:w="9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right w:val="single" w:sz="8" w:color="auto"/>
            </w:tcBorders>
          </w:tcPr>
          <w:p>
            <w:pPr>
              <w:spacing w:after="0"/>
              <w:rPr>
                <w:sz w:val="7"/>
                <w:szCs w:val="7"/>
                <w:color w:val="auto"/>
              </w:rPr>
            </w:pPr>
          </w:p>
        </w:tc>
        <w:tc>
          <w:tcPr>
            <w:tcW w:w="93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1520" w:type="dxa"/>
            <w:vAlign w:val="bottom"/>
            <w:tcBorders>
              <w:right w:val="single" w:sz="8" w:color="auto"/>
            </w:tcBorders>
            <w:vMerge w:val="continue"/>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93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520" w:type="dxa"/>
            <w:vAlign w:val="bottom"/>
            <w:tcBorders>
              <w:right w:val="single" w:sz="8" w:color="auto"/>
            </w:tcBorders>
          </w:tcPr>
          <w:p>
            <w:pPr>
              <w:spacing w:after="0"/>
              <w:rPr>
                <w:sz w:val="21"/>
                <w:szCs w:val="21"/>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52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8,460,090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2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9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540" w:right="4160" w:hanging="345"/>
        <w:spacing w:after="0" w:line="406" w:lineRule="auto"/>
        <w:tabs>
          <w:tab w:leader="none" w:pos="5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 8,460,090</w:t>
      </w:r>
    </w:p>
    <w:p>
      <w:pPr>
        <w:spacing w:after="0" w:line="2" w:lineRule="exact"/>
        <w:rPr>
          <w:sz w:val="20"/>
          <w:szCs w:val="20"/>
          <w:color w:val="auto"/>
        </w:rPr>
      </w:pPr>
    </w:p>
    <w:p>
      <w:pPr>
        <w:ind w:left="160"/>
        <w:spacing w:after="0" w:line="207" w:lineRule="exact"/>
        <w:tabs>
          <w:tab w:leader="none" w:pos="520" w:val="left"/>
          <w:tab w:leader="none" w:pos="96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306" w:lineRule="exact"/>
        <w:rPr>
          <w:sz w:val="20"/>
          <w:szCs w:val="20"/>
          <w:color w:val="auto"/>
        </w:rPr>
      </w:pPr>
    </w:p>
    <w:p>
      <w:pPr>
        <w:ind w:left="540" w:right="5780" w:hanging="385"/>
        <w:spacing w:after="0" w:line="438" w:lineRule="auto"/>
        <w:tabs>
          <w:tab w:leader="none" w:pos="5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9.99%</w:t>
      </w:r>
    </w:p>
    <w:p>
      <w:pPr>
        <w:spacing w:after="0" w:line="14" w:lineRule="exact"/>
        <w:rPr>
          <w:rFonts w:ascii="Times New Roman" w:cs="Times New Roman" w:eastAsia="Times New Roman" w:hAnsi="Times New Roman"/>
          <w:sz w:val="18"/>
          <w:szCs w:val="18"/>
          <w:b w:val="1"/>
          <w:bCs w:val="1"/>
          <w:color w:val="auto"/>
        </w:rPr>
      </w:pPr>
    </w:p>
    <w:p>
      <w:pPr>
        <w:ind w:left="540" w:right="6400" w:hanging="390"/>
        <w:spacing w:after="0" w:line="438" w:lineRule="auto"/>
        <w:tabs>
          <w:tab w:leader="none" w:pos="5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904" w:right="319" w:bottom="1440" w:gutter="0" w:footer="0" w:header="0"/>
        </w:sectPr>
      </w:pPr>
    </w:p>
    <w:bookmarkStart w:id="5" w:name="page6"/>
    <w:bookmarkEnd w:id="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Name of Issuer</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Verona Pharma plc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Address of Issuer’s Principal Executive Offices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 More London Riverside, London SE1 2RE, United Kingdom</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u w:val="single" w:color="auto"/>
          <w:color w:val="auto"/>
        </w:rPr>
        <w:t>Names of Persons Filing</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names of the persons filing this report (collectively,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 are:</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Management, L.P. (“</w:t>
      </w:r>
      <w:r>
        <w:rPr>
          <w:rFonts w:ascii="Times New Roman" w:cs="Times New Roman" w:eastAsia="Times New Roman" w:hAnsi="Times New Roman"/>
          <w:sz w:val="18"/>
          <w:szCs w:val="18"/>
          <w:u w:val="single" w:color="auto"/>
          <w:color w:val="auto"/>
        </w:rPr>
        <w:t>RA Capital</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Peter Kolchinsky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Rajeev Shah</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Healthcare Fund, L.P. (the “</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u w:val="single" w:color="auto"/>
          <w:color w:val="auto"/>
        </w:rPr>
        <w:t>Address of Principal Business Office or, if None, Residence</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 RA Capital Management, L.P., 200 Berkeley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Boston MA 02116</w:t>
      </w:r>
    </w:p>
    <w:p>
      <w:pPr>
        <w:spacing w:after="0" w:line="11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u w:val="single" w:color="auto"/>
          <w:color w:val="auto"/>
        </w:rPr>
        <w:t>Citizenship</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and the Fund are Delaware limited partnerships. Dr. Kolchinsky and Mr. Shah are United States citizens.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u w:val="single" w:color="auto"/>
          <w:color w:val="auto"/>
        </w:rPr>
        <w:t>Title of Class of Securities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Ordinary Shares, nominal value £0.05 per share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u w:val="single" w:color="auto"/>
          <w:color w:val="auto"/>
        </w:rPr>
        <w:t>CUSIP Number</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925050106</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If this statement is filed pursuant to §§ 240.13d-1(b) or 240.13d-2(b) or (c), check whether the person filing is a:</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u w:val="single" w:color="auto"/>
          <w:color w:val="auto"/>
        </w:rPr>
        <w:t>Ownership</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980"/>
        <w:spacing w:after="0" w:line="266" w:lineRule="auto"/>
        <w:rPr>
          <w:sz w:val="20"/>
          <w:szCs w:val="20"/>
          <w:color w:val="auto"/>
        </w:rPr>
      </w:pPr>
      <w:r>
        <w:rPr>
          <w:rFonts w:ascii="Times New Roman" w:cs="Times New Roman" w:eastAsia="Times New Roman" w:hAnsi="Times New Roman"/>
          <w:sz w:val="18"/>
          <w:szCs w:val="18"/>
          <w:color w:val="auto"/>
        </w:rPr>
        <w:t>The Fund directly holds (i) 5,009,653 American Depository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that each represent 8 Ordinary Shares (totaling 40,077,224 Ordinary Shares) and (ii) 48,088,896 non-voting ordinary shares (“</w:t>
      </w:r>
      <w:r>
        <w:rPr>
          <w:rFonts w:ascii="Times New Roman" w:cs="Times New Roman" w:eastAsia="Times New Roman" w:hAnsi="Times New Roman"/>
          <w:sz w:val="18"/>
          <w:szCs w:val="18"/>
          <w:u w:val="single" w:color="auto"/>
          <w:color w:val="auto"/>
        </w:rPr>
        <w:t>Non-Voting Ordinary Shares</w:t>
      </w:r>
      <w:r>
        <w:rPr>
          <w:rFonts w:ascii="Times New Roman" w:cs="Times New Roman" w:eastAsia="Times New Roman" w:hAnsi="Times New Roman"/>
          <w:sz w:val="18"/>
          <w:szCs w:val="18"/>
          <w:color w:val="auto"/>
        </w:rPr>
        <w:t>”) that it has the right to redesignate as 48,088,896 Ordinary Shares, subject to a Beneficial Ownership Blocker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20"/>
          </w:cols>
          <w:pgMar w:left="320" w:top="900" w:right="759" w:bottom="1440" w:gutter="0" w:footer="0" w:header="0"/>
        </w:sectPr>
      </w:pPr>
    </w:p>
    <w:bookmarkStart w:id="6" w:name="page7"/>
    <w:bookmarkEnd w:id="6"/>
    <w:p>
      <w:pPr>
        <w:ind w:left="980" w:right="60"/>
        <w:spacing w:after="0" w:line="254" w:lineRule="auto"/>
        <w:rPr>
          <w:sz w:val="20"/>
          <w:szCs w:val="20"/>
          <w:color w:val="auto"/>
        </w:rPr>
      </w:pPr>
      <w:r>
        <w:rPr>
          <w:rFonts w:ascii="Times New Roman" w:cs="Times New Roman" w:eastAsia="Times New Roman" w:hAnsi="Times New Roman"/>
          <w:sz w:val="18"/>
          <w:szCs w:val="18"/>
          <w:color w:val="auto"/>
        </w:rPr>
        <w:t>The Non-Voting Ordinary Shares may be redesignated as Ordinary Shares at the election of the holder, except that the agreement governing the terms of the redesignation of the Non-Voting Ordinary Shares contains a provision (the “</w:t>
      </w:r>
      <w:r>
        <w:rPr>
          <w:rFonts w:ascii="Times New Roman" w:cs="Times New Roman" w:eastAsia="Times New Roman" w:hAnsi="Times New Roman"/>
          <w:sz w:val="18"/>
          <w:szCs w:val="18"/>
          <w:u w:val="single" w:color="auto"/>
          <w:color w:val="auto"/>
        </w:rPr>
        <w:t>Beneficial Ownership Blocker</w:t>
      </w:r>
      <w:r>
        <w:rPr>
          <w:rFonts w:ascii="Times New Roman" w:cs="Times New Roman" w:eastAsia="Times New Roman" w:hAnsi="Times New Roman"/>
          <w:sz w:val="18"/>
          <w:szCs w:val="18"/>
          <w:color w:val="auto"/>
        </w:rPr>
        <w:t>”) which precludes the redesignation of Non-Voting Ordinary Shares to the extent that, following the election of redesignation, the holder, together with its affiliates and any other person acting together with the holder as a “group” (as defined in the rules under the Securities Exchange Act of 1934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would beneficially own more than 9.99% of the Ordinary Shares outstanding (including any Ordinary Shares represented by ADSs). The Reporting Persons are currently prohibited from redesignating the Non-Voting Ordinary Shares to the extent that redesignation would result in beneficial ownership of more than 8,460,090 ADSs (representing a total of 67,680,726 Ordinary Shares) by the Reporting Persons.</w:t>
      </w:r>
    </w:p>
    <w:p>
      <w:pPr>
        <w:spacing w:after="0" w:line="192" w:lineRule="exact"/>
        <w:rPr>
          <w:sz w:val="20"/>
          <w:szCs w:val="20"/>
          <w:color w:val="auto"/>
        </w:rPr>
      </w:pPr>
    </w:p>
    <w:p>
      <w:pPr>
        <w:jc w:val="both"/>
        <w:ind w:left="980" w:right="180"/>
        <w:spacing w:after="0" w:line="266" w:lineRule="auto"/>
        <w:rPr>
          <w:sz w:val="20"/>
          <w:szCs w:val="20"/>
          <w:color w:val="auto"/>
        </w:rPr>
      </w:pPr>
      <w:r>
        <w:rPr>
          <w:rFonts w:ascii="Times New Roman" w:cs="Times New Roman" w:eastAsia="Times New Roman" w:hAnsi="Times New Roman"/>
          <w:sz w:val="18"/>
          <w:szCs w:val="18"/>
          <w:color w:val="auto"/>
        </w:rPr>
        <w:t>The shares reported herein as beneficially owned by the Reporting Persons represent (i) 5,009,653 ADSs (representing 40,077,224 Ordinary Shares), and (ii) 3,450,437 ADSs (representing 27,603,496 Ordinary Shares upon the redesignation of the Non-Voting Ordinary Shares), as limited by the Beneficial Ownership Blocker.</w:t>
      </w:r>
    </w:p>
    <w:p>
      <w:pPr>
        <w:spacing w:after="0" w:line="176" w:lineRule="exact"/>
        <w:rPr>
          <w:sz w:val="20"/>
          <w:szCs w:val="20"/>
          <w:color w:val="auto"/>
        </w:rPr>
      </w:pPr>
    </w:p>
    <w:p>
      <w:pPr>
        <w:ind w:left="980"/>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with respect to each Reporting Person is set forth in Rows 5 through 9 and 11 of the cover page to this Schedule 13G/A. The beneficial ownership percentages reported are based on the equivalent of 81,235,155 outstanding ADSs (based on a total of 649,881,246 outstanding Ordinary Shares, as reported in the Issuer’s Form 10-Q filed on August 8, 2024 plus (ii) 3,450,437 ADSs (representing 27,603,496 Ordinary Shares) of which the Reporting Persons may currently acquire beneficial ownership upon the redesignation of Non-Voting Ordinary Shares, as limited by the Beneficial Ownership Blocker.</w:t>
      </w:r>
    </w:p>
    <w:p>
      <w:pPr>
        <w:spacing w:after="0" w:line="183" w:lineRule="exact"/>
        <w:rPr>
          <w:sz w:val="20"/>
          <w:szCs w:val="20"/>
          <w:color w:val="auto"/>
        </w:rPr>
      </w:pPr>
    </w:p>
    <w:p>
      <w:pPr>
        <w:ind w:left="980" w:right="20"/>
        <w:spacing w:after="0" w:line="253" w:lineRule="auto"/>
        <w:rPr>
          <w:sz w:val="20"/>
          <w:szCs w:val="20"/>
          <w:color w:val="auto"/>
        </w:rPr>
      </w:pPr>
      <w:r>
        <w:rPr>
          <w:rFonts w:ascii="Times New Roman" w:cs="Times New Roman" w:eastAsia="Times New Roman" w:hAnsi="Times New Roman"/>
          <w:sz w:val="18"/>
          <w:szCs w:val="18"/>
          <w:color w:val="auto"/>
        </w:rPr>
        <w:t>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 has delegated to RA Capital the sole power to vote and the sole power to dispose of all securities held in the Fund’s portfolio, including the shares of the Issuer’s Ordinary Shares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13G/A other than for the purpose of determining their obligations under Section 13(d) of the Act, and the filing of this Schedule 13G/A shall not be deemed an admission that either RA Capital, Dr. Kolchinsky, or Mr. Shah is the beneficial owner of such securities for any other purpose.</w:t>
      </w:r>
    </w:p>
    <w:p>
      <w:pPr>
        <w:spacing w:after="0" w:line="1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Ownership of Five Percent or Less of a Class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right="400"/>
        <w:spacing w:after="0" w:line="239" w:lineRule="exact"/>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u w:val="single" w:color="auto"/>
          <w:color w:val="auto"/>
        </w:rPr>
        <w:t>Ownership of More than Five Percent on Behalf of Another Person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 w:name="page8"/>
    <w:bookmarkEnd w:id="7"/>
    <w:p>
      <w:pPr>
        <w:ind w:left="980" w:right="10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u w:val="single" w:color="auto"/>
          <w:color w:val="auto"/>
        </w:rPr>
        <w:t>Identification and Classification of the Subsidiary Which Acquired the Security Being Reported on by the Parent Holding Company or Control Person</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u w:val="single" w:color="auto"/>
          <w:color w:val="auto"/>
        </w:rPr>
        <w:t>Identification and Classification of Members of the Group</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u w:val="single" w:color="auto"/>
          <w:color w:val="auto"/>
        </w:rPr>
        <w:t>Notice of Dissolution of Group</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u w:val="single" w:color="auto"/>
          <w:color w:val="auto"/>
        </w:rPr>
        <w:t>Certification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1: 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25"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6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November 14,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MANAGEMENT,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Kolchinsky</w:t>
            </w:r>
          </w:p>
        </w:tc>
      </w:tr>
      <w:tr>
        <w:trPr>
          <w:trHeight w:val="191"/>
        </w:trPr>
        <w:tc>
          <w:tcPr>
            <w:tcW w:w="5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Peter Kolchinsky</w:t>
            </w:r>
          </w:p>
        </w:tc>
      </w:tr>
      <w:tr>
        <w:trPr>
          <w:trHeight w:val="234"/>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Authorized Signatory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RAJEEV SHAH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HEALTHCARE FUND,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RA Capital Healthcare Fund GP, LLC</w:t>
            </w:r>
          </w:p>
        </w:tc>
        <w:tc>
          <w:tcPr>
            <w:tcW w:w="562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562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Kolchinsky</w:t>
            </w:r>
          </w:p>
        </w:tc>
        <w:tc>
          <w:tcPr>
            <w:tcW w:w="5620" w:type="dxa"/>
            <w:vAlign w:val="bottom"/>
          </w:tcPr>
          <w:p>
            <w:pPr>
              <w:spacing w:after="0"/>
              <w:rPr>
                <w:sz w:val="24"/>
                <w:szCs w:val="24"/>
                <w:color w:val="auto"/>
              </w:rPr>
            </w:pPr>
          </w:p>
        </w:tc>
      </w:tr>
      <w:tr>
        <w:trPr>
          <w:trHeight w:val="191"/>
        </w:trPr>
        <w:tc>
          <w:tcPr>
            <w:tcW w:w="5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Peter Kolchinsky</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w:t>
            </w:r>
          </w:p>
        </w:tc>
        <w:tc>
          <w:tcPr>
            <w:tcW w:w="5620" w:type="dxa"/>
            <w:vAlign w:val="bottom"/>
          </w:tcPr>
          <w:p>
            <w:pPr>
              <w:spacing w:after="0"/>
              <w:rPr>
                <w:sz w:val="20"/>
                <w:szCs w:val="20"/>
                <w:color w:val="auto"/>
              </w:rPr>
            </w:pPr>
          </w:p>
        </w:tc>
      </w:tr>
      <w:tr>
        <w:trPr>
          <w:trHeight w:val="432"/>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This Joint Filing Agreement, dated as of November 14, 2024, is by and among RA Capital Management, L.P., Peter Kolchinsky, Rajeev Shah, and RA Capital Healthcare Fund, L.P. (the foregoing are collectively referred to herein as the “</w:t>
      </w:r>
      <w:r>
        <w:rPr>
          <w:rFonts w:ascii="Times New Roman" w:cs="Times New Roman" w:eastAsia="Times New Roman" w:hAnsi="Times New Roman"/>
          <w:sz w:val="18"/>
          <w:szCs w:val="18"/>
          <w:u w:val="single" w:color="auto"/>
          <w:color w:val="auto"/>
        </w:rPr>
        <w:t>Filers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Each of the Filers may be required to file with the United States Securities and Exchange Commission a statement on Schedule 13G and/or 13D with respect to Ordinary Shares, £0.05 nominal value per share of Verona Pharma plc beneficially owned by them from time to time.</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This Joint Filing Agreement may be terminated by any of the Filers upon one week’s prior written notice or such lesser period of notice as the Filers may mutually agree.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and delivered as of the date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MANAGEMENT,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Kolchinsky</w:t>
            </w:r>
          </w:p>
        </w:tc>
      </w:tr>
      <w:tr>
        <w:trPr>
          <w:trHeight w:val="191"/>
        </w:trPr>
        <w:tc>
          <w:tcPr>
            <w:tcW w:w="5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Peter Kolchinsky</w:t>
            </w:r>
          </w:p>
        </w:tc>
      </w:tr>
      <w:tr>
        <w:trPr>
          <w:trHeight w:val="234"/>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Authorized Signatory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RAJEEV SHAH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HEALTHCARE FUND,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RA Capital Healthcare Fund GP, LLC</w:t>
            </w:r>
          </w:p>
        </w:tc>
        <w:tc>
          <w:tcPr>
            <w:tcW w:w="562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562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Kolchinsky</w:t>
            </w:r>
          </w:p>
        </w:tc>
        <w:tc>
          <w:tcPr>
            <w:tcW w:w="5620" w:type="dxa"/>
            <w:vAlign w:val="bottom"/>
          </w:tcPr>
          <w:p>
            <w:pPr>
              <w:spacing w:after="0"/>
              <w:rPr>
                <w:sz w:val="24"/>
                <w:szCs w:val="24"/>
                <w:color w:val="auto"/>
              </w:rPr>
            </w:pPr>
          </w:p>
        </w:tc>
      </w:tr>
      <w:tr>
        <w:trPr>
          <w:trHeight w:val="191"/>
        </w:trPr>
        <w:tc>
          <w:tcPr>
            <w:tcW w:w="5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Peter Kolchinsky</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w:t>
            </w:r>
          </w:p>
        </w:tc>
        <w:tc>
          <w:tcPr>
            <w:tcW w:w="5620" w:type="dxa"/>
            <w:vAlign w:val="bottom"/>
          </w:tcPr>
          <w:p>
            <w:pPr>
              <w:spacing w:after="0"/>
              <w:rPr>
                <w:sz w:val="20"/>
                <w:szCs w:val="20"/>
                <w:color w:val="auto"/>
              </w:rPr>
            </w:pPr>
          </w:p>
        </w:tc>
      </w:tr>
      <w:tr>
        <w:trPr>
          <w:trHeight w:val="432"/>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bullet"/>
      <w:start w:val="1"/>
    </w:lvl>
  </w:abstractNum>
  <w:abstractNum w:abstractNumId="2">
    <w:nsid w:val="DED7263"/>
    <w:multiLevelType w:val="hybridMultilevel"/>
    <w:lvl w:ilvl="0">
      <w:lvlJc w:val="left"/>
      <w:lvlText w:val="2"/>
      <w:numFmt w:val="bullet"/>
      <w:start w:val="1"/>
    </w:lvl>
  </w:abstractNum>
  <w:abstractNum w:abstractNumId="3">
    <w:nsid w:val="7FDCC233"/>
    <w:multiLevelType w:val="hybridMultilevel"/>
    <w:lvl w:ilvl="0">
      <w:lvlJc w:val="left"/>
      <w:lvlText w:val="3"/>
      <w:numFmt w:val="bullet"/>
      <w:start w:val="1"/>
    </w:lvl>
  </w:abstractNum>
  <w:abstractNum w:abstractNumId="4">
    <w:nsid w:val="1BEFD79F"/>
    <w:multiLevelType w:val="hybridMultilevel"/>
    <w:lvl w:ilvl="0">
      <w:lvlJc w:val="left"/>
      <w:lvlText w:val="4"/>
      <w:numFmt w:val="bullet"/>
      <w:start w:val="1"/>
    </w:lvl>
  </w:abstractNum>
  <w:abstractNum w:abstractNumId="5">
    <w:nsid w:val="41A7C4C9"/>
    <w:multiLevelType w:val="hybridMultilevel"/>
    <w:lvl w:ilvl="0">
      <w:lvlJc w:val="left"/>
      <w:lvlText w:val="9"/>
      <w:numFmt w:val="bullet"/>
      <w:start w:val="1"/>
    </w:lvl>
  </w:abstractNum>
  <w:abstractNum w:abstractNumId="6">
    <w:nsid w:val="6B68079A"/>
    <w:multiLevelType w:val="hybridMultilevel"/>
    <w:lvl w:ilvl="0">
      <w:lvlJc w:val="left"/>
      <w:lvlText w:val="%1"/>
      <w:numFmt w:val="decimal"/>
      <w:start w:val="11"/>
    </w:lvl>
  </w:abstractNum>
  <w:abstractNum w:abstractNumId="7">
    <w:nsid w:val="4E6AFB66"/>
    <w:multiLevelType w:val="hybridMultilevel"/>
    <w:lvl w:ilvl="0">
      <w:lvlJc w:val="left"/>
      <w:lvlText w:val="1"/>
      <w:numFmt w:val="bullet"/>
      <w:start w:val="1"/>
    </w:lvl>
  </w:abstractNum>
  <w:abstractNum w:abstractNumId="8">
    <w:nsid w:val="25E45D32"/>
    <w:multiLevelType w:val="hybridMultilevel"/>
    <w:lvl w:ilvl="0">
      <w:lvlJc w:val="left"/>
      <w:lvlText w:val="2"/>
      <w:numFmt w:val="bullet"/>
      <w:start w:val="1"/>
    </w:lvl>
  </w:abstractNum>
  <w:abstractNum w:abstractNumId="9">
    <w:nsid w:val="519B500D"/>
    <w:multiLevelType w:val="hybridMultilevel"/>
    <w:lvl w:ilvl="0">
      <w:lvlJc w:val="left"/>
      <w:lvlText w:val="3"/>
      <w:numFmt w:val="bullet"/>
      <w:start w:val="1"/>
    </w:lvl>
  </w:abstractNum>
  <w:abstractNum w:abstractNumId="10">
    <w:nsid w:val="431BD7B7"/>
    <w:multiLevelType w:val="hybridMultilevel"/>
    <w:lvl w:ilvl="0">
      <w:lvlJc w:val="left"/>
      <w:lvlText w:val="4"/>
      <w:numFmt w:val="bullet"/>
      <w:start w:val="1"/>
    </w:lvl>
  </w:abstractNum>
  <w:abstractNum w:abstractNumId="11">
    <w:nsid w:val="3F2DBA31"/>
    <w:multiLevelType w:val="hybridMultilevel"/>
    <w:lvl w:ilvl="0">
      <w:lvlJc w:val="left"/>
      <w:lvlText w:val="9"/>
      <w:numFmt w:val="bullet"/>
      <w:start w:val="1"/>
    </w:lvl>
  </w:abstractNum>
  <w:abstractNum w:abstractNumId="12">
    <w:nsid w:val="7C83E458"/>
    <w:multiLevelType w:val="hybridMultilevel"/>
    <w:lvl w:ilvl="0">
      <w:lvlJc w:val="left"/>
      <w:lvlText w:val="%1"/>
      <w:numFmt w:val="decimal"/>
      <w:start w:val="11"/>
    </w:lvl>
  </w:abstractNum>
  <w:abstractNum w:abstractNumId="13">
    <w:nsid w:val="257130A3"/>
    <w:multiLevelType w:val="hybridMultilevel"/>
    <w:lvl w:ilvl="0">
      <w:lvlJc w:val="left"/>
      <w:lvlText w:val="1"/>
      <w:numFmt w:val="bullet"/>
      <w:start w:val="1"/>
    </w:lvl>
  </w:abstractNum>
  <w:abstractNum w:abstractNumId="14">
    <w:nsid w:val="62BBD95A"/>
    <w:multiLevelType w:val="hybridMultilevel"/>
    <w:lvl w:ilvl="0">
      <w:lvlJc w:val="left"/>
      <w:lvlText w:val="2"/>
      <w:numFmt w:val="bullet"/>
      <w:start w:val="1"/>
    </w:lvl>
  </w:abstractNum>
  <w:abstractNum w:abstractNumId="15">
    <w:nsid w:val="436C6125"/>
    <w:multiLevelType w:val="hybridMultilevel"/>
    <w:lvl w:ilvl="0">
      <w:lvlJc w:val="left"/>
      <w:lvlText w:val="3"/>
      <w:numFmt w:val="bullet"/>
      <w:start w:val="1"/>
    </w:lvl>
  </w:abstractNum>
  <w:abstractNum w:abstractNumId="16">
    <w:nsid w:val="628C895D"/>
    <w:multiLevelType w:val="hybridMultilevel"/>
    <w:lvl w:ilvl="0">
      <w:lvlJc w:val="left"/>
      <w:lvlText w:val="4"/>
      <w:numFmt w:val="bullet"/>
      <w:start w:val="1"/>
    </w:lvl>
  </w:abstractNum>
  <w:abstractNum w:abstractNumId="17">
    <w:nsid w:val="333AB105"/>
    <w:multiLevelType w:val="hybridMultilevel"/>
    <w:lvl w:ilvl="0">
      <w:lvlJc w:val="left"/>
      <w:lvlText w:val="9"/>
      <w:numFmt w:val="bullet"/>
      <w:start w:val="1"/>
    </w:lvl>
  </w:abstractNum>
  <w:abstractNum w:abstractNumId="18">
    <w:nsid w:val="721DA317"/>
    <w:multiLevelType w:val="hybridMultilevel"/>
    <w:lvl w:ilvl="0">
      <w:lvlJc w:val="left"/>
      <w:lvlText w:val="%1"/>
      <w:numFmt w:val="decimal"/>
      <w:start w:val="11"/>
    </w:lvl>
  </w:abstractNum>
  <w:abstractNum w:abstractNumId="19">
    <w:nsid w:val="2443A858"/>
    <w:multiLevelType w:val="hybridMultilevel"/>
    <w:lvl w:ilvl="0">
      <w:lvlJc w:val="left"/>
      <w:lvlText w:val="1"/>
      <w:numFmt w:val="bullet"/>
      <w:start w:val="1"/>
    </w:lvl>
  </w:abstractNum>
  <w:abstractNum w:abstractNumId="20">
    <w:nsid w:val="2D1D5AE9"/>
    <w:multiLevelType w:val="hybridMultilevel"/>
    <w:lvl w:ilvl="0">
      <w:lvlJc w:val="left"/>
      <w:lvlText w:val="2"/>
      <w:numFmt w:val="bullet"/>
      <w:start w:val="1"/>
    </w:lvl>
  </w:abstractNum>
  <w:abstractNum w:abstractNumId="21">
    <w:nsid w:val="6763845E"/>
    <w:multiLevelType w:val="hybridMultilevel"/>
    <w:lvl w:ilvl="0">
      <w:lvlJc w:val="left"/>
      <w:lvlText w:val="3"/>
      <w:numFmt w:val="bullet"/>
      <w:start w:val="1"/>
    </w:lvl>
  </w:abstractNum>
  <w:abstractNum w:abstractNumId="22">
    <w:nsid w:val="75A2A8D4"/>
    <w:multiLevelType w:val="hybridMultilevel"/>
    <w:lvl w:ilvl="0">
      <w:lvlJc w:val="left"/>
      <w:lvlText w:val="4"/>
      <w:numFmt w:val="bullet"/>
      <w:start w:val="1"/>
    </w:lvl>
  </w:abstractNum>
  <w:abstractNum w:abstractNumId="23">
    <w:nsid w:val="8EDBDAB"/>
    <w:multiLevelType w:val="hybridMultilevel"/>
    <w:lvl w:ilvl="0">
      <w:lvlJc w:val="left"/>
      <w:lvlText w:val="9"/>
      <w:numFmt w:val="bullet"/>
      <w:start w:val="1"/>
    </w:lvl>
  </w:abstractNum>
  <w:abstractNum w:abstractNumId="24">
    <w:nsid w:val="79838CB2"/>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2024-11-14T16:50:46Z</dcterms:created>
  <dcterms:modified xsi:type="dcterms:W3CDTF">2024-11-14T16:50:46Z</dcterms:modified>
</cp:coreProperties>
</file>