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1" w:lineRule="exact"/>
        <w:rPr>
          <w:sz w:val="24"/>
          <w:szCs w:val="24"/>
          <w:color w:val="auto"/>
        </w:rPr>
      </w:pPr>
    </w:p>
    <w:p>
      <w:pPr>
        <w:ind w:left="4960"/>
        <w:spacing w:after="0"/>
        <w:rPr>
          <w:sz w:val="20"/>
          <w:szCs w:val="20"/>
          <w:color w:val="auto"/>
        </w:rPr>
      </w:pPr>
      <w:r>
        <w:rPr>
          <w:rFonts w:ascii="Arial" w:cs="Arial" w:eastAsia="Arial" w:hAnsi="Arial"/>
          <w:sz w:val="25"/>
          <w:szCs w:val="25"/>
          <w:b w:val="1"/>
          <w:bCs w:val="1"/>
          <w:color w:val="auto"/>
        </w:rPr>
        <w:t>UNITED STATES</w:t>
      </w:r>
    </w:p>
    <w:p>
      <w:pPr>
        <w:spacing w:after="0" w:line="35" w:lineRule="exact"/>
        <w:rPr>
          <w:sz w:val="24"/>
          <w:szCs w:val="24"/>
          <w:color w:val="auto"/>
        </w:rPr>
      </w:pPr>
    </w:p>
    <w:p>
      <w:pPr>
        <w:ind w:left="2920"/>
        <w:spacing w:after="0"/>
        <w:rPr>
          <w:sz w:val="20"/>
          <w:szCs w:val="20"/>
          <w:color w:val="auto"/>
        </w:rPr>
      </w:pPr>
      <w:r>
        <w:rPr>
          <w:rFonts w:ascii="Arial" w:cs="Arial" w:eastAsia="Arial" w:hAnsi="Arial"/>
          <w:sz w:val="25"/>
          <w:szCs w:val="25"/>
          <w:b w:val="1"/>
          <w:bCs w:val="1"/>
          <w:color w:val="auto"/>
        </w:rPr>
        <w:t>SECURITIES AND EXCHANGE COMMISSION</w:t>
      </w:r>
    </w:p>
    <w:p>
      <w:pPr>
        <w:jc w:val="center"/>
        <w:ind w:right="-19"/>
        <w:spacing w:after="0"/>
        <w:rPr>
          <w:sz w:val="20"/>
          <w:szCs w:val="20"/>
          <w:color w:val="auto"/>
        </w:rPr>
      </w:pPr>
      <w:r>
        <w:rPr>
          <w:rFonts w:ascii="Arial" w:cs="Arial" w:eastAsia="Arial" w:hAnsi="Arial"/>
          <w:sz w:val="14"/>
          <w:szCs w:val="14"/>
          <w:b w:val="1"/>
          <w:bCs w:val="1"/>
          <w:color w:val="auto"/>
        </w:rPr>
        <w:t>Washington, D.C. 20549</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10-Q</w:t>
      </w:r>
    </w:p>
    <w:p>
      <w:pPr>
        <w:jc w:val="center"/>
        <w:ind w:left="5400" w:right="160" w:hanging="5225"/>
        <w:spacing w:after="0" w:line="241" w:lineRule="auto"/>
        <w:tabs>
          <w:tab w:leader="none" w:pos="572"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210"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 the quarterly period ended September 30, 2021</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OR</w:t>
      </w:r>
    </w:p>
    <w:p>
      <w:pPr>
        <w:spacing w:after="0" w:line="4" w:lineRule="exact"/>
        <w:rPr>
          <w:sz w:val="24"/>
          <w:szCs w:val="24"/>
          <w:color w:val="auto"/>
        </w:rPr>
      </w:pPr>
    </w:p>
    <w:p>
      <w:pPr>
        <w:jc w:val="center"/>
        <w:ind w:left="5400" w:right="160" w:hanging="5231"/>
        <w:spacing w:after="0" w:line="254" w:lineRule="auto"/>
        <w:tabs>
          <w:tab w:leader="none" w:pos="562"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196" w:lineRule="exact"/>
        <w:rPr>
          <w:sz w:val="24"/>
          <w:szCs w:val="24"/>
          <w:color w:val="auto"/>
        </w:rPr>
      </w:pPr>
    </w:p>
    <w:p>
      <w:pPr>
        <w:ind w:left="3420"/>
        <w:spacing w:after="0"/>
        <w:rPr>
          <w:sz w:val="20"/>
          <w:szCs w:val="20"/>
          <w:color w:val="auto"/>
        </w:rPr>
      </w:pPr>
      <w:r>
        <w:rPr>
          <w:rFonts w:ascii="Arial" w:cs="Arial" w:eastAsia="Arial" w:hAnsi="Arial"/>
          <w:sz w:val="14"/>
          <w:szCs w:val="14"/>
          <w:b w:val="1"/>
          <w:bCs w:val="1"/>
          <w:color w:val="auto"/>
        </w:rPr>
        <w:t>FOR THE TRANSITION PERIOD FROM __________ TO __________</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001-38067</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Verona Pharma plc</w:t>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0" w:lineRule="exact"/>
        <w:rPr>
          <w:sz w:val="24"/>
          <w:szCs w:val="24"/>
          <w:color w:val="auto"/>
        </w:rPr>
      </w:pPr>
    </w:p>
    <w:tbl>
      <w:tblPr>
        <w:tblLayout w:type="fixed"/>
        <w:tblInd w:w="720" w:type="dxa"/>
        <w:tblCellMar>
          <w:top w:w="0" w:type="dxa"/>
          <w:left w:w="0" w:type="dxa"/>
          <w:bottom w:w="0" w:type="dxa"/>
          <w:right w:w="0" w:type="dxa"/>
        </w:tblCellMar>
      </w:tblPr>
      <w:tr>
        <w:trPr>
          <w:trHeight w:val="234"/>
        </w:trPr>
        <w:tc>
          <w:tcPr>
            <w:tcW w:w="5280" w:type="dxa"/>
            <w:vAlign w:val="bottom"/>
          </w:tcPr>
          <w:p>
            <w:pPr>
              <w:jc w:val="center"/>
              <w:ind w:right="1477"/>
              <w:spacing w:after="0"/>
              <w:rPr>
                <w:sz w:val="20"/>
                <w:szCs w:val="20"/>
                <w:color w:val="auto"/>
              </w:rPr>
            </w:pPr>
            <w:r>
              <w:rPr>
                <w:rFonts w:ascii="Arial" w:cs="Arial" w:eastAsia="Arial" w:hAnsi="Arial"/>
                <w:sz w:val="18"/>
                <w:szCs w:val="18"/>
                <w:b w:val="1"/>
                <w:bCs w:val="1"/>
                <w:color w:val="auto"/>
                <w:w w:val="92"/>
              </w:rPr>
              <w:t>United Kingdom</w:t>
            </w:r>
          </w:p>
        </w:tc>
        <w:tc>
          <w:tcPr>
            <w:tcW w:w="3760" w:type="dxa"/>
            <w:vAlign w:val="bottom"/>
          </w:tcPr>
          <w:p>
            <w:pPr>
              <w:jc w:val="center"/>
              <w:ind w:left="1459"/>
              <w:spacing w:after="0"/>
              <w:rPr>
                <w:sz w:val="20"/>
                <w:szCs w:val="20"/>
                <w:color w:val="auto"/>
              </w:rPr>
            </w:pPr>
            <w:r>
              <w:rPr>
                <w:rFonts w:ascii="Arial" w:cs="Arial" w:eastAsia="Arial" w:hAnsi="Arial"/>
                <w:sz w:val="18"/>
                <w:szCs w:val="18"/>
                <w:b w:val="1"/>
                <w:bCs w:val="1"/>
                <w:color w:val="auto"/>
                <w:w w:val="89"/>
              </w:rPr>
              <w:t>98-1489389</w:t>
            </w:r>
          </w:p>
        </w:tc>
      </w:tr>
      <w:tr>
        <w:trPr>
          <w:trHeight w:val="190"/>
        </w:trPr>
        <w:tc>
          <w:tcPr>
            <w:tcW w:w="5280" w:type="dxa"/>
            <w:vAlign w:val="bottom"/>
          </w:tcPr>
          <w:p>
            <w:pPr>
              <w:jc w:val="center"/>
              <w:ind w:right="1477"/>
              <w:spacing w:after="0"/>
              <w:rPr>
                <w:sz w:val="20"/>
                <w:szCs w:val="20"/>
                <w:color w:val="auto"/>
              </w:rPr>
            </w:pPr>
            <w:r>
              <w:rPr>
                <w:rFonts w:ascii="Arial" w:cs="Arial" w:eastAsia="Arial" w:hAnsi="Arial"/>
                <w:sz w:val="14"/>
                <w:szCs w:val="14"/>
                <w:b w:val="1"/>
                <w:bCs w:val="1"/>
                <w:color w:val="auto"/>
                <w:w w:val="93"/>
              </w:rPr>
              <w:t>(State or other jurisdiction of incorporation or organization)</w:t>
            </w:r>
          </w:p>
        </w:tc>
        <w:tc>
          <w:tcPr>
            <w:tcW w:w="3760" w:type="dxa"/>
            <w:vAlign w:val="bottom"/>
          </w:tcPr>
          <w:p>
            <w:pPr>
              <w:jc w:val="center"/>
              <w:ind w:left="1479"/>
              <w:spacing w:after="0"/>
              <w:rPr>
                <w:sz w:val="20"/>
                <w:szCs w:val="20"/>
                <w:color w:val="auto"/>
              </w:rPr>
            </w:pPr>
            <w:r>
              <w:rPr>
                <w:rFonts w:ascii="Arial" w:cs="Arial" w:eastAsia="Arial" w:hAnsi="Arial"/>
                <w:sz w:val="14"/>
                <w:szCs w:val="14"/>
                <w:b w:val="1"/>
                <w:bCs w:val="1"/>
                <w:color w:val="auto"/>
                <w:w w:val="95"/>
              </w:rPr>
              <w:t>(I.R.S. Employer Identification No.)</w:t>
            </w:r>
          </w:p>
        </w:tc>
      </w:tr>
      <w:tr>
        <w:trPr>
          <w:trHeight w:val="507"/>
        </w:trPr>
        <w:tc>
          <w:tcPr>
            <w:tcW w:w="5280" w:type="dxa"/>
            <w:vAlign w:val="bottom"/>
          </w:tcPr>
          <w:p>
            <w:pPr>
              <w:jc w:val="center"/>
              <w:ind w:right="1477"/>
              <w:spacing w:after="0"/>
              <w:rPr>
                <w:sz w:val="20"/>
                <w:szCs w:val="20"/>
                <w:color w:val="auto"/>
              </w:rPr>
            </w:pPr>
            <w:r>
              <w:rPr>
                <w:rFonts w:ascii="Arial" w:cs="Arial" w:eastAsia="Arial" w:hAnsi="Arial"/>
                <w:sz w:val="18"/>
                <w:szCs w:val="18"/>
                <w:b w:val="1"/>
                <w:bCs w:val="1"/>
                <w:color w:val="auto"/>
                <w:w w:val="91"/>
              </w:rPr>
              <w:t>3 More London Riverside</w:t>
            </w:r>
          </w:p>
        </w:tc>
        <w:tc>
          <w:tcPr>
            <w:tcW w:w="3760" w:type="dxa"/>
            <w:vAlign w:val="bottom"/>
          </w:tcPr>
          <w:p>
            <w:pPr>
              <w:spacing w:after="0"/>
              <w:rPr>
                <w:sz w:val="24"/>
                <w:szCs w:val="24"/>
                <w:color w:val="auto"/>
              </w:rPr>
            </w:pPr>
          </w:p>
        </w:tc>
      </w:tr>
      <w:tr>
        <w:trPr>
          <w:trHeight w:val="234"/>
        </w:trPr>
        <w:tc>
          <w:tcPr>
            <w:tcW w:w="5280" w:type="dxa"/>
            <w:vAlign w:val="bottom"/>
          </w:tcPr>
          <w:p>
            <w:pPr>
              <w:jc w:val="center"/>
              <w:ind w:right="1477"/>
              <w:spacing w:after="0"/>
              <w:rPr>
                <w:sz w:val="20"/>
                <w:szCs w:val="20"/>
                <w:color w:val="auto"/>
              </w:rPr>
            </w:pPr>
            <w:r>
              <w:rPr>
                <w:rFonts w:ascii="Arial" w:cs="Arial" w:eastAsia="Arial" w:hAnsi="Arial"/>
                <w:sz w:val="18"/>
                <w:szCs w:val="18"/>
                <w:b w:val="1"/>
                <w:bCs w:val="1"/>
                <w:color w:val="auto"/>
                <w:w w:val="92"/>
              </w:rPr>
              <w:t>London SE1 2RE United Kingdom</w:t>
            </w:r>
          </w:p>
        </w:tc>
        <w:tc>
          <w:tcPr>
            <w:tcW w:w="3760" w:type="dxa"/>
            <w:vAlign w:val="bottom"/>
          </w:tcPr>
          <w:p>
            <w:pPr>
              <w:jc w:val="center"/>
              <w:ind w:left="1479"/>
              <w:spacing w:after="0"/>
              <w:rPr>
                <w:sz w:val="20"/>
                <w:szCs w:val="20"/>
                <w:color w:val="auto"/>
              </w:rPr>
            </w:pPr>
            <w:r>
              <w:rPr>
                <w:rFonts w:ascii="Arial" w:cs="Arial" w:eastAsia="Arial" w:hAnsi="Arial"/>
                <w:sz w:val="18"/>
                <w:szCs w:val="18"/>
                <w:b w:val="1"/>
                <w:bCs w:val="1"/>
                <w:color w:val="auto"/>
                <w:w w:val="92"/>
              </w:rPr>
              <w:t>Not Applicable</w:t>
            </w:r>
          </w:p>
        </w:tc>
      </w:tr>
      <w:tr>
        <w:trPr>
          <w:trHeight w:val="218"/>
        </w:trPr>
        <w:tc>
          <w:tcPr>
            <w:tcW w:w="5280" w:type="dxa"/>
            <w:vAlign w:val="bottom"/>
          </w:tcPr>
          <w:p>
            <w:pPr>
              <w:jc w:val="center"/>
              <w:ind w:right="1477"/>
              <w:spacing w:after="0"/>
              <w:rPr>
                <w:sz w:val="20"/>
                <w:szCs w:val="20"/>
                <w:color w:val="auto"/>
              </w:rPr>
            </w:pPr>
            <w:r>
              <w:rPr>
                <w:rFonts w:ascii="Arial" w:cs="Arial" w:eastAsia="Arial" w:hAnsi="Arial"/>
                <w:sz w:val="14"/>
                <w:szCs w:val="14"/>
                <w:b w:val="1"/>
                <w:bCs w:val="1"/>
                <w:color w:val="auto"/>
                <w:w w:val="90"/>
              </w:rPr>
              <w:t>(Address of principal executive offices)</w:t>
            </w:r>
          </w:p>
        </w:tc>
        <w:tc>
          <w:tcPr>
            <w:tcW w:w="3760" w:type="dxa"/>
            <w:vAlign w:val="bottom"/>
          </w:tcPr>
          <w:p>
            <w:pPr>
              <w:jc w:val="center"/>
              <w:ind w:left="1459"/>
              <w:spacing w:after="0"/>
              <w:rPr>
                <w:sz w:val="20"/>
                <w:szCs w:val="20"/>
                <w:color w:val="auto"/>
              </w:rPr>
            </w:pPr>
            <w:r>
              <w:rPr>
                <w:rFonts w:ascii="Arial" w:cs="Arial" w:eastAsia="Arial" w:hAnsi="Arial"/>
                <w:sz w:val="14"/>
                <w:szCs w:val="14"/>
                <w:b w:val="1"/>
                <w:bCs w:val="1"/>
                <w:color w:val="auto"/>
                <w:w w:val="95"/>
              </w:rPr>
              <w:t>(Zip Code)</w:t>
            </w:r>
          </w:p>
        </w:tc>
      </w:tr>
    </w:tbl>
    <w:p>
      <w:pPr>
        <w:spacing w:after="0" w:line="9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 +44 203 283 4200</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4540" w:type="dxa"/>
            <w:vAlign w:val="bottom"/>
            <w:vMerge w:val="restart"/>
          </w:tcPr>
          <w:p>
            <w:pPr>
              <w:jc w:val="center"/>
              <w:ind w:left="319"/>
              <w:spacing w:after="0"/>
              <w:rPr>
                <w:sz w:val="20"/>
                <w:szCs w:val="20"/>
                <w:color w:val="auto"/>
              </w:rPr>
            </w:pPr>
            <w:r>
              <w:rPr>
                <w:rFonts w:ascii="Arial" w:cs="Arial" w:eastAsia="Arial" w:hAnsi="Arial"/>
                <w:sz w:val="18"/>
                <w:szCs w:val="18"/>
                <w:b w:val="1"/>
                <w:bCs w:val="1"/>
                <w:color w:val="auto"/>
                <w:w w:val="86"/>
              </w:rPr>
              <w:t>Title of each class</w:t>
            </w:r>
          </w:p>
        </w:tc>
        <w:tc>
          <w:tcPr>
            <w:tcW w:w="2000" w:type="dxa"/>
            <w:vAlign w:val="bottom"/>
          </w:tcPr>
          <w:p>
            <w:pPr>
              <w:jc w:val="center"/>
              <w:ind w:left="56"/>
              <w:spacing w:after="0"/>
              <w:rPr>
                <w:sz w:val="20"/>
                <w:szCs w:val="20"/>
                <w:color w:val="auto"/>
              </w:rPr>
            </w:pPr>
            <w:r>
              <w:rPr>
                <w:rFonts w:ascii="Arial" w:cs="Arial" w:eastAsia="Arial" w:hAnsi="Arial"/>
                <w:sz w:val="18"/>
                <w:szCs w:val="18"/>
                <w:b w:val="1"/>
                <w:bCs w:val="1"/>
                <w:color w:val="auto"/>
                <w:w w:val="93"/>
              </w:rPr>
              <w:t>Trading</w:t>
            </w:r>
          </w:p>
        </w:tc>
        <w:tc>
          <w:tcPr>
            <w:tcW w:w="4680" w:type="dxa"/>
            <w:vAlign w:val="bottom"/>
            <w:vMerge w:val="restart"/>
          </w:tcPr>
          <w:p>
            <w:pPr>
              <w:jc w:val="center"/>
              <w:ind w:right="179"/>
              <w:spacing w:after="0"/>
              <w:rPr>
                <w:sz w:val="20"/>
                <w:szCs w:val="20"/>
                <w:color w:val="auto"/>
              </w:rPr>
            </w:pPr>
            <w:r>
              <w:rPr>
                <w:rFonts w:ascii="Arial" w:cs="Arial" w:eastAsia="Arial" w:hAnsi="Arial"/>
                <w:sz w:val="18"/>
                <w:szCs w:val="18"/>
                <w:b w:val="1"/>
                <w:bCs w:val="1"/>
                <w:color w:val="auto"/>
                <w:w w:val="87"/>
              </w:rPr>
              <w:t>Name of each exchange on which registered</w:t>
            </w:r>
          </w:p>
        </w:tc>
        <w:tc>
          <w:tcPr>
            <w:tcW w:w="0" w:type="dxa"/>
            <w:vAlign w:val="bottom"/>
          </w:tcPr>
          <w:p>
            <w:pPr>
              <w:spacing w:after="0"/>
              <w:rPr>
                <w:sz w:val="1"/>
                <w:szCs w:val="1"/>
                <w:color w:val="auto"/>
              </w:rPr>
            </w:pPr>
          </w:p>
        </w:tc>
      </w:tr>
      <w:tr>
        <w:trPr>
          <w:trHeight w:val="230"/>
        </w:trPr>
        <w:tc>
          <w:tcPr>
            <w:tcW w:w="4540" w:type="dxa"/>
            <w:vAlign w:val="bottom"/>
            <w:tcBorders>
              <w:bottom w:val="single" w:sz="8" w:color="auto"/>
            </w:tcBorders>
            <w:vMerge w:val="continue"/>
          </w:tcPr>
          <w:p>
            <w:pPr>
              <w:spacing w:after="0"/>
              <w:rPr>
                <w:sz w:val="19"/>
                <w:szCs w:val="19"/>
                <w:color w:val="auto"/>
              </w:rPr>
            </w:pPr>
          </w:p>
        </w:tc>
        <w:tc>
          <w:tcPr>
            <w:tcW w:w="2000" w:type="dxa"/>
            <w:vAlign w:val="bottom"/>
            <w:tcBorders>
              <w:bottom w:val="single" w:sz="8" w:color="auto"/>
            </w:tcBorders>
          </w:tcPr>
          <w:p>
            <w:pPr>
              <w:jc w:val="center"/>
              <w:ind w:left="56"/>
              <w:spacing w:after="0"/>
              <w:rPr>
                <w:sz w:val="20"/>
                <w:szCs w:val="20"/>
                <w:color w:val="auto"/>
              </w:rPr>
            </w:pPr>
            <w:r>
              <w:rPr>
                <w:rFonts w:ascii="Arial" w:cs="Arial" w:eastAsia="Arial" w:hAnsi="Arial"/>
                <w:sz w:val="18"/>
                <w:szCs w:val="18"/>
                <w:b w:val="1"/>
                <w:bCs w:val="1"/>
                <w:color w:val="auto"/>
                <w:w w:val="89"/>
              </w:rPr>
              <w:t>Symbol(s)</w:t>
            </w:r>
          </w:p>
        </w:tc>
        <w:tc>
          <w:tcPr>
            <w:tcW w:w="46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540" w:type="dxa"/>
            <w:vAlign w:val="bottom"/>
          </w:tcPr>
          <w:p>
            <w:pPr>
              <w:jc w:val="center"/>
              <w:ind w:left="319"/>
              <w:spacing w:after="0"/>
              <w:rPr>
                <w:sz w:val="20"/>
                <w:szCs w:val="20"/>
                <w:color w:val="auto"/>
              </w:rPr>
            </w:pPr>
            <w:r>
              <w:rPr>
                <w:rFonts w:ascii="Arial" w:cs="Arial" w:eastAsia="Arial" w:hAnsi="Arial"/>
                <w:sz w:val="14"/>
                <w:szCs w:val="14"/>
                <w:color w:val="auto"/>
                <w:w w:val="92"/>
              </w:rPr>
              <w:t>Ordinary shares, nominal value £0.05 per share*</w:t>
            </w:r>
          </w:p>
        </w:tc>
        <w:tc>
          <w:tcPr>
            <w:tcW w:w="2000" w:type="dxa"/>
            <w:vAlign w:val="bottom"/>
          </w:tcPr>
          <w:p>
            <w:pPr>
              <w:jc w:val="center"/>
              <w:ind w:left="56"/>
              <w:spacing w:after="0"/>
              <w:rPr>
                <w:sz w:val="20"/>
                <w:szCs w:val="20"/>
                <w:color w:val="auto"/>
              </w:rPr>
            </w:pPr>
            <w:r>
              <w:rPr>
                <w:rFonts w:ascii="Arial" w:cs="Arial" w:eastAsia="Arial" w:hAnsi="Arial"/>
                <w:sz w:val="14"/>
                <w:szCs w:val="14"/>
                <w:color w:val="auto"/>
              </w:rPr>
              <w:t>VRNA</w:t>
            </w:r>
          </w:p>
        </w:tc>
        <w:tc>
          <w:tcPr>
            <w:tcW w:w="4680" w:type="dxa"/>
            <w:vAlign w:val="bottom"/>
          </w:tcPr>
          <w:p>
            <w:pPr>
              <w:jc w:val="center"/>
              <w:ind w:right="179"/>
              <w:spacing w:after="0"/>
              <w:rPr>
                <w:sz w:val="20"/>
                <w:szCs w:val="20"/>
                <w:color w:val="auto"/>
              </w:rPr>
            </w:pPr>
            <w:r>
              <w:rPr>
                <w:rFonts w:ascii="Arial" w:cs="Arial" w:eastAsia="Arial" w:hAnsi="Arial"/>
                <w:sz w:val="14"/>
                <w:szCs w:val="14"/>
                <w:color w:val="auto"/>
                <w:w w:val="94"/>
              </w:rPr>
              <w:t>The Nasdaq Stock Market LLC (Nasdaq Global Market)</w:t>
            </w:r>
          </w:p>
        </w:tc>
        <w:tc>
          <w:tcPr>
            <w:tcW w:w="0" w:type="dxa"/>
            <w:vAlign w:val="bottom"/>
          </w:tcPr>
          <w:p>
            <w:pPr>
              <w:spacing w:after="0"/>
              <w:rPr>
                <w:sz w:val="1"/>
                <w:szCs w:val="1"/>
                <w:color w:val="auto"/>
              </w:rPr>
            </w:pPr>
          </w:p>
        </w:tc>
      </w:tr>
    </w:tbl>
    <w:p>
      <w:pPr>
        <w:spacing w:after="0" w:line="182" w:lineRule="exact"/>
        <w:rPr>
          <w:sz w:val="24"/>
          <w:szCs w:val="24"/>
          <w:color w:val="auto"/>
        </w:rPr>
      </w:pPr>
    </w:p>
    <w:p>
      <w:pPr>
        <w:ind w:right="60" w:firstLine="8"/>
        <w:spacing w:after="0" w:line="273" w:lineRule="auto"/>
        <w:tabs>
          <w:tab w:leader="none" w:pos="108"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ordinary shares are represented by American Depositary Shares (each representing 8 ordinary shares), which are exempt from the operation of Section 12(a) of the Securities Exchange Act of 1934, as amended, pursuant to Rule 12a-8 thereunder.</w:t>
      </w:r>
    </w:p>
    <w:p>
      <w:pPr>
        <w:spacing w:after="0" w:line="205" w:lineRule="exact"/>
        <w:rPr>
          <w:sz w:val="24"/>
          <w:szCs w:val="24"/>
          <w:color w:val="auto"/>
        </w:rPr>
      </w:pPr>
    </w:p>
    <w:p>
      <w:pPr>
        <w:ind w:right="30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62" w:lineRule="exact"/>
        <w:rPr>
          <w:sz w:val="24"/>
          <w:szCs w:val="24"/>
          <w:color w:val="auto"/>
        </w:rPr>
      </w:pPr>
    </w:p>
    <w:p>
      <w:pPr>
        <w:jc w:val="both"/>
        <w:spacing w:after="0" w:line="209"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jc w:val="both"/>
        <w:spacing w:after="0" w:line="235"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2" w:lineRule="exact"/>
        <w:rPr>
          <w:sz w:val="24"/>
          <w:szCs w:val="24"/>
          <w:color w:val="auto"/>
        </w:rPr>
      </w:pPr>
    </w:p>
    <w:tbl>
      <w:tblPr>
        <w:tblLayout w:type="fixed"/>
        <w:tblInd w:w="20" w:type="dxa"/>
        <w:tblCellMar>
          <w:top w:w="0" w:type="dxa"/>
          <w:left w:w="0" w:type="dxa"/>
          <w:bottom w:w="0" w:type="dxa"/>
          <w:right w:w="0" w:type="dxa"/>
        </w:tblCellMar>
      </w:tblPr>
      <w:tr>
        <w:trPr>
          <w:trHeight w:val="270"/>
        </w:trPr>
        <w:tc>
          <w:tcPr>
            <w:tcW w:w="32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140" w:type="dxa"/>
            <w:vAlign w:val="bottom"/>
          </w:tcPr>
          <w:p>
            <w:pPr>
              <w:ind w:left="1620"/>
              <w:spacing w:after="0" w:line="181" w:lineRule="exact"/>
              <w:rPr>
                <w:sz w:val="20"/>
                <w:szCs w:val="20"/>
                <w:color w:val="auto"/>
              </w:rPr>
            </w:pPr>
            <w:r>
              <w:rPr>
                <w:rFonts w:ascii="MS PGothic" w:cs="MS PGothic" w:eastAsia="MS PGothic" w:hAnsi="MS PGothic"/>
                <w:sz w:val="18"/>
                <w:szCs w:val="18"/>
                <w:color w:val="auto"/>
              </w:rPr>
              <w:t>☐</w:t>
            </w:r>
          </w:p>
        </w:tc>
        <w:tc>
          <w:tcPr>
            <w:tcW w:w="3780" w:type="dxa"/>
            <w:vAlign w:val="bottom"/>
          </w:tcPr>
          <w:p>
            <w:pPr>
              <w:ind w:left="360"/>
              <w:spacing w:after="0"/>
              <w:rPr>
                <w:sz w:val="20"/>
                <w:szCs w:val="20"/>
                <w:color w:val="auto"/>
              </w:rPr>
            </w:pPr>
            <w:r>
              <w:rPr>
                <w:rFonts w:ascii="Arial" w:cs="Arial" w:eastAsia="Arial" w:hAnsi="Arial"/>
                <w:sz w:val="18"/>
                <w:szCs w:val="18"/>
                <w:color w:val="auto"/>
              </w:rPr>
              <w:t>Accelerated filer</w:t>
            </w:r>
          </w:p>
        </w:tc>
        <w:tc>
          <w:tcPr>
            <w:tcW w:w="1600" w:type="dxa"/>
            <w:vAlign w:val="bottom"/>
          </w:tcPr>
          <w:p>
            <w:pPr>
              <w:ind w:left="14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3240" w:type="dxa"/>
            <w:vAlign w:val="bottom"/>
          </w:tcPr>
          <w:p>
            <w:pPr>
              <w:spacing w:after="0"/>
              <w:rPr>
                <w:sz w:val="20"/>
                <w:szCs w:val="20"/>
                <w:color w:val="auto"/>
              </w:rPr>
            </w:pPr>
            <w:r>
              <w:rPr>
                <w:rFonts w:ascii="Arial" w:cs="Arial" w:eastAsia="Arial" w:hAnsi="Arial"/>
                <w:sz w:val="18"/>
                <w:szCs w:val="18"/>
                <w:color w:val="auto"/>
              </w:rPr>
              <w:t>Non-accelerated filer</w:t>
            </w:r>
          </w:p>
        </w:tc>
        <w:tc>
          <w:tcPr>
            <w:tcW w:w="2140" w:type="dxa"/>
            <w:vAlign w:val="bottom"/>
          </w:tcPr>
          <w:p>
            <w:pPr>
              <w:ind w:left="1620"/>
              <w:spacing w:after="0" w:line="181" w:lineRule="exact"/>
              <w:rPr>
                <w:sz w:val="20"/>
                <w:szCs w:val="20"/>
                <w:color w:val="auto"/>
              </w:rPr>
            </w:pPr>
            <w:r>
              <w:rPr>
                <w:rFonts w:ascii="MS PGothic" w:cs="MS PGothic" w:eastAsia="MS PGothic" w:hAnsi="MS PGothic"/>
                <w:sz w:val="18"/>
                <w:szCs w:val="18"/>
                <w:color w:val="auto"/>
              </w:rPr>
              <w:t>☒</w:t>
            </w:r>
          </w:p>
        </w:tc>
        <w:tc>
          <w:tcPr>
            <w:tcW w:w="3780" w:type="dxa"/>
            <w:vAlign w:val="bottom"/>
          </w:tcPr>
          <w:p>
            <w:pPr>
              <w:ind w:left="360"/>
              <w:spacing w:after="0"/>
              <w:rPr>
                <w:sz w:val="20"/>
                <w:szCs w:val="20"/>
                <w:color w:val="auto"/>
              </w:rPr>
            </w:pPr>
            <w:r>
              <w:rPr>
                <w:rFonts w:ascii="Arial" w:cs="Arial" w:eastAsia="Arial" w:hAnsi="Arial"/>
                <w:sz w:val="18"/>
                <w:szCs w:val="18"/>
                <w:color w:val="auto"/>
              </w:rPr>
              <w:t>Smaller reporting company</w:t>
            </w:r>
          </w:p>
        </w:tc>
        <w:tc>
          <w:tcPr>
            <w:tcW w:w="1600" w:type="dxa"/>
            <w:vAlign w:val="bottom"/>
          </w:tcPr>
          <w:p>
            <w:pPr>
              <w:ind w:left="14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32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3780" w:type="dxa"/>
            <w:vAlign w:val="bottom"/>
          </w:tcPr>
          <w:p>
            <w:pPr>
              <w:ind w:left="360"/>
              <w:spacing w:after="0"/>
              <w:rPr>
                <w:sz w:val="20"/>
                <w:szCs w:val="20"/>
                <w:color w:val="auto"/>
              </w:rPr>
            </w:pPr>
            <w:r>
              <w:rPr>
                <w:rFonts w:ascii="Arial" w:cs="Arial" w:eastAsia="Arial" w:hAnsi="Arial"/>
                <w:sz w:val="18"/>
                <w:szCs w:val="18"/>
                <w:color w:val="auto"/>
              </w:rPr>
              <w:t>Emerging growth company</w:t>
            </w:r>
          </w:p>
        </w:tc>
        <w:tc>
          <w:tcPr>
            <w:tcW w:w="1600" w:type="dxa"/>
            <w:vAlign w:val="bottom"/>
          </w:tcPr>
          <w:p>
            <w:pPr>
              <w:ind w:left="14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95"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6" w:lineRule="exact"/>
        <w:rPr>
          <w:sz w:val="24"/>
          <w:szCs w:val="24"/>
          <w:color w:val="auto"/>
        </w:rPr>
      </w:pPr>
    </w:p>
    <w:p>
      <w:pPr>
        <w:spacing w:after="0" w:line="246" w:lineRule="auto"/>
        <w:rPr>
          <w:sz w:val="20"/>
          <w:szCs w:val="20"/>
          <w:color w:val="auto"/>
        </w:rPr>
      </w:pPr>
      <w:r>
        <w:rPr>
          <w:rFonts w:ascii="Arial" w:cs="Arial" w:eastAsia="Arial" w:hAnsi="Arial"/>
          <w:sz w:val="18"/>
          <w:szCs w:val="18"/>
          <w:color w:val="auto"/>
        </w:rPr>
        <w:t>As of November 8, 2021, the registrant had 480,082,966 ordinary shares, nominal value £0.05 per share, outstanding, which if all held in ADS form, would be represented by 60,010,371 American Depositary Shares, each representing eight (8) 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935990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4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Page</w:t>
            </w:r>
          </w:p>
        </w:tc>
      </w:tr>
      <w:tr>
        <w:trPr>
          <w:trHeight w:val="209"/>
        </w:trPr>
        <w:tc>
          <w:tcPr>
            <w:tcW w:w="20" w:type="dxa"/>
            <w:vAlign w:val="bottom"/>
          </w:tcPr>
          <w:p>
            <w:pPr>
              <w:spacing w:after="0"/>
              <w:rPr>
                <w:sz w:val="18"/>
                <w:szCs w:val="18"/>
                <w:color w:val="auto"/>
              </w:rPr>
            </w:pPr>
          </w:p>
        </w:tc>
        <w:tc>
          <w:tcPr>
            <w:tcW w:w="10140" w:type="dxa"/>
            <w:vAlign w:val="bottom"/>
            <w:gridSpan w:val="5"/>
          </w:tcPr>
          <w:p>
            <w:pPr>
              <w:spacing w:after="0"/>
              <w:rPr>
                <w:sz w:val="20"/>
                <w:szCs w:val="20"/>
                <w:color w:val="auto"/>
              </w:rPr>
            </w:pPr>
            <w:r>
              <w:rPr>
                <w:rFonts w:ascii="Arial" w:cs="Arial" w:eastAsia="Arial" w:hAnsi="Arial"/>
                <w:sz w:val="18"/>
                <w:szCs w:val="18"/>
                <w:color w:val="auto"/>
              </w:rPr>
              <w:t>PART I - FINANCIAL INFORMATION</w:t>
            </w:r>
          </w:p>
        </w:tc>
        <w:tc>
          <w:tcPr>
            <w:tcW w:w="1080" w:type="dxa"/>
            <w:vAlign w:val="bottom"/>
          </w:tcPr>
          <w:p>
            <w:pPr>
              <w:spacing w:after="0"/>
              <w:rPr>
                <w:sz w:val="18"/>
                <w:szCs w:val="18"/>
                <w:color w:val="auto"/>
              </w:rPr>
            </w:pPr>
          </w:p>
        </w:tc>
      </w:tr>
      <w:tr>
        <w:trPr>
          <w:trHeight w:val="297"/>
        </w:trPr>
        <w:tc>
          <w:tcPr>
            <w:tcW w:w="20" w:type="dxa"/>
            <w:vAlign w:val="bottom"/>
            <w:shd w:val="clear" w:color="auto" w:fill="CCEEFF"/>
          </w:tcPr>
          <w:p>
            <w:pPr>
              <w:spacing w:after="0"/>
              <w:rPr>
                <w:sz w:val="24"/>
                <w:szCs w:val="24"/>
                <w:color w:val="auto"/>
              </w:rPr>
            </w:pPr>
          </w:p>
        </w:tc>
        <w:tc>
          <w:tcPr>
            <w:tcW w:w="1100" w:type="dxa"/>
            <w:vAlign w:val="bottom"/>
            <w:gridSpan w:val="4"/>
            <w:shd w:val="clear" w:color="auto" w:fill="CCEEFF"/>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Item 1</w:t>
              </w:r>
            </w:hyperlink>
          </w:p>
        </w:tc>
        <w:tc>
          <w:tcPr>
            <w:tcW w:w="90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Financial Statements</w:t>
            </w:r>
          </w:p>
        </w:tc>
        <w:tc>
          <w:tcPr>
            <w:tcW w:w="1080" w:type="dxa"/>
            <w:vAlign w:val="bottom"/>
            <w:shd w:val="clear" w:color="auto" w:fill="CCEEFF"/>
          </w:tcPr>
          <w:p>
            <w:pPr>
              <w:jc w:val="center"/>
              <w:spacing w:after="0"/>
              <w:rPr>
                <w:rFonts w:ascii="Arial" w:cs="Arial" w:eastAsia="Arial" w:hAnsi="Arial"/>
                <w:sz w:val="18"/>
                <w:szCs w:val="18"/>
                <w:color w:val="auto"/>
                <w:w w:val="79"/>
              </w:rPr>
            </w:pPr>
            <w:hyperlink w:anchor="page3">
              <w:r>
                <w:rPr>
                  <w:rFonts w:ascii="Arial" w:cs="Arial" w:eastAsia="Arial" w:hAnsi="Arial"/>
                  <w:sz w:val="18"/>
                  <w:szCs w:val="18"/>
                  <w:color w:val="auto"/>
                  <w:w w:val="79"/>
                </w:rPr>
                <w:t>2</w:t>
              </w:r>
            </w:hyperlink>
          </w:p>
        </w:tc>
      </w:tr>
      <w:tr>
        <w:trPr>
          <w:trHeight w:val="128"/>
        </w:trPr>
        <w:tc>
          <w:tcPr>
            <w:tcW w:w="2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0000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9040" w:type="dxa"/>
            <w:vAlign w:val="bottom"/>
            <w:tcBorders>
              <w:top w:val="single" w:sz="8" w:color="CCEEFF"/>
            </w:tcBorders>
            <w:shd w:val="clear" w:color="auto" w:fill="CCEEFF"/>
          </w:tcPr>
          <w:p>
            <w:pPr>
              <w:spacing w:after="0"/>
              <w:rPr>
                <w:sz w:val="11"/>
                <w:szCs w:val="11"/>
                <w:color w:val="auto"/>
              </w:rPr>
            </w:pPr>
          </w:p>
        </w:tc>
        <w:tc>
          <w:tcPr>
            <w:tcW w:w="1080" w:type="dxa"/>
            <w:vAlign w:val="bottom"/>
            <w:tcBorders>
              <w:top w:val="single" w:sz="8" w:color="CCEEFF"/>
            </w:tcBorders>
            <w:shd w:val="clear" w:color="auto" w:fill="CCEEFF"/>
          </w:tcPr>
          <w:p>
            <w:pPr>
              <w:spacing w:after="0"/>
              <w:rPr>
                <w:sz w:val="11"/>
                <w:szCs w:val="11"/>
                <w:color w:val="auto"/>
              </w:rPr>
            </w:pPr>
          </w:p>
        </w:tc>
      </w:tr>
      <w:tr>
        <w:trPr>
          <w:trHeight w:val="297"/>
        </w:trPr>
        <w:tc>
          <w:tcPr>
            <w:tcW w:w="20" w:type="dxa"/>
            <w:vAlign w:val="bottom"/>
          </w:tcPr>
          <w:p>
            <w:pPr>
              <w:spacing w:after="0"/>
              <w:rPr>
                <w:sz w:val="24"/>
                <w:szCs w:val="24"/>
                <w:color w:val="auto"/>
              </w:rPr>
            </w:pPr>
          </w:p>
        </w:tc>
        <w:tc>
          <w:tcPr>
            <w:tcW w:w="1100" w:type="dxa"/>
            <w:vAlign w:val="bottom"/>
            <w:gridSpan w:val="4"/>
          </w:tcPr>
          <w:p>
            <w:pPr>
              <w:spacing w:after="0"/>
              <w:rPr>
                <w:rFonts w:ascii="Arial" w:cs="Arial" w:eastAsia="Arial" w:hAnsi="Arial"/>
                <w:sz w:val="18"/>
                <w:szCs w:val="18"/>
                <w:color w:val="0000FF"/>
              </w:rPr>
            </w:pPr>
            <w:hyperlink w:anchor="page15">
              <w:r>
                <w:rPr>
                  <w:rFonts w:ascii="Arial" w:cs="Arial" w:eastAsia="Arial" w:hAnsi="Arial"/>
                  <w:sz w:val="18"/>
                  <w:szCs w:val="18"/>
                  <w:color w:val="0000FF"/>
                </w:rPr>
                <w:t>Item 2</w:t>
              </w:r>
            </w:hyperlink>
          </w:p>
        </w:tc>
        <w:tc>
          <w:tcPr>
            <w:tcW w:w="9040" w:type="dxa"/>
            <w:vAlign w:val="bottom"/>
          </w:tcPr>
          <w:p>
            <w:pPr>
              <w:ind w:left="32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080" w:type="dxa"/>
            <w:vAlign w:val="bottom"/>
          </w:tcPr>
          <w:p>
            <w:pPr>
              <w:jc w:val="center"/>
              <w:spacing w:after="0"/>
              <w:rPr>
                <w:rFonts w:ascii="Arial" w:cs="Arial" w:eastAsia="Arial" w:hAnsi="Arial"/>
                <w:sz w:val="18"/>
                <w:szCs w:val="18"/>
                <w:color w:val="auto"/>
                <w:w w:val="79"/>
              </w:rPr>
            </w:pPr>
            <w:hyperlink w:anchor="page15">
              <w:r>
                <w:rPr>
                  <w:rFonts w:ascii="Arial" w:cs="Arial" w:eastAsia="Arial" w:hAnsi="Arial"/>
                  <w:sz w:val="18"/>
                  <w:szCs w:val="18"/>
                  <w:color w:val="auto"/>
                  <w:w w:val="79"/>
                </w:rPr>
                <w:t>14</w:t>
              </w:r>
            </w:hyperlink>
          </w:p>
        </w:tc>
      </w:tr>
      <w:tr>
        <w:trPr>
          <w:trHeight w:val="128"/>
        </w:trPr>
        <w:tc>
          <w:tcPr>
            <w:tcW w:w="20" w:type="dxa"/>
            <w:vAlign w:val="bottom"/>
          </w:tcPr>
          <w:p>
            <w:pPr>
              <w:spacing w:after="0"/>
              <w:rPr>
                <w:sz w:val="11"/>
                <w:szCs w:val="11"/>
                <w:color w:val="auto"/>
              </w:rPr>
            </w:pPr>
          </w:p>
        </w:tc>
        <w:tc>
          <w:tcPr>
            <w:tcW w:w="480" w:type="dxa"/>
            <w:vAlign w:val="bottom"/>
            <w:tcBorders>
              <w:top w:val="single" w:sz="8" w:color="0000FF"/>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40" w:type="dxa"/>
            <w:vAlign w:val="bottom"/>
          </w:tcPr>
          <w:p>
            <w:pPr>
              <w:spacing w:after="0"/>
              <w:rPr>
                <w:sz w:val="11"/>
                <w:szCs w:val="11"/>
                <w:color w:val="auto"/>
              </w:rPr>
            </w:pPr>
          </w:p>
        </w:tc>
        <w:tc>
          <w:tcPr>
            <w:tcW w:w="1080" w:type="dxa"/>
            <w:vAlign w:val="bottom"/>
          </w:tcPr>
          <w:p>
            <w:pPr>
              <w:spacing w:after="0"/>
              <w:rPr>
                <w:sz w:val="11"/>
                <w:szCs w:val="11"/>
                <w:color w:val="auto"/>
              </w:rPr>
            </w:pPr>
          </w:p>
        </w:tc>
      </w:tr>
      <w:tr>
        <w:trPr>
          <w:trHeight w:val="297"/>
        </w:trPr>
        <w:tc>
          <w:tcPr>
            <w:tcW w:w="20" w:type="dxa"/>
            <w:vAlign w:val="bottom"/>
            <w:shd w:val="clear" w:color="auto" w:fill="CCEEFF"/>
          </w:tcPr>
          <w:p>
            <w:pPr>
              <w:spacing w:after="0"/>
              <w:rPr>
                <w:sz w:val="24"/>
                <w:szCs w:val="24"/>
                <w:color w:val="auto"/>
              </w:rPr>
            </w:pPr>
          </w:p>
        </w:tc>
        <w:tc>
          <w:tcPr>
            <w:tcW w:w="1100" w:type="dxa"/>
            <w:vAlign w:val="bottom"/>
            <w:gridSpan w:val="4"/>
            <w:shd w:val="clear" w:color="auto" w:fill="CCEEFF"/>
          </w:tcPr>
          <w:p>
            <w:pPr>
              <w:spacing w:after="0"/>
              <w:rPr>
                <w:rFonts w:ascii="Arial" w:cs="Arial" w:eastAsia="Arial" w:hAnsi="Arial"/>
                <w:sz w:val="18"/>
                <w:szCs w:val="18"/>
                <w:color w:val="0000FF"/>
              </w:rPr>
            </w:pPr>
            <w:hyperlink w:anchor="page32">
              <w:r>
                <w:rPr>
                  <w:rFonts w:ascii="Arial" w:cs="Arial" w:eastAsia="Arial" w:hAnsi="Arial"/>
                  <w:sz w:val="18"/>
                  <w:szCs w:val="18"/>
                  <w:color w:val="0000FF"/>
                </w:rPr>
                <w:t>Item 3</w:t>
              </w:r>
            </w:hyperlink>
          </w:p>
        </w:tc>
        <w:tc>
          <w:tcPr>
            <w:tcW w:w="90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Quantitative and Qualitative Disclosures About Market Risk</w:t>
            </w:r>
          </w:p>
        </w:tc>
        <w:tc>
          <w:tcPr>
            <w:tcW w:w="1080" w:type="dxa"/>
            <w:vAlign w:val="bottom"/>
            <w:shd w:val="clear" w:color="auto" w:fill="CCEEFF"/>
          </w:tcPr>
          <w:p>
            <w:pPr>
              <w:jc w:val="center"/>
              <w:spacing w:after="0"/>
              <w:rPr>
                <w:rFonts w:ascii="Arial" w:cs="Arial" w:eastAsia="Arial" w:hAnsi="Arial"/>
                <w:sz w:val="18"/>
                <w:szCs w:val="18"/>
                <w:color w:val="auto"/>
                <w:w w:val="79"/>
              </w:rPr>
            </w:pPr>
            <w:hyperlink w:anchor="page32">
              <w:r>
                <w:rPr>
                  <w:rFonts w:ascii="Arial" w:cs="Arial" w:eastAsia="Arial" w:hAnsi="Arial"/>
                  <w:sz w:val="18"/>
                  <w:szCs w:val="18"/>
                  <w:color w:val="auto"/>
                  <w:w w:val="79"/>
                </w:rPr>
                <w:t>31</w:t>
              </w:r>
            </w:hyperlink>
          </w:p>
        </w:tc>
      </w:tr>
      <w:tr>
        <w:trPr>
          <w:trHeight w:val="128"/>
        </w:trPr>
        <w:tc>
          <w:tcPr>
            <w:tcW w:w="2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0000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9040" w:type="dxa"/>
            <w:vAlign w:val="bottom"/>
            <w:tcBorders>
              <w:top w:val="single" w:sz="8" w:color="CCEEFF"/>
            </w:tcBorders>
            <w:shd w:val="clear" w:color="auto" w:fill="CCEEFF"/>
          </w:tcPr>
          <w:p>
            <w:pPr>
              <w:spacing w:after="0"/>
              <w:rPr>
                <w:sz w:val="11"/>
                <w:szCs w:val="11"/>
                <w:color w:val="auto"/>
              </w:rPr>
            </w:pPr>
          </w:p>
        </w:tc>
        <w:tc>
          <w:tcPr>
            <w:tcW w:w="1080" w:type="dxa"/>
            <w:vAlign w:val="bottom"/>
            <w:tcBorders>
              <w:top w:val="single" w:sz="8" w:color="CCEEFF"/>
            </w:tcBorders>
            <w:shd w:val="clear" w:color="auto" w:fill="CCEEFF"/>
          </w:tcPr>
          <w:p>
            <w:pPr>
              <w:spacing w:after="0"/>
              <w:rPr>
                <w:sz w:val="11"/>
                <w:szCs w:val="11"/>
                <w:color w:val="auto"/>
              </w:rPr>
            </w:pPr>
          </w:p>
        </w:tc>
      </w:tr>
      <w:tr>
        <w:trPr>
          <w:trHeight w:val="297"/>
        </w:trPr>
        <w:tc>
          <w:tcPr>
            <w:tcW w:w="20" w:type="dxa"/>
            <w:vAlign w:val="bottom"/>
          </w:tcPr>
          <w:p>
            <w:pPr>
              <w:spacing w:after="0"/>
              <w:rPr>
                <w:sz w:val="24"/>
                <w:szCs w:val="24"/>
                <w:color w:val="auto"/>
              </w:rPr>
            </w:pPr>
          </w:p>
        </w:tc>
        <w:tc>
          <w:tcPr>
            <w:tcW w:w="1100" w:type="dxa"/>
            <w:vAlign w:val="bottom"/>
            <w:gridSpan w:val="4"/>
          </w:tcPr>
          <w:p>
            <w:pPr>
              <w:spacing w:after="0"/>
              <w:rPr>
                <w:rFonts w:ascii="Arial" w:cs="Arial" w:eastAsia="Arial" w:hAnsi="Arial"/>
                <w:sz w:val="18"/>
                <w:szCs w:val="18"/>
                <w:color w:val="0000FF"/>
              </w:rPr>
            </w:pPr>
            <w:hyperlink w:anchor="page33">
              <w:r>
                <w:rPr>
                  <w:rFonts w:ascii="Arial" w:cs="Arial" w:eastAsia="Arial" w:hAnsi="Arial"/>
                  <w:sz w:val="18"/>
                  <w:szCs w:val="18"/>
                  <w:color w:val="0000FF"/>
                </w:rPr>
                <w:t>Item 4</w:t>
              </w:r>
            </w:hyperlink>
          </w:p>
        </w:tc>
        <w:tc>
          <w:tcPr>
            <w:tcW w:w="9040" w:type="dxa"/>
            <w:vAlign w:val="bottom"/>
          </w:tcPr>
          <w:p>
            <w:pPr>
              <w:ind w:left="320"/>
              <w:spacing w:after="0"/>
              <w:rPr>
                <w:sz w:val="20"/>
                <w:szCs w:val="20"/>
                <w:color w:val="auto"/>
              </w:rPr>
            </w:pPr>
            <w:r>
              <w:rPr>
                <w:rFonts w:ascii="Arial" w:cs="Arial" w:eastAsia="Arial" w:hAnsi="Arial"/>
                <w:sz w:val="18"/>
                <w:szCs w:val="18"/>
                <w:color w:val="auto"/>
              </w:rPr>
              <w:t>Controls and Procedures</w:t>
            </w:r>
          </w:p>
        </w:tc>
        <w:tc>
          <w:tcPr>
            <w:tcW w:w="1080" w:type="dxa"/>
            <w:vAlign w:val="bottom"/>
          </w:tcPr>
          <w:p>
            <w:pPr>
              <w:jc w:val="center"/>
              <w:spacing w:after="0"/>
              <w:rPr>
                <w:rFonts w:ascii="Arial" w:cs="Arial" w:eastAsia="Arial" w:hAnsi="Arial"/>
                <w:sz w:val="18"/>
                <w:szCs w:val="18"/>
                <w:color w:val="auto"/>
                <w:w w:val="79"/>
              </w:rPr>
            </w:pPr>
            <w:hyperlink w:anchor="page33">
              <w:r>
                <w:rPr>
                  <w:rFonts w:ascii="Arial" w:cs="Arial" w:eastAsia="Arial" w:hAnsi="Arial"/>
                  <w:sz w:val="18"/>
                  <w:szCs w:val="18"/>
                  <w:color w:val="auto"/>
                  <w:w w:val="79"/>
                </w:rPr>
                <w:t>31</w:t>
              </w:r>
            </w:hyperlink>
          </w:p>
        </w:tc>
      </w:tr>
      <w:tr>
        <w:trPr>
          <w:trHeight w:val="128"/>
        </w:trPr>
        <w:tc>
          <w:tcPr>
            <w:tcW w:w="20" w:type="dxa"/>
            <w:vAlign w:val="bottom"/>
          </w:tcPr>
          <w:p>
            <w:pPr>
              <w:spacing w:after="0"/>
              <w:rPr>
                <w:sz w:val="11"/>
                <w:szCs w:val="11"/>
                <w:color w:val="auto"/>
              </w:rPr>
            </w:pPr>
          </w:p>
        </w:tc>
        <w:tc>
          <w:tcPr>
            <w:tcW w:w="480" w:type="dxa"/>
            <w:vAlign w:val="bottom"/>
            <w:tcBorders>
              <w:top w:val="single" w:sz="8" w:color="0000FF"/>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40" w:type="dxa"/>
            <w:vAlign w:val="bottom"/>
          </w:tcPr>
          <w:p>
            <w:pPr>
              <w:spacing w:after="0"/>
              <w:rPr>
                <w:sz w:val="11"/>
                <w:szCs w:val="11"/>
                <w:color w:val="auto"/>
              </w:rPr>
            </w:pPr>
          </w:p>
        </w:tc>
        <w:tc>
          <w:tcPr>
            <w:tcW w:w="1080" w:type="dxa"/>
            <w:vAlign w:val="bottom"/>
          </w:tcPr>
          <w:p>
            <w:pPr>
              <w:spacing w:after="0"/>
              <w:rPr>
                <w:sz w:val="11"/>
                <w:szCs w:val="11"/>
                <w:color w:val="auto"/>
              </w:rPr>
            </w:pPr>
          </w:p>
        </w:tc>
      </w:tr>
      <w:tr>
        <w:trPr>
          <w:trHeight w:val="230"/>
        </w:trPr>
        <w:tc>
          <w:tcPr>
            <w:tcW w:w="20" w:type="dxa"/>
            <w:vAlign w:val="bottom"/>
            <w:shd w:val="clear" w:color="auto" w:fill="CCEEFF"/>
          </w:tcPr>
          <w:p>
            <w:pPr>
              <w:spacing w:after="0"/>
              <w:rPr>
                <w:sz w:val="19"/>
                <w:szCs w:val="19"/>
                <w:color w:val="auto"/>
              </w:rPr>
            </w:pPr>
          </w:p>
        </w:tc>
        <w:tc>
          <w:tcPr>
            <w:tcW w:w="101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PART II - OTHER INFORMATION</w:t>
            </w:r>
          </w:p>
        </w:tc>
        <w:tc>
          <w:tcPr>
            <w:tcW w:w="1080" w:type="dxa"/>
            <w:vAlign w:val="bottom"/>
            <w:shd w:val="clear" w:color="auto" w:fill="CCEEFF"/>
          </w:tcPr>
          <w:p>
            <w:pPr>
              <w:spacing w:after="0"/>
              <w:rPr>
                <w:sz w:val="19"/>
                <w:szCs w:val="19"/>
                <w:color w:val="auto"/>
              </w:rPr>
            </w:pPr>
          </w:p>
        </w:tc>
      </w:tr>
      <w:tr>
        <w:trPr>
          <w:trHeight w:val="297"/>
        </w:trPr>
        <w:tc>
          <w:tcPr>
            <w:tcW w:w="20" w:type="dxa"/>
            <w:vAlign w:val="bottom"/>
          </w:tcPr>
          <w:p>
            <w:pPr>
              <w:spacing w:after="0"/>
              <w:rPr>
                <w:sz w:val="24"/>
                <w:szCs w:val="24"/>
                <w:color w:val="auto"/>
              </w:rPr>
            </w:pPr>
          </w:p>
        </w:tc>
        <w:tc>
          <w:tcPr>
            <w:tcW w:w="1100" w:type="dxa"/>
            <w:vAlign w:val="bottom"/>
            <w:gridSpan w:val="4"/>
          </w:tcPr>
          <w:p>
            <w:pPr>
              <w:spacing w:after="0"/>
              <w:rPr>
                <w:rFonts w:ascii="Arial" w:cs="Arial" w:eastAsia="Arial" w:hAnsi="Arial"/>
                <w:sz w:val="18"/>
                <w:szCs w:val="18"/>
                <w:color w:val="0000FF"/>
              </w:rPr>
            </w:pPr>
            <w:hyperlink w:anchor="page34">
              <w:r>
                <w:rPr>
                  <w:rFonts w:ascii="Arial" w:cs="Arial" w:eastAsia="Arial" w:hAnsi="Arial"/>
                  <w:sz w:val="18"/>
                  <w:szCs w:val="18"/>
                  <w:color w:val="0000FF"/>
                </w:rPr>
                <w:t>Item 1</w:t>
              </w:r>
            </w:hyperlink>
          </w:p>
        </w:tc>
        <w:tc>
          <w:tcPr>
            <w:tcW w:w="9040" w:type="dxa"/>
            <w:vAlign w:val="bottom"/>
          </w:tcPr>
          <w:p>
            <w:pPr>
              <w:ind w:left="320"/>
              <w:spacing w:after="0"/>
              <w:rPr>
                <w:sz w:val="20"/>
                <w:szCs w:val="20"/>
                <w:color w:val="auto"/>
              </w:rPr>
            </w:pPr>
            <w:r>
              <w:rPr>
                <w:rFonts w:ascii="Arial" w:cs="Arial" w:eastAsia="Arial" w:hAnsi="Arial"/>
                <w:sz w:val="18"/>
                <w:szCs w:val="18"/>
                <w:color w:val="auto"/>
              </w:rPr>
              <w:t>Legal Proceedings</w:t>
            </w:r>
          </w:p>
        </w:tc>
        <w:tc>
          <w:tcPr>
            <w:tcW w:w="1080" w:type="dxa"/>
            <w:vAlign w:val="bottom"/>
          </w:tcPr>
          <w:p>
            <w:pPr>
              <w:jc w:val="center"/>
              <w:spacing w:after="0"/>
              <w:rPr>
                <w:rFonts w:ascii="Arial" w:cs="Arial" w:eastAsia="Arial" w:hAnsi="Arial"/>
                <w:sz w:val="18"/>
                <w:szCs w:val="18"/>
                <w:color w:val="auto"/>
                <w:w w:val="79"/>
              </w:rPr>
            </w:pPr>
            <w:hyperlink w:anchor="page34">
              <w:r>
                <w:rPr>
                  <w:rFonts w:ascii="Arial" w:cs="Arial" w:eastAsia="Arial" w:hAnsi="Arial"/>
                  <w:sz w:val="18"/>
                  <w:szCs w:val="18"/>
                  <w:color w:val="auto"/>
                  <w:w w:val="79"/>
                </w:rPr>
                <w:t>32</w:t>
              </w:r>
            </w:hyperlink>
          </w:p>
        </w:tc>
      </w:tr>
      <w:tr>
        <w:trPr>
          <w:trHeight w:val="128"/>
        </w:trPr>
        <w:tc>
          <w:tcPr>
            <w:tcW w:w="20" w:type="dxa"/>
            <w:vAlign w:val="bottom"/>
          </w:tcPr>
          <w:p>
            <w:pPr>
              <w:spacing w:after="0"/>
              <w:rPr>
                <w:sz w:val="11"/>
                <w:szCs w:val="11"/>
                <w:color w:val="auto"/>
              </w:rPr>
            </w:pPr>
          </w:p>
        </w:tc>
        <w:tc>
          <w:tcPr>
            <w:tcW w:w="480" w:type="dxa"/>
            <w:vAlign w:val="bottom"/>
            <w:tcBorders>
              <w:top w:val="single" w:sz="8" w:color="0000FF"/>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40" w:type="dxa"/>
            <w:vAlign w:val="bottom"/>
          </w:tcPr>
          <w:p>
            <w:pPr>
              <w:spacing w:after="0"/>
              <w:rPr>
                <w:sz w:val="11"/>
                <w:szCs w:val="11"/>
                <w:color w:val="auto"/>
              </w:rPr>
            </w:pPr>
          </w:p>
        </w:tc>
        <w:tc>
          <w:tcPr>
            <w:tcW w:w="1080" w:type="dxa"/>
            <w:vAlign w:val="bottom"/>
          </w:tcPr>
          <w:p>
            <w:pPr>
              <w:spacing w:after="0"/>
              <w:rPr>
                <w:sz w:val="11"/>
                <w:szCs w:val="11"/>
                <w:color w:val="auto"/>
              </w:rPr>
            </w:pPr>
          </w:p>
        </w:tc>
      </w:tr>
      <w:tr>
        <w:trPr>
          <w:trHeight w:val="297"/>
        </w:trPr>
        <w:tc>
          <w:tcPr>
            <w:tcW w:w="20" w:type="dxa"/>
            <w:vAlign w:val="bottom"/>
            <w:shd w:val="clear" w:color="auto" w:fill="CCEEFF"/>
          </w:tcPr>
          <w:p>
            <w:pPr>
              <w:spacing w:after="0"/>
              <w:rPr>
                <w:sz w:val="24"/>
                <w:szCs w:val="24"/>
                <w:color w:val="auto"/>
              </w:rPr>
            </w:pPr>
          </w:p>
        </w:tc>
        <w:tc>
          <w:tcPr>
            <w:tcW w:w="1100" w:type="dxa"/>
            <w:vAlign w:val="bottom"/>
            <w:gridSpan w:val="4"/>
            <w:shd w:val="clear" w:color="auto" w:fill="CCEEFF"/>
          </w:tcPr>
          <w:p>
            <w:pPr>
              <w:spacing w:after="0"/>
              <w:rPr>
                <w:rFonts w:ascii="Arial" w:cs="Arial" w:eastAsia="Arial" w:hAnsi="Arial"/>
                <w:sz w:val="18"/>
                <w:szCs w:val="18"/>
                <w:color w:val="0000FF"/>
              </w:rPr>
            </w:pPr>
            <w:hyperlink w:anchor="page34">
              <w:r>
                <w:rPr>
                  <w:rFonts w:ascii="Arial" w:cs="Arial" w:eastAsia="Arial" w:hAnsi="Arial"/>
                  <w:sz w:val="18"/>
                  <w:szCs w:val="18"/>
                  <w:color w:val="0000FF"/>
                </w:rPr>
                <w:t>Item 1A.</w:t>
              </w:r>
            </w:hyperlink>
          </w:p>
        </w:tc>
        <w:tc>
          <w:tcPr>
            <w:tcW w:w="90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Risk Factors</w:t>
            </w:r>
          </w:p>
        </w:tc>
        <w:tc>
          <w:tcPr>
            <w:tcW w:w="1080" w:type="dxa"/>
            <w:vAlign w:val="bottom"/>
            <w:shd w:val="clear" w:color="auto" w:fill="CCEEFF"/>
          </w:tcPr>
          <w:p>
            <w:pPr>
              <w:jc w:val="center"/>
              <w:spacing w:after="0"/>
              <w:rPr>
                <w:rFonts w:ascii="Arial" w:cs="Arial" w:eastAsia="Arial" w:hAnsi="Arial"/>
                <w:sz w:val="18"/>
                <w:szCs w:val="18"/>
                <w:color w:val="auto"/>
                <w:w w:val="79"/>
              </w:rPr>
            </w:pPr>
            <w:hyperlink w:anchor="page34">
              <w:r>
                <w:rPr>
                  <w:rFonts w:ascii="Arial" w:cs="Arial" w:eastAsia="Arial" w:hAnsi="Arial"/>
                  <w:sz w:val="18"/>
                  <w:szCs w:val="18"/>
                  <w:color w:val="auto"/>
                  <w:w w:val="79"/>
                </w:rPr>
                <w:t>32</w:t>
              </w:r>
            </w:hyperlink>
          </w:p>
        </w:tc>
      </w:tr>
      <w:tr>
        <w:trPr>
          <w:trHeight w:val="128"/>
        </w:trPr>
        <w:tc>
          <w:tcPr>
            <w:tcW w:w="2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0000FF"/>
            </w:tcBorders>
            <w:shd w:val="clear" w:color="auto" w:fill="CCEEFF"/>
          </w:tcPr>
          <w:p>
            <w:pPr>
              <w:spacing w:after="0"/>
              <w:rPr>
                <w:sz w:val="11"/>
                <w:szCs w:val="11"/>
                <w:color w:val="auto"/>
              </w:rPr>
            </w:pPr>
          </w:p>
        </w:tc>
        <w:tc>
          <w:tcPr>
            <w:tcW w:w="160" w:type="dxa"/>
            <w:vAlign w:val="bottom"/>
            <w:tcBorders>
              <w:top w:val="single" w:sz="8" w:color="0000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9040" w:type="dxa"/>
            <w:vAlign w:val="bottom"/>
            <w:tcBorders>
              <w:top w:val="single" w:sz="8" w:color="CCEEFF"/>
            </w:tcBorders>
            <w:shd w:val="clear" w:color="auto" w:fill="CCEEFF"/>
          </w:tcPr>
          <w:p>
            <w:pPr>
              <w:spacing w:after="0"/>
              <w:rPr>
                <w:sz w:val="11"/>
                <w:szCs w:val="11"/>
                <w:color w:val="auto"/>
              </w:rPr>
            </w:pPr>
          </w:p>
        </w:tc>
        <w:tc>
          <w:tcPr>
            <w:tcW w:w="1080" w:type="dxa"/>
            <w:vAlign w:val="bottom"/>
            <w:tcBorders>
              <w:top w:val="single" w:sz="8" w:color="CCEEFF"/>
            </w:tcBorders>
            <w:shd w:val="clear" w:color="auto" w:fill="CCEEFF"/>
          </w:tcPr>
          <w:p>
            <w:pPr>
              <w:spacing w:after="0"/>
              <w:rPr>
                <w:sz w:val="11"/>
                <w:szCs w:val="11"/>
                <w:color w:val="auto"/>
              </w:rPr>
            </w:pPr>
          </w:p>
        </w:tc>
      </w:tr>
      <w:tr>
        <w:trPr>
          <w:trHeight w:val="297"/>
        </w:trPr>
        <w:tc>
          <w:tcPr>
            <w:tcW w:w="20" w:type="dxa"/>
            <w:vAlign w:val="bottom"/>
          </w:tcPr>
          <w:p>
            <w:pPr>
              <w:spacing w:after="0"/>
              <w:rPr>
                <w:sz w:val="24"/>
                <w:szCs w:val="24"/>
                <w:color w:val="auto"/>
              </w:rPr>
            </w:pPr>
          </w:p>
        </w:tc>
        <w:tc>
          <w:tcPr>
            <w:tcW w:w="1100" w:type="dxa"/>
            <w:vAlign w:val="bottom"/>
            <w:gridSpan w:val="4"/>
          </w:tcPr>
          <w:p>
            <w:pPr>
              <w:spacing w:after="0"/>
              <w:rPr>
                <w:rFonts w:ascii="Arial" w:cs="Arial" w:eastAsia="Arial" w:hAnsi="Arial"/>
                <w:sz w:val="18"/>
                <w:szCs w:val="18"/>
                <w:color w:val="0000FF"/>
              </w:rPr>
            </w:pPr>
            <w:hyperlink w:anchor="page35">
              <w:r>
                <w:rPr>
                  <w:rFonts w:ascii="Arial" w:cs="Arial" w:eastAsia="Arial" w:hAnsi="Arial"/>
                  <w:sz w:val="18"/>
                  <w:szCs w:val="18"/>
                  <w:color w:val="0000FF"/>
                </w:rPr>
                <w:t>Item 2</w:t>
              </w:r>
            </w:hyperlink>
          </w:p>
        </w:tc>
        <w:tc>
          <w:tcPr>
            <w:tcW w:w="9040" w:type="dxa"/>
            <w:vAlign w:val="bottom"/>
          </w:tcPr>
          <w:p>
            <w:pPr>
              <w:ind w:left="320"/>
              <w:spacing w:after="0"/>
              <w:rPr>
                <w:sz w:val="20"/>
                <w:szCs w:val="20"/>
                <w:color w:val="auto"/>
              </w:rPr>
            </w:pPr>
            <w:r>
              <w:rPr>
                <w:rFonts w:ascii="Arial" w:cs="Arial" w:eastAsia="Arial" w:hAnsi="Arial"/>
                <w:sz w:val="18"/>
                <w:szCs w:val="18"/>
                <w:color w:val="auto"/>
              </w:rPr>
              <w:t>Unregistered Sales of Equity Securities and Use of Proceeds</w:t>
            </w:r>
          </w:p>
        </w:tc>
        <w:tc>
          <w:tcPr>
            <w:tcW w:w="1080" w:type="dxa"/>
            <w:vAlign w:val="bottom"/>
          </w:tcPr>
          <w:p>
            <w:pPr>
              <w:jc w:val="center"/>
              <w:spacing w:after="0"/>
              <w:rPr>
                <w:rFonts w:ascii="Arial" w:cs="Arial" w:eastAsia="Arial" w:hAnsi="Arial"/>
                <w:sz w:val="18"/>
                <w:szCs w:val="18"/>
                <w:color w:val="auto"/>
                <w:w w:val="79"/>
              </w:rPr>
            </w:pPr>
            <w:hyperlink w:anchor="page35">
              <w:r>
                <w:rPr>
                  <w:rFonts w:ascii="Arial" w:cs="Arial" w:eastAsia="Arial" w:hAnsi="Arial"/>
                  <w:sz w:val="18"/>
                  <w:szCs w:val="18"/>
                  <w:color w:val="auto"/>
                  <w:w w:val="79"/>
                </w:rPr>
                <w:t>34</w:t>
              </w:r>
            </w:hyperlink>
          </w:p>
        </w:tc>
      </w:tr>
      <w:tr>
        <w:trPr>
          <w:trHeight w:val="129"/>
        </w:trPr>
        <w:tc>
          <w:tcPr>
            <w:tcW w:w="20" w:type="dxa"/>
            <w:vAlign w:val="bottom"/>
          </w:tcPr>
          <w:p>
            <w:pPr>
              <w:spacing w:after="0"/>
              <w:rPr>
                <w:sz w:val="11"/>
                <w:szCs w:val="11"/>
                <w:color w:val="auto"/>
              </w:rPr>
            </w:pPr>
          </w:p>
        </w:tc>
        <w:tc>
          <w:tcPr>
            <w:tcW w:w="480" w:type="dxa"/>
            <w:vAlign w:val="bottom"/>
            <w:tcBorders>
              <w:top w:val="single" w:sz="8" w:color="0000FF"/>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40" w:type="dxa"/>
            <w:vAlign w:val="bottom"/>
          </w:tcPr>
          <w:p>
            <w:pPr>
              <w:spacing w:after="0"/>
              <w:rPr>
                <w:sz w:val="11"/>
                <w:szCs w:val="11"/>
                <w:color w:val="auto"/>
              </w:rPr>
            </w:pPr>
          </w:p>
        </w:tc>
        <w:tc>
          <w:tcPr>
            <w:tcW w:w="1080" w:type="dxa"/>
            <w:vAlign w:val="bottom"/>
          </w:tcPr>
          <w:p>
            <w:pPr>
              <w:spacing w:after="0"/>
              <w:rPr>
                <w:sz w:val="11"/>
                <w:szCs w:val="11"/>
                <w:color w:val="auto"/>
              </w:rPr>
            </w:pPr>
          </w:p>
        </w:tc>
      </w:tr>
      <w:tr>
        <w:trPr>
          <w:trHeight w:val="297"/>
        </w:trPr>
        <w:tc>
          <w:tcPr>
            <w:tcW w:w="20" w:type="dxa"/>
            <w:vAlign w:val="bottom"/>
            <w:shd w:val="clear" w:color="auto" w:fill="CCEEFF"/>
          </w:tcPr>
          <w:p>
            <w:pPr>
              <w:spacing w:after="0"/>
              <w:rPr>
                <w:sz w:val="24"/>
                <w:szCs w:val="24"/>
                <w:color w:val="auto"/>
              </w:rPr>
            </w:pPr>
          </w:p>
        </w:tc>
        <w:tc>
          <w:tcPr>
            <w:tcW w:w="1100" w:type="dxa"/>
            <w:vAlign w:val="bottom"/>
            <w:gridSpan w:val="4"/>
            <w:shd w:val="clear" w:color="auto" w:fill="CCEEFF"/>
          </w:tcPr>
          <w:p>
            <w:pPr>
              <w:spacing w:after="0"/>
              <w:rPr>
                <w:rFonts w:ascii="Arial" w:cs="Arial" w:eastAsia="Arial" w:hAnsi="Arial"/>
                <w:sz w:val="18"/>
                <w:szCs w:val="18"/>
                <w:color w:val="0000FF"/>
              </w:rPr>
            </w:pPr>
            <w:hyperlink w:anchor="page36">
              <w:r>
                <w:rPr>
                  <w:rFonts w:ascii="Arial" w:cs="Arial" w:eastAsia="Arial" w:hAnsi="Arial"/>
                  <w:sz w:val="18"/>
                  <w:szCs w:val="18"/>
                  <w:color w:val="0000FF"/>
                </w:rPr>
                <w:t>Item 3</w:t>
              </w:r>
            </w:hyperlink>
          </w:p>
        </w:tc>
        <w:tc>
          <w:tcPr>
            <w:tcW w:w="90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Defaults Upon Senior Securities</w:t>
            </w:r>
          </w:p>
        </w:tc>
        <w:tc>
          <w:tcPr>
            <w:tcW w:w="1080" w:type="dxa"/>
            <w:vAlign w:val="bottom"/>
            <w:shd w:val="clear" w:color="auto" w:fill="CCEEFF"/>
          </w:tcPr>
          <w:p>
            <w:pPr>
              <w:jc w:val="center"/>
              <w:spacing w:after="0"/>
              <w:rPr>
                <w:rFonts w:ascii="Arial" w:cs="Arial" w:eastAsia="Arial" w:hAnsi="Arial"/>
                <w:sz w:val="18"/>
                <w:szCs w:val="18"/>
                <w:color w:val="auto"/>
                <w:w w:val="79"/>
              </w:rPr>
            </w:pPr>
            <w:hyperlink w:anchor="page36">
              <w:r>
                <w:rPr>
                  <w:rFonts w:ascii="Arial" w:cs="Arial" w:eastAsia="Arial" w:hAnsi="Arial"/>
                  <w:sz w:val="18"/>
                  <w:szCs w:val="18"/>
                  <w:color w:val="auto"/>
                  <w:w w:val="79"/>
                </w:rPr>
                <w:t>34</w:t>
              </w:r>
            </w:hyperlink>
          </w:p>
        </w:tc>
      </w:tr>
      <w:tr>
        <w:trPr>
          <w:trHeight w:val="128"/>
        </w:trPr>
        <w:tc>
          <w:tcPr>
            <w:tcW w:w="2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0000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9040" w:type="dxa"/>
            <w:vAlign w:val="bottom"/>
            <w:tcBorders>
              <w:top w:val="single" w:sz="8" w:color="CCEEFF"/>
            </w:tcBorders>
            <w:shd w:val="clear" w:color="auto" w:fill="CCEEFF"/>
          </w:tcPr>
          <w:p>
            <w:pPr>
              <w:spacing w:after="0"/>
              <w:rPr>
                <w:sz w:val="11"/>
                <w:szCs w:val="11"/>
                <w:color w:val="auto"/>
              </w:rPr>
            </w:pPr>
          </w:p>
        </w:tc>
        <w:tc>
          <w:tcPr>
            <w:tcW w:w="1080" w:type="dxa"/>
            <w:vAlign w:val="bottom"/>
            <w:tcBorders>
              <w:top w:val="single" w:sz="8" w:color="CCEEFF"/>
            </w:tcBorders>
            <w:shd w:val="clear" w:color="auto" w:fill="CCEEFF"/>
          </w:tcPr>
          <w:p>
            <w:pPr>
              <w:spacing w:after="0"/>
              <w:rPr>
                <w:sz w:val="11"/>
                <w:szCs w:val="11"/>
                <w:color w:val="auto"/>
              </w:rPr>
            </w:pPr>
          </w:p>
        </w:tc>
      </w:tr>
      <w:tr>
        <w:trPr>
          <w:trHeight w:val="297"/>
        </w:trPr>
        <w:tc>
          <w:tcPr>
            <w:tcW w:w="20" w:type="dxa"/>
            <w:vAlign w:val="bottom"/>
          </w:tcPr>
          <w:p>
            <w:pPr>
              <w:spacing w:after="0"/>
              <w:rPr>
                <w:sz w:val="24"/>
                <w:szCs w:val="24"/>
                <w:color w:val="auto"/>
              </w:rPr>
            </w:pPr>
          </w:p>
        </w:tc>
        <w:tc>
          <w:tcPr>
            <w:tcW w:w="1100" w:type="dxa"/>
            <w:vAlign w:val="bottom"/>
            <w:gridSpan w:val="4"/>
          </w:tcPr>
          <w:p>
            <w:pPr>
              <w:spacing w:after="0"/>
              <w:rPr>
                <w:rFonts w:ascii="Arial" w:cs="Arial" w:eastAsia="Arial" w:hAnsi="Arial"/>
                <w:sz w:val="18"/>
                <w:szCs w:val="18"/>
                <w:color w:val="0000FF"/>
              </w:rPr>
            </w:pPr>
            <w:hyperlink w:anchor="page36">
              <w:r>
                <w:rPr>
                  <w:rFonts w:ascii="Arial" w:cs="Arial" w:eastAsia="Arial" w:hAnsi="Arial"/>
                  <w:sz w:val="18"/>
                  <w:szCs w:val="18"/>
                  <w:color w:val="0000FF"/>
                </w:rPr>
                <w:t>Item 4</w:t>
              </w:r>
            </w:hyperlink>
          </w:p>
        </w:tc>
        <w:tc>
          <w:tcPr>
            <w:tcW w:w="9040" w:type="dxa"/>
            <w:vAlign w:val="bottom"/>
          </w:tcPr>
          <w:p>
            <w:pPr>
              <w:ind w:left="320"/>
              <w:spacing w:after="0"/>
              <w:rPr>
                <w:sz w:val="20"/>
                <w:szCs w:val="20"/>
                <w:color w:val="auto"/>
              </w:rPr>
            </w:pPr>
            <w:r>
              <w:rPr>
                <w:rFonts w:ascii="Arial" w:cs="Arial" w:eastAsia="Arial" w:hAnsi="Arial"/>
                <w:sz w:val="18"/>
                <w:szCs w:val="18"/>
                <w:color w:val="auto"/>
              </w:rPr>
              <w:t>Mine Safety Disclosure</w:t>
            </w:r>
          </w:p>
        </w:tc>
        <w:tc>
          <w:tcPr>
            <w:tcW w:w="1080" w:type="dxa"/>
            <w:vAlign w:val="bottom"/>
          </w:tcPr>
          <w:p>
            <w:pPr>
              <w:jc w:val="center"/>
              <w:spacing w:after="0"/>
              <w:rPr>
                <w:rFonts w:ascii="Arial" w:cs="Arial" w:eastAsia="Arial" w:hAnsi="Arial"/>
                <w:sz w:val="18"/>
                <w:szCs w:val="18"/>
                <w:color w:val="auto"/>
                <w:w w:val="79"/>
              </w:rPr>
            </w:pPr>
            <w:hyperlink w:anchor="page36">
              <w:r>
                <w:rPr>
                  <w:rFonts w:ascii="Arial" w:cs="Arial" w:eastAsia="Arial" w:hAnsi="Arial"/>
                  <w:sz w:val="18"/>
                  <w:szCs w:val="18"/>
                  <w:color w:val="auto"/>
                  <w:w w:val="79"/>
                </w:rPr>
                <w:t>34</w:t>
              </w:r>
            </w:hyperlink>
          </w:p>
        </w:tc>
      </w:tr>
      <w:tr>
        <w:trPr>
          <w:trHeight w:val="129"/>
        </w:trPr>
        <w:tc>
          <w:tcPr>
            <w:tcW w:w="20" w:type="dxa"/>
            <w:vAlign w:val="bottom"/>
          </w:tcPr>
          <w:p>
            <w:pPr>
              <w:spacing w:after="0"/>
              <w:rPr>
                <w:sz w:val="11"/>
                <w:szCs w:val="11"/>
                <w:color w:val="auto"/>
              </w:rPr>
            </w:pPr>
          </w:p>
        </w:tc>
        <w:tc>
          <w:tcPr>
            <w:tcW w:w="480" w:type="dxa"/>
            <w:vAlign w:val="bottom"/>
            <w:tcBorders>
              <w:top w:val="single" w:sz="8" w:color="0000FF"/>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40" w:type="dxa"/>
            <w:vAlign w:val="bottom"/>
          </w:tcPr>
          <w:p>
            <w:pPr>
              <w:spacing w:after="0"/>
              <w:rPr>
                <w:sz w:val="11"/>
                <w:szCs w:val="11"/>
                <w:color w:val="auto"/>
              </w:rPr>
            </w:pPr>
          </w:p>
        </w:tc>
        <w:tc>
          <w:tcPr>
            <w:tcW w:w="1080" w:type="dxa"/>
            <w:vAlign w:val="bottom"/>
          </w:tcPr>
          <w:p>
            <w:pPr>
              <w:spacing w:after="0"/>
              <w:rPr>
                <w:sz w:val="11"/>
                <w:szCs w:val="11"/>
                <w:color w:val="auto"/>
              </w:rPr>
            </w:pPr>
          </w:p>
        </w:tc>
      </w:tr>
      <w:tr>
        <w:trPr>
          <w:trHeight w:val="297"/>
        </w:trPr>
        <w:tc>
          <w:tcPr>
            <w:tcW w:w="20" w:type="dxa"/>
            <w:vAlign w:val="bottom"/>
            <w:shd w:val="clear" w:color="auto" w:fill="CCEEFF"/>
          </w:tcPr>
          <w:p>
            <w:pPr>
              <w:spacing w:after="0"/>
              <w:rPr>
                <w:sz w:val="24"/>
                <w:szCs w:val="24"/>
                <w:color w:val="auto"/>
              </w:rPr>
            </w:pPr>
          </w:p>
        </w:tc>
        <w:tc>
          <w:tcPr>
            <w:tcW w:w="1100" w:type="dxa"/>
            <w:vAlign w:val="bottom"/>
            <w:gridSpan w:val="4"/>
            <w:shd w:val="clear" w:color="auto" w:fill="CCEEFF"/>
          </w:tcPr>
          <w:p>
            <w:pPr>
              <w:spacing w:after="0"/>
              <w:rPr>
                <w:rFonts w:ascii="Arial" w:cs="Arial" w:eastAsia="Arial" w:hAnsi="Arial"/>
                <w:sz w:val="18"/>
                <w:szCs w:val="18"/>
                <w:color w:val="0000FF"/>
              </w:rPr>
            </w:pPr>
            <w:hyperlink w:anchor="page36">
              <w:r>
                <w:rPr>
                  <w:rFonts w:ascii="Arial" w:cs="Arial" w:eastAsia="Arial" w:hAnsi="Arial"/>
                  <w:sz w:val="18"/>
                  <w:szCs w:val="18"/>
                  <w:color w:val="0000FF"/>
                </w:rPr>
                <w:t>Item 5</w:t>
              </w:r>
            </w:hyperlink>
          </w:p>
        </w:tc>
        <w:tc>
          <w:tcPr>
            <w:tcW w:w="90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Information</w:t>
            </w:r>
          </w:p>
        </w:tc>
        <w:tc>
          <w:tcPr>
            <w:tcW w:w="1080" w:type="dxa"/>
            <w:vAlign w:val="bottom"/>
            <w:shd w:val="clear" w:color="auto" w:fill="CCEEFF"/>
          </w:tcPr>
          <w:p>
            <w:pPr>
              <w:jc w:val="center"/>
              <w:spacing w:after="0"/>
              <w:rPr>
                <w:rFonts w:ascii="Arial" w:cs="Arial" w:eastAsia="Arial" w:hAnsi="Arial"/>
                <w:sz w:val="18"/>
                <w:szCs w:val="18"/>
                <w:color w:val="auto"/>
                <w:w w:val="79"/>
              </w:rPr>
            </w:pPr>
            <w:hyperlink w:anchor="page36">
              <w:r>
                <w:rPr>
                  <w:rFonts w:ascii="Arial" w:cs="Arial" w:eastAsia="Arial" w:hAnsi="Arial"/>
                  <w:sz w:val="18"/>
                  <w:szCs w:val="18"/>
                  <w:color w:val="auto"/>
                  <w:w w:val="79"/>
                </w:rPr>
                <w:t>34</w:t>
              </w:r>
            </w:hyperlink>
          </w:p>
        </w:tc>
      </w:tr>
      <w:tr>
        <w:trPr>
          <w:trHeight w:val="128"/>
        </w:trPr>
        <w:tc>
          <w:tcPr>
            <w:tcW w:w="2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0000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9040" w:type="dxa"/>
            <w:vAlign w:val="bottom"/>
            <w:tcBorders>
              <w:top w:val="single" w:sz="8" w:color="CCEEFF"/>
            </w:tcBorders>
            <w:shd w:val="clear" w:color="auto" w:fill="CCEEFF"/>
          </w:tcPr>
          <w:p>
            <w:pPr>
              <w:spacing w:after="0"/>
              <w:rPr>
                <w:sz w:val="11"/>
                <w:szCs w:val="11"/>
                <w:color w:val="auto"/>
              </w:rPr>
            </w:pPr>
          </w:p>
        </w:tc>
        <w:tc>
          <w:tcPr>
            <w:tcW w:w="1080" w:type="dxa"/>
            <w:vAlign w:val="bottom"/>
            <w:tcBorders>
              <w:top w:val="single" w:sz="8" w:color="CCEEFF"/>
            </w:tcBorders>
            <w:shd w:val="clear" w:color="auto" w:fill="CCEEFF"/>
          </w:tcPr>
          <w:p>
            <w:pPr>
              <w:spacing w:after="0"/>
              <w:rPr>
                <w:sz w:val="11"/>
                <w:szCs w:val="11"/>
                <w:color w:val="auto"/>
              </w:rPr>
            </w:pPr>
          </w:p>
        </w:tc>
      </w:tr>
      <w:tr>
        <w:trPr>
          <w:trHeight w:val="297"/>
        </w:trPr>
        <w:tc>
          <w:tcPr>
            <w:tcW w:w="20" w:type="dxa"/>
            <w:vAlign w:val="bottom"/>
          </w:tcPr>
          <w:p>
            <w:pPr>
              <w:spacing w:after="0"/>
              <w:rPr>
                <w:sz w:val="24"/>
                <w:szCs w:val="24"/>
                <w:color w:val="auto"/>
              </w:rPr>
            </w:pPr>
          </w:p>
        </w:tc>
        <w:tc>
          <w:tcPr>
            <w:tcW w:w="1100" w:type="dxa"/>
            <w:vAlign w:val="bottom"/>
            <w:gridSpan w:val="4"/>
          </w:tcPr>
          <w:p>
            <w:pPr>
              <w:spacing w:after="0"/>
              <w:rPr>
                <w:rFonts w:ascii="Arial" w:cs="Arial" w:eastAsia="Arial" w:hAnsi="Arial"/>
                <w:sz w:val="18"/>
                <w:szCs w:val="18"/>
                <w:color w:val="0000FF"/>
              </w:rPr>
            </w:pPr>
            <w:hyperlink w:anchor="page36">
              <w:r>
                <w:rPr>
                  <w:rFonts w:ascii="Arial" w:cs="Arial" w:eastAsia="Arial" w:hAnsi="Arial"/>
                  <w:sz w:val="18"/>
                  <w:szCs w:val="18"/>
                  <w:color w:val="0000FF"/>
                </w:rPr>
                <w:t>Item 6</w:t>
              </w:r>
            </w:hyperlink>
          </w:p>
        </w:tc>
        <w:tc>
          <w:tcPr>
            <w:tcW w:w="9040" w:type="dxa"/>
            <w:vAlign w:val="bottom"/>
          </w:tcPr>
          <w:p>
            <w:pPr>
              <w:ind w:left="320"/>
              <w:spacing w:after="0"/>
              <w:rPr>
                <w:sz w:val="20"/>
                <w:szCs w:val="20"/>
                <w:color w:val="auto"/>
              </w:rPr>
            </w:pPr>
            <w:r>
              <w:rPr>
                <w:rFonts w:ascii="Arial" w:cs="Arial" w:eastAsia="Arial" w:hAnsi="Arial"/>
                <w:sz w:val="18"/>
                <w:szCs w:val="18"/>
                <w:color w:val="auto"/>
              </w:rPr>
              <w:t>Exhibits</w:t>
            </w:r>
          </w:p>
        </w:tc>
        <w:tc>
          <w:tcPr>
            <w:tcW w:w="1080" w:type="dxa"/>
            <w:vAlign w:val="bottom"/>
          </w:tcPr>
          <w:p>
            <w:pPr>
              <w:jc w:val="center"/>
              <w:spacing w:after="0"/>
              <w:rPr>
                <w:rFonts w:ascii="Arial" w:cs="Arial" w:eastAsia="Arial" w:hAnsi="Arial"/>
                <w:sz w:val="18"/>
                <w:szCs w:val="18"/>
                <w:color w:val="auto"/>
                <w:w w:val="79"/>
              </w:rPr>
            </w:pPr>
            <w:hyperlink w:anchor="page36">
              <w:r>
                <w:rPr>
                  <w:rFonts w:ascii="Arial" w:cs="Arial" w:eastAsia="Arial" w:hAnsi="Arial"/>
                  <w:sz w:val="18"/>
                  <w:szCs w:val="18"/>
                  <w:color w:val="auto"/>
                  <w:w w:val="79"/>
                </w:rPr>
                <w:t>35</w:t>
              </w:r>
            </w:hyperlink>
          </w:p>
        </w:tc>
      </w:tr>
      <w:tr>
        <w:trPr>
          <w:trHeight w:val="128"/>
        </w:trPr>
        <w:tc>
          <w:tcPr>
            <w:tcW w:w="20" w:type="dxa"/>
            <w:vAlign w:val="bottom"/>
          </w:tcPr>
          <w:p>
            <w:pPr>
              <w:spacing w:after="0"/>
              <w:rPr>
                <w:sz w:val="11"/>
                <w:szCs w:val="11"/>
                <w:color w:val="auto"/>
              </w:rPr>
            </w:pPr>
          </w:p>
        </w:tc>
        <w:tc>
          <w:tcPr>
            <w:tcW w:w="480" w:type="dxa"/>
            <w:vAlign w:val="bottom"/>
            <w:tcBorders>
              <w:top w:val="single" w:sz="8" w:color="0000FF"/>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40" w:type="dxa"/>
            <w:vAlign w:val="bottom"/>
          </w:tcPr>
          <w:p>
            <w:pPr>
              <w:spacing w:after="0"/>
              <w:rPr>
                <w:sz w:val="11"/>
                <w:szCs w:val="11"/>
                <w:color w:val="auto"/>
              </w:rPr>
            </w:pPr>
          </w:p>
        </w:tc>
        <w:tc>
          <w:tcPr>
            <w:tcW w:w="1080" w:type="dxa"/>
            <w:vAlign w:val="bottom"/>
          </w:tcPr>
          <w:p>
            <w:pPr>
              <w:spacing w:after="0"/>
              <w:rPr>
                <w:sz w:val="11"/>
                <w:szCs w:val="11"/>
                <w:color w:val="auto"/>
              </w:rPr>
            </w:pPr>
          </w:p>
        </w:tc>
      </w:tr>
      <w:tr>
        <w:trPr>
          <w:trHeight w:val="297"/>
        </w:trPr>
        <w:tc>
          <w:tcPr>
            <w:tcW w:w="20" w:type="dxa"/>
            <w:vAlign w:val="bottom"/>
            <w:shd w:val="clear" w:color="auto" w:fill="CCEEFF"/>
          </w:tcPr>
          <w:p>
            <w:pPr>
              <w:spacing w:after="0"/>
              <w:rPr>
                <w:sz w:val="24"/>
                <w:szCs w:val="24"/>
                <w:color w:val="auto"/>
              </w:rPr>
            </w:pPr>
          </w:p>
        </w:tc>
        <w:tc>
          <w:tcPr>
            <w:tcW w:w="1100" w:type="dxa"/>
            <w:vAlign w:val="bottom"/>
            <w:gridSpan w:val="4"/>
            <w:shd w:val="clear" w:color="auto" w:fill="CCEEFF"/>
          </w:tcPr>
          <w:p>
            <w:pPr>
              <w:spacing w:after="0"/>
              <w:rPr>
                <w:rFonts w:ascii="Arial" w:cs="Arial" w:eastAsia="Arial" w:hAnsi="Arial"/>
                <w:sz w:val="18"/>
                <w:szCs w:val="18"/>
                <w:color w:val="0000FF"/>
              </w:rPr>
            </w:pPr>
            <w:hyperlink w:anchor="page37">
              <w:r>
                <w:rPr>
                  <w:rFonts w:ascii="Arial" w:cs="Arial" w:eastAsia="Arial" w:hAnsi="Arial"/>
                  <w:sz w:val="18"/>
                  <w:szCs w:val="18"/>
                  <w:color w:val="0000FF"/>
                </w:rPr>
                <w:t>Signatures</w:t>
              </w:r>
            </w:hyperlink>
          </w:p>
        </w:tc>
        <w:tc>
          <w:tcPr>
            <w:tcW w:w="9040" w:type="dxa"/>
            <w:vAlign w:val="bottom"/>
            <w:shd w:val="clear" w:color="auto" w:fill="CCEEFF"/>
          </w:tcPr>
          <w:p>
            <w:pPr>
              <w:spacing w:after="0"/>
              <w:rPr>
                <w:sz w:val="24"/>
                <w:szCs w:val="24"/>
                <w:color w:val="auto"/>
              </w:rPr>
            </w:pPr>
          </w:p>
        </w:tc>
        <w:tc>
          <w:tcPr>
            <w:tcW w:w="1080" w:type="dxa"/>
            <w:vAlign w:val="bottom"/>
            <w:shd w:val="clear" w:color="auto" w:fill="CCEEFF"/>
          </w:tcPr>
          <w:p>
            <w:pPr>
              <w:jc w:val="center"/>
              <w:spacing w:after="0"/>
              <w:rPr>
                <w:rFonts w:ascii="Arial" w:cs="Arial" w:eastAsia="Arial" w:hAnsi="Arial"/>
                <w:sz w:val="18"/>
                <w:szCs w:val="18"/>
                <w:color w:val="auto"/>
                <w:w w:val="79"/>
              </w:rPr>
            </w:pPr>
            <w:hyperlink w:anchor="page37">
              <w:r>
                <w:rPr>
                  <w:rFonts w:ascii="Arial" w:cs="Arial" w:eastAsia="Arial" w:hAnsi="Arial"/>
                  <w:sz w:val="18"/>
                  <w:szCs w:val="18"/>
                  <w:color w:val="auto"/>
                  <w:w w:val="79"/>
                </w:rPr>
                <w:t>36</w:t>
              </w:r>
            </w:hyperlink>
          </w:p>
        </w:tc>
      </w:tr>
      <w:tr>
        <w:trPr>
          <w:trHeight w:val="129"/>
        </w:trPr>
        <w:tc>
          <w:tcPr>
            <w:tcW w:w="2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0000FF"/>
            </w:tcBorders>
            <w:shd w:val="clear" w:color="auto" w:fill="CCEEFF"/>
          </w:tcPr>
          <w:p>
            <w:pPr>
              <w:spacing w:after="0"/>
              <w:rPr>
                <w:sz w:val="11"/>
                <w:szCs w:val="11"/>
                <w:color w:val="auto"/>
              </w:rPr>
            </w:pPr>
          </w:p>
        </w:tc>
        <w:tc>
          <w:tcPr>
            <w:tcW w:w="160" w:type="dxa"/>
            <w:vAlign w:val="bottom"/>
            <w:tcBorders>
              <w:top w:val="single" w:sz="8" w:color="0000FF"/>
            </w:tcBorders>
            <w:shd w:val="clear" w:color="auto" w:fill="CCEEFF"/>
          </w:tcPr>
          <w:p>
            <w:pPr>
              <w:spacing w:after="0"/>
              <w:rPr>
                <w:sz w:val="11"/>
                <w:szCs w:val="11"/>
                <w:color w:val="auto"/>
              </w:rPr>
            </w:pPr>
          </w:p>
        </w:tc>
        <w:tc>
          <w:tcPr>
            <w:tcW w:w="120" w:type="dxa"/>
            <w:vAlign w:val="bottom"/>
            <w:tcBorders>
              <w:top w:val="single" w:sz="8" w:color="0000FF"/>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9040" w:type="dxa"/>
            <w:vAlign w:val="bottom"/>
            <w:tcBorders>
              <w:top w:val="single" w:sz="8" w:color="CCEEFF"/>
            </w:tcBorders>
            <w:shd w:val="clear" w:color="auto" w:fill="CCEEFF"/>
          </w:tcPr>
          <w:p>
            <w:pPr>
              <w:spacing w:after="0"/>
              <w:rPr>
                <w:sz w:val="11"/>
                <w:szCs w:val="11"/>
                <w:color w:val="auto"/>
              </w:rPr>
            </w:pPr>
          </w:p>
        </w:tc>
        <w:tc>
          <w:tcPr>
            <w:tcW w:w="1080" w:type="dxa"/>
            <w:vAlign w:val="bottom"/>
            <w:tcBorders>
              <w:top w:val="single" w:sz="8" w:color="CCEEFF"/>
            </w:tcBorders>
            <w:shd w:val="clear" w:color="auto" w:fill="CCEEFF"/>
          </w:tcPr>
          <w:p>
            <w:pPr>
              <w:spacing w:after="0"/>
              <w:rPr>
                <w:sz w:val="11"/>
                <w:szCs w:val="1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PART I - FINANCIAL INFORMATION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6"/>
                <w:szCs w:val="16"/>
                <w:color w:val="auto"/>
              </w:rPr>
            </w:pPr>
          </w:p>
        </w:tc>
        <w:tc>
          <w:tcPr>
            <w:tcW w:w="1200" w:type="dxa"/>
            <w:vAlign w:val="bottom"/>
          </w:tcPr>
          <w:p>
            <w:pPr>
              <w:jc w:val="right"/>
              <w:ind w:right="20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26"/>
        </w:trPr>
        <w:tc>
          <w:tcPr>
            <w:tcW w:w="83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8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jc w:val="right"/>
              <w:ind w:right="460"/>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ind w:right="480"/>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6"/>
        </w:trPr>
        <w:tc>
          <w:tcPr>
            <w:tcW w:w="8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8340" w:type="dxa"/>
            <w:vAlign w:val="bottom"/>
            <w:shd w:val="clear" w:color="auto" w:fill="CCEEFF"/>
          </w:tcPr>
          <w:p>
            <w:pPr>
              <w:ind w:left="5320"/>
              <w:spacing w:after="0"/>
              <w:rPr>
                <w:sz w:val="20"/>
                <w:szCs w:val="20"/>
                <w:color w:val="auto"/>
              </w:rPr>
            </w:pPr>
            <w:r>
              <w:rPr>
                <w:rFonts w:ascii="Arial" w:cs="Arial" w:eastAsia="Arial" w:hAnsi="Arial"/>
                <w:sz w:val="16"/>
                <w:szCs w:val="16"/>
                <w:b w:val="1"/>
                <w:bCs w:val="1"/>
                <w:color w:val="auto"/>
              </w:rPr>
              <w:t>ASSETS</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340" w:type="dxa"/>
            <w:vAlign w:val="bottom"/>
          </w:tcPr>
          <w:p>
            <w:pPr>
              <w:ind w:left="20"/>
              <w:spacing w:after="0"/>
              <w:rPr>
                <w:sz w:val="20"/>
                <w:szCs w:val="20"/>
                <w:color w:val="auto"/>
              </w:rPr>
            </w:pPr>
            <w:r>
              <w:rPr>
                <w:rFonts w:ascii="Arial" w:cs="Arial" w:eastAsia="Arial" w:hAnsi="Arial"/>
                <w:sz w:val="16"/>
                <w:szCs w:val="16"/>
                <w:b w:val="1"/>
                <w:bCs w:val="1"/>
                <w:color w:val="auto"/>
              </w:rPr>
              <w:t>Current assets:</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3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166,547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187,986</w:t>
            </w:r>
          </w:p>
        </w:tc>
        <w:tc>
          <w:tcPr>
            <w:tcW w:w="0" w:type="dxa"/>
            <w:vAlign w:val="bottom"/>
          </w:tcPr>
          <w:p>
            <w:pPr>
              <w:spacing w:after="0"/>
              <w:rPr>
                <w:sz w:val="1"/>
                <w:szCs w:val="1"/>
                <w:color w:val="auto"/>
              </w:rPr>
            </w:pPr>
          </w:p>
        </w:tc>
      </w:tr>
      <w:tr>
        <w:trPr>
          <w:trHeight w:val="213"/>
        </w:trPr>
        <w:tc>
          <w:tcPr>
            <w:tcW w:w="8340" w:type="dxa"/>
            <w:vAlign w:val="bottom"/>
          </w:tcPr>
          <w:p>
            <w:pPr>
              <w:ind w:left="240"/>
              <w:spacing w:after="0"/>
              <w:rPr>
                <w:sz w:val="20"/>
                <w:szCs w:val="20"/>
                <w:color w:val="auto"/>
              </w:rPr>
            </w:pPr>
            <w:r>
              <w:rPr>
                <w:rFonts w:ascii="Arial" w:cs="Arial" w:eastAsia="Arial" w:hAnsi="Arial"/>
                <w:sz w:val="16"/>
                <w:szCs w:val="16"/>
                <w:color w:val="auto"/>
              </w:rPr>
              <w:t>Prepaid expenses</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6,672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4,538</w:t>
            </w:r>
          </w:p>
        </w:tc>
        <w:tc>
          <w:tcPr>
            <w:tcW w:w="0" w:type="dxa"/>
            <w:vAlign w:val="bottom"/>
          </w:tcPr>
          <w:p>
            <w:pPr>
              <w:spacing w:after="0"/>
              <w:rPr>
                <w:sz w:val="1"/>
                <w:szCs w:val="1"/>
                <w:color w:val="auto"/>
              </w:rPr>
            </w:pPr>
          </w:p>
        </w:tc>
      </w:tr>
      <w:tr>
        <w:trPr>
          <w:trHeight w:val="219"/>
        </w:trPr>
        <w:tc>
          <w:tcPr>
            <w:tcW w:w="83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Tax and tax incentive receivable</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10,606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8,260</w:t>
            </w:r>
          </w:p>
        </w:tc>
        <w:tc>
          <w:tcPr>
            <w:tcW w:w="0" w:type="dxa"/>
            <w:vAlign w:val="bottom"/>
          </w:tcPr>
          <w:p>
            <w:pPr>
              <w:spacing w:after="0"/>
              <w:rPr>
                <w:sz w:val="1"/>
                <w:szCs w:val="1"/>
                <w:color w:val="auto"/>
              </w:rPr>
            </w:pPr>
          </w:p>
        </w:tc>
      </w:tr>
      <w:tr>
        <w:trPr>
          <w:trHeight w:val="213"/>
        </w:trPr>
        <w:tc>
          <w:tcPr>
            <w:tcW w:w="834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Other current assets</w:t>
            </w: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667</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1,720</w:t>
            </w:r>
          </w:p>
        </w:tc>
        <w:tc>
          <w:tcPr>
            <w:tcW w:w="0" w:type="dxa"/>
            <w:vAlign w:val="bottom"/>
          </w:tcPr>
          <w:p>
            <w:pPr>
              <w:spacing w:after="0"/>
              <w:rPr>
                <w:sz w:val="1"/>
                <w:szCs w:val="1"/>
                <w:color w:val="auto"/>
              </w:rPr>
            </w:pPr>
          </w:p>
        </w:tc>
      </w:tr>
      <w:tr>
        <w:trPr>
          <w:trHeight w:val="213"/>
        </w:trPr>
        <w:tc>
          <w:tcPr>
            <w:tcW w:w="8340" w:type="dxa"/>
            <w:vAlign w:val="bottom"/>
            <w:shd w:val="clear" w:color="auto" w:fill="CCEEFF"/>
          </w:tcPr>
          <w:p>
            <w:pPr>
              <w:ind w:left="360"/>
              <w:spacing w:after="0"/>
              <w:rPr>
                <w:sz w:val="20"/>
                <w:szCs w:val="20"/>
                <w:color w:val="auto"/>
              </w:rPr>
            </w:pPr>
            <w:r>
              <w:rPr>
                <w:rFonts w:ascii="Arial" w:cs="Arial" w:eastAsia="Arial" w:hAnsi="Arial"/>
                <w:sz w:val="16"/>
                <w:szCs w:val="16"/>
                <w:b w:val="1"/>
                <w:bCs w:val="1"/>
                <w:color w:val="auto"/>
              </w:rPr>
              <w:t>Total current assets</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184,492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202,504</w:t>
            </w:r>
          </w:p>
        </w:tc>
        <w:tc>
          <w:tcPr>
            <w:tcW w:w="0" w:type="dxa"/>
            <w:vAlign w:val="bottom"/>
          </w:tcPr>
          <w:p>
            <w:pPr>
              <w:spacing w:after="0"/>
              <w:rPr>
                <w:sz w:val="1"/>
                <w:szCs w:val="1"/>
                <w:color w:val="auto"/>
              </w:rPr>
            </w:pPr>
          </w:p>
        </w:tc>
      </w:tr>
      <w:tr>
        <w:trPr>
          <w:trHeight w:val="216"/>
        </w:trPr>
        <w:tc>
          <w:tcPr>
            <w:tcW w:w="8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Non-current assets:</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340" w:type="dxa"/>
            <w:vAlign w:val="bottom"/>
          </w:tcPr>
          <w:p>
            <w:pPr>
              <w:ind w:left="240"/>
              <w:spacing w:after="0"/>
              <w:rPr>
                <w:sz w:val="20"/>
                <w:szCs w:val="20"/>
                <w:color w:val="auto"/>
              </w:rPr>
            </w:pPr>
            <w:r>
              <w:rPr>
                <w:rFonts w:ascii="Arial" w:cs="Arial" w:eastAsia="Arial" w:hAnsi="Arial"/>
                <w:sz w:val="16"/>
                <w:szCs w:val="16"/>
                <w:color w:val="auto"/>
              </w:rPr>
              <w:t>Furniture and equipment, net</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107</w:t>
            </w:r>
          </w:p>
        </w:tc>
        <w:tc>
          <w:tcPr>
            <w:tcW w:w="0" w:type="dxa"/>
            <w:vAlign w:val="bottom"/>
          </w:tcPr>
          <w:p>
            <w:pPr>
              <w:spacing w:after="0"/>
              <w:rPr>
                <w:sz w:val="1"/>
                <w:szCs w:val="1"/>
                <w:color w:val="auto"/>
              </w:rPr>
            </w:pPr>
          </w:p>
        </w:tc>
      </w:tr>
      <w:tr>
        <w:trPr>
          <w:trHeight w:val="219"/>
        </w:trPr>
        <w:tc>
          <w:tcPr>
            <w:tcW w:w="83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Goodwill</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545</w:t>
            </w:r>
          </w:p>
        </w:tc>
        <w:tc>
          <w:tcPr>
            <w:tcW w:w="0" w:type="dxa"/>
            <w:vAlign w:val="bottom"/>
          </w:tcPr>
          <w:p>
            <w:pPr>
              <w:spacing w:after="0"/>
              <w:rPr>
                <w:sz w:val="1"/>
                <w:szCs w:val="1"/>
                <w:color w:val="auto"/>
              </w:rPr>
            </w:pPr>
          </w:p>
        </w:tc>
      </w:tr>
      <w:tr>
        <w:trPr>
          <w:trHeight w:val="213"/>
        </w:trPr>
        <w:tc>
          <w:tcPr>
            <w:tcW w:w="8340" w:type="dxa"/>
            <w:vAlign w:val="bottom"/>
          </w:tcPr>
          <w:p>
            <w:pPr>
              <w:ind w:left="240"/>
              <w:spacing w:after="0"/>
              <w:rPr>
                <w:sz w:val="20"/>
                <w:szCs w:val="20"/>
                <w:color w:val="auto"/>
              </w:rPr>
            </w:pPr>
            <w:r>
              <w:rPr>
                <w:rFonts w:ascii="Arial" w:cs="Arial" w:eastAsia="Arial" w:hAnsi="Arial"/>
                <w:sz w:val="16"/>
                <w:szCs w:val="16"/>
                <w:color w:val="auto"/>
              </w:rPr>
              <w:t>Equity interest</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15,000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83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Right-of-use assets</w:t>
            </w: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1,435</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1,050</w:t>
            </w:r>
          </w:p>
        </w:tc>
        <w:tc>
          <w:tcPr>
            <w:tcW w:w="0" w:type="dxa"/>
            <w:vAlign w:val="bottom"/>
          </w:tcPr>
          <w:p>
            <w:pPr>
              <w:spacing w:after="0"/>
              <w:rPr>
                <w:sz w:val="1"/>
                <w:szCs w:val="1"/>
                <w:color w:val="auto"/>
              </w:rPr>
            </w:pPr>
          </w:p>
        </w:tc>
      </w:tr>
      <w:tr>
        <w:trPr>
          <w:trHeight w:val="207"/>
        </w:trPr>
        <w:tc>
          <w:tcPr>
            <w:tcW w:w="8340" w:type="dxa"/>
            <w:vAlign w:val="bottom"/>
            <w:tcBorders>
              <w:bottom w:val="single" w:sz="8" w:color="CCEEFF"/>
            </w:tcBorders>
          </w:tcPr>
          <w:p>
            <w:pPr>
              <w:ind w:left="360"/>
              <w:spacing w:after="0"/>
              <w:rPr>
                <w:sz w:val="20"/>
                <w:szCs w:val="20"/>
                <w:color w:val="auto"/>
              </w:rPr>
            </w:pPr>
            <w:r>
              <w:rPr>
                <w:rFonts w:ascii="Arial" w:cs="Arial" w:eastAsia="Arial" w:hAnsi="Arial"/>
                <w:sz w:val="16"/>
                <w:szCs w:val="16"/>
                <w:b w:val="1"/>
                <w:bCs w:val="1"/>
                <w:color w:val="auto"/>
              </w:rPr>
              <w:t>Total non-current assets</w:t>
            </w: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17,068</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1,702</w:t>
            </w:r>
          </w:p>
        </w:tc>
        <w:tc>
          <w:tcPr>
            <w:tcW w:w="0" w:type="dxa"/>
            <w:vAlign w:val="bottom"/>
          </w:tcPr>
          <w:p>
            <w:pPr>
              <w:spacing w:after="0"/>
              <w:rPr>
                <w:sz w:val="1"/>
                <w:szCs w:val="1"/>
                <w:color w:val="auto"/>
              </w:rPr>
            </w:pPr>
          </w:p>
        </w:tc>
      </w:tr>
      <w:tr>
        <w:trPr>
          <w:trHeight w:val="238"/>
        </w:trPr>
        <w:tc>
          <w:tcPr>
            <w:tcW w:w="83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b w:val="1"/>
                <w:bCs w:val="1"/>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201,560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204,206</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340" w:type="dxa"/>
            <w:vAlign w:val="bottom"/>
            <w:shd w:val="clear" w:color="auto" w:fill="CCEEFF"/>
          </w:tcPr>
          <w:p>
            <w:pPr>
              <w:ind w:left="3860"/>
              <w:spacing w:after="0"/>
              <w:rPr>
                <w:sz w:val="20"/>
                <w:szCs w:val="20"/>
                <w:color w:val="auto"/>
              </w:rPr>
            </w:pPr>
            <w:r>
              <w:rPr>
                <w:rFonts w:ascii="Arial" w:cs="Arial" w:eastAsia="Arial" w:hAnsi="Arial"/>
                <w:sz w:val="16"/>
                <w:szCs w:val="16"/>
                <w:b w:val="1"/>
                <w:bCs w:val="1"/>
                <w:color w:val="auto"/>
              </w:rPr>
              <w:t>LIABILITIES AND SHAREHOLDERS’ EQUITY</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340" w:type="dxa"/>
            <w:vAlign w:val="bottom"/>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3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Accounts payable</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w:t>
            </w:r>
          </w:p>
        </w:tc>
        <w:tc>
          <w:tcPr>
            <w:tcW w:w="0" w:type="dxa"/>
            <w:vAlign w:val="bottom"/>
          </w:tcPr>
          <w:p>
            <w:pPr>
              <w:spacing w:after="0"/>
              <w:rPr>
                <w:sz w:val="1"/>
                <w:szCs w:val="1"/>
                <w:color w:val="auto"/>
              </w:rPr>
            </w:pPr>
          </w:p>
        </w:tc>
      </w:tr>
      <w:tr>
        <w:trPr>
          <w:trHeight w:val="213"/>
        </w:trPr>
        <w:tc>
          <w:tcPr>
            <w:tcW w:w="8340" w:type="dxa"/>
            <w:vAlign w:val="bottom"/>
          </w:tcPr>
          <w:p>
            <w:pPr>
              <w:ind w:left="240"/>
              <w:spacing w:after="0"/>
              <w:rPr>
                <w:sz w:val="20"/>
                <w:szCs w:val="20"/>
                <w:color w:val="auto"/>
              </w:rPr>
            </w:pPr>
            <w:r>
              <w:rPr>
                <w:rFonts w:ascii="Arial" w:cs="Arial" w:eastAsia="Arial" w:hAnsi="Arial"/>
                <w:sz w:val="16"/>
                <w:szCs w:val="16"/>
                <w:color w:val="auto"/>
              </w:rPr>
              <w:t>Accrued expenses</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26,457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10,863</w:t>
            </w:r>
          </w:p>
        </w:tc>
        <w:tc>
          <w:tcPr>
            <w:tcW w:w="0" w:type="dxa"/>
            <w:vAlign w:val="bottom"/>
          </w:tcPr>
          <w:p>
            <w:pPr>
              <w:spacing w:after="0"/>
              <w:rPr>
                <w:sz w:val="1"/>
                <w:szCs w:val="1"/>
                <w:color w:val="auto"/>
              </w:rPr>
            </w:pPr>
          </w:p>
        </w:tc>
      </w:tr>
      <w:tr>
        <w:trPr>
          <w:trHeight w:val="219"/>
        </w:trPr>
        <w:tc>
          <w:tcPr>
            <w:tcW w:w="83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Operating lease liability</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798</w:t>
            </w:r>
          </w:p>
        </w:tc>
        <w:tc>
          <w:tcPr>
            <w:tcW w:w="0" w:type="dxa"/>
            <w:vAlign w:val="bottom"/>
          </w:tcPr>
          <w:p>
            <w:pPr>
              <w:spacing w:after="0"/>
              <w:rPr>
                <w:sz w:val="1"/>
                <w:szCs w:val="1"/>
                <w:color w:val="auto"/>
              </w:rPr>
            </w:pPr>
          </w:p>
        </w:tc>
      </w:tr>
      <w:tr>
        <w:trPr>
          <w:trHeight w:val="213"/>
        </w:trPr>
        <w:tc>
          <w:tcPr>
            <w:tcW w:w="8340" w:type="dxa"/>
            <w:vAlign w:val="bottom"/>
          </w:tcPr>
          <w:p>
            <w:pPr>
              <w:ind w:left="240"/>
              <w:spacing w:after="0"/>
              <w:rPr>
                <w:sz w:val="20"/>
                <w:szCs w:val="20"/>
                <w:color w:val="auto"/>
              </w:rPr>
            </w:pPr>
            <w:r>
              <w:rPr>
                <w:rFonts w:ascii="Arial" w:cs="Arial" w:eastAsia="Arial" w:hAnsi="Arial"/>
                <w:sz w:val="16"/>
                <w:szCs w:val="16"/>
                <w:color w:val="auto"/>
              </w:rPr>
              <w:t>Warrants</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2,246</w:t>
            </w:r>
          </w:p>
        </w:tc>
        <w:tc>
          <w:tcPr>
            <w:tcW w:w="0" w:type="dxa"/>
            <w:vAlign w:val="bottom"/>
          </w:tcPr>
          <w:p>
            <w:pPr>
              <w:spacing w:after="0"/>
              <w:rPr>
                <w:sz w:val="1"/>
                <w:szCs w:val="1"/>
                <w:color w:val="auto"/>
              </w:rPr>
            </w:pPr>
          </w:p>
        </w:tc>
      </w:tr>
      <w:tr>
        <w:trPr>
          <w:trHeight w:val="219"/>
        </w:trPr>
        <w:tc>
          <w:tcPr>
            <w:tcW w:w="83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Taxes payable</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834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Other current liabilities</w:t>
            </w: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w:t>
            </w:r>
          </w:p>
        </w:tc>
        <w:tc>
          <w:tcPr>
            <w:tcW w:w="0" w:type="dxa"/>
            <w:vAlign w:val="bottom"/>
          </w:tcPr>
          <w:p>
            <w:pPr>
              <w:spacing w:after="0"/>
              <w:rPr>
                <w:sz w:val="1"/>
                <w:szCs w:val="1"/>
                <w:color w:val="auto"/>
              </w:rPr>
            </w:pPr>
          </w:p>
        </w:tc>
      </w:tr>
      <w:tr>
        <w:trPr>
          <w:trHeight w:val="213"/>
        </w:trPr>
        <w:tc>
          <w:tcPr>
            <w:tcW w:w="8340" w:type="dxa"/>
            <w:vAlign w:val="bottom"/>
            <w:shd w:val="clear" w:color="auto" w:fill="CCEEFF"/>
          </w:tcPr>
          <w:p>
            <w:pPr>
              <w:ind w:left="360"/>
              <w:spacing w:after="0"/>
              <w:rPr>
                <w:sz w:val="20"/>
                <w:szCs w:val="20"/>
                <w:color w:val="auto"/>
              </w:rPr>
            </w:pPr>
            <w:r>
              <w:rPr>
                <w:rFonts w:ascii="Arial" w:cs="Arial" w:eastAsia="Arial" w:hAnsi="Arial"/>
                <w:sz w:val="16"/>
                <w:szCs w:val="16"/>
                <w:b w:val="1"/>
                <w:bCs w:val="1"/>
                <w:color w:val="auto"/>
              </w:rPr>
              <w:t>Total current liabilities</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27,740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14,203</w:t>
            </w:r>
          </w:p>
        </w:tc>
        <w:tc>
          <w:tcPr>
            <w:tcW w:w="0" w:type="dxa"/>
            <w:vAlign w:val="bottom"/>
          </w:tcPr>
          <w:p>
            <w:pPr>
              <w:spacing w:after="0"/>
              <w:rPr>
                <w:sz w:val="1"/>
                <w:szCs w:val="1"/>
                <w:color w:val="auto"/>
              </w:rPr>
            </w:pPr>
          </w:p>
        </w:tc>
      </w:tr>
      <w:tr>
        <w:trPr>
          <w:trHeight w:val="216"/>
        </w:trPr>
        <w:tc>
          <w:tcPr>
            <w:tcW w:w="8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Non-current liabilities:</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340" w:type="dxa"/>
            <w:vAlign w:val="bottom"/>
          </w:tcPr>
          <w:p>
            <w:pPr>
              <w:ind w:left="240"/>
              <w:spacing w:after="0"/>
              <w:rPr>
                <w:sz w:val="20"/>
                <w:szCs w:val="20"/>
                <w:color w:val="auto"/>
              </w:rPr>
            </w:pPr>
            <w:r>
              <w:rPr>
                <w:rFonts w:ascii="Arial" w:cs="Arial" w:eastAsia="Arial" w:hAnsi="Arial"/>
                <w:sz w:val="16"/>
                <w:szCs w:val="16"/>
                <w:color w:val="auto"/>
              </w:rPr>
              <w:t>Term loan</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4,821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4,635</w:t>
            </w:r>
          </w:p>
        </w:tc>
        <w:tc>
          <w:tcPr>
            <w:tcW w:w="0" w:type="dxa"/>
            <w:vAlign w:val="bottom"/>
          </w:tcPr>
          <w:p>
            <w:pPr>
              <w:spacing w:after="0"/>
              <w:rPr>
                <w:sz w:val="1"/>
                <w:szCs w:val="1"/>
                <w:color w:val="auto"/>
              </w:rPr>
            </w:pPr>
          </w:p>
        </w:tc>
      </w:tr>
      <w:tr>
        <w:trPr>
          <w:trHeight w:val="219"/>
        </w:trPr>
        <w:tc>
          <w:tcPr>
            <w:tcW w:w="83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Operating lease liability</w:t>
            </w: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797</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514</w:t>
            </w:r>
          </w:p>
        </w:tc>
        <w:tc>
          <w:tcPr>
            <w:tcW w:w="0" w:type="dxa"/>
            <w:vAlign w:val="bottom"/>
          </w:tcPr>
          <w:p>
            <w:pPr>
              <w:spacing w:after="0"/>
              <w:rPr>
                <w:sz w:val="1"/>
                <w:szCs w:val="1"/>
                <w:color w:val="auto"/>
              </w:rPr>
            </w:pPr>
          </w:p>
        </w:tc>
      </w:tr>
      <w:tr>
        <w:trPr>
          <w:trHeight w:val="206"/>
        </w:trPr>
        <w:tc>
          <w:tcPr>
            <w:tcW w:w="8340" w:type="dxa"/>
            <w:vAlign w:val="bottom"/>
            <w:tcBorders>
              <w:bottom w:val="single" w:sz="8" w:color="CCEEFF"/>
            </w:tcBorders>
          </w:tcPr>
          <w:p>
            <w:pPr>
              <w:ind w:left="360"/>
              <w:spacing w:after="0"/>
              <w:rPr>
                <w:sz w:val="20"/>
                <w:szCs w:val="20"/>
                <w:color w:val="auto"/>
              </w:rPr>
            </w:pPr>
            <w:r>
              <w:rPr>
                <w:rFonts w:ascii="Arial" w:cs="Arial" w:eastAsia="Arial" w:hAnsi="Arial"/>
                <w:sz w:val="16"/>
                <w:szCs w:val="16"/>
                <w:b w:val="1"/>
                <w:bCs w:val="1"/>
                <w:color w:val="auto"/>
              </w:rPr>
              <w:t>Total non-current liabilities</w:t>
            </w: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5,618</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5,149</w:t>
            </w:r>
          </w:p>
        </w:tc>
        <w:tc>
          <w:tcPr>
            <w:tcW w:w="0" w:type="dxa"/>
            <w:vAlign w:val="bottom"/>
          </w:tcPr>
          <w:p>
            <w:pPr>
              <w:spacing w:after="0"/>
              <w:rPr>
                <w:sz w:val="1"/>
                <w:szCs w:val="1"/>
                <w:color w:val="auto"/>
              </w:rPr>
            </w:pPr>
          </w:p>
        </w:tc>
      </w:tr>
      <w:tr>
        <w:trPr>
          <w:trHeight w:val="213"/>
        </w:trPr>
        <w:tc>
          <w:tcPr>
            <w:tcW w:w="8340" w:type="dxa"/>
            <w:vAlign w:val="bottom"/>
            <w:shd w:val="clear" w:color="auto" w:fill="CCEEFF"/>
          </w:tcPr>
          <w:p>
            <w:pPr>
              <w:ind w:left="460"/>
              <w:spacing w:after="0"/>
              <w:rPr>
                <w:sz w:val="20"/>
                <w:szCs w:val="20"/>
                <w:color w:val="auto"/>
              </w:rPr>
            </w:pPr>
            <w:r>
              <w:rPr>
                <w:rFonts w:ascii="Arial" w:cs="Arial" w:eastAsia="Arial" w:hAnsi="Arial"/>
                <w:sz w:val="16"/>
                <w:szCs w:val="16"/>
                <w:b w:val="1"/>
                <w:bCs w:val="1"/>
                <w:color w:val="auto"/>
              </w:rPr>
              <w:t>Total liabilities</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33,358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19,352</w:t>
            </w:r>
          </w:p>
        </w:tc>
        <w:tc>
          <w:tcPr>
            <w:tcW w:w="0" w:type="dxa"/>
            <w:vAlign w:val="bottom"/>
          </w:tcPr>
          <w:p>
            <w:pPr>
              <w:spacing w:after="0"/>
              <w:rPr>
                <w:sz w:val="1"/>
                <w:szCs w:val="1"/>
                <w:color w:val="auto"/>
              </w:rPr>
            </w:pPr>
          </w:p>
        </w:tc>
      </w:tr>
      <w:tr>
        <w:trPr>
          <w:trHeight w:val="216"/>
        </w:trPr>
        <w:tc>
          <w:tcPr>
            <w:tcW w:w="8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Commitments and contingencies</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Shareholders' equity:</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4"/>
        </w:trPr>
        <w:tc>
          <w:tcPr>
            <w:tcW w:w="8340" w:type="dxa"/>
            <w:vAlign w:val="bottom"/>
          </w:tcPr>
          <w:p>
            <w:pPr>
              <w:ind w:left="240"/>
              <w:spacing w:after="0"/>
              <w:rPr>
                <w:sz w:val="20"/>
                <w:szCs w:val="20"/>
                <w:color w:val="auto"/>
              </w:rPr>
            </w:pPr>
            <w:r>
              <w:rPr>
                <w:rFonts w:ascii="Arial" w:cs="Arial" w:eastAsia="Arial" w:hAnsi="Arial"/>
                <w:sz w:val="16"/>
                <w:szCs w:val="16"/>
                <w:color w:val="auto"/>
                <w:w w:val="93"/>
              </w:rPr>
              <w:t>Ordinary £0.05 par value shares; 489,177,550 and 488,304,446 issued, and 477,649,646 and 463,304,446 outstanding, at</w:t>
            </w:r>
          </w:p>
        </w:tc>
        <w:tc>
          <w:tcPr>
            <w:tcW w:w="1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6"/>
        </w:trPr>
        <w:tc>
          <w:tcPr>
            <w:tcW w:w="8340" w:type="dxa"/>
            <w:vAlign w:val="bottom"/>
          </w:tcPr>
          <w:p>
            <w:pPr>
              <w:ind w:left="240"/>
              <w:spacing w:after="0"/>
              <w:rPr>
                <w:sz w:val="20"/>
                <w:szCs w:val="20"/>
                <w:color w:val="auto"/>
              </w:rPr>
            </w:pPr>
            <w:r>
              <w:rPr>
                <w:rFonts w:ascii="Arial" w:cs="Arial" w:eastAsia="Arial" w:hAnsi="Arial"/>
                <w:sz w:val="16"/>
                <w:szCs w:val="16"/>
                <w:color w:val="auto"/>
              </w:rPr>
              <w:t>September 30, 2021 and December 31, 2020, respectively</w:t>
            </w:r>
          </w:p>
        </w:tc>
        <w:tc>
          <w:tcPr>
            <w:tcW w:w="180" w:type="dxa"/>
            <w:vAlign w:val="bottom"/>
          </w:tcPr>
          <w:p>
            <w:pPr>
              <w:spacing w:after="0"/>
              <w:rPr>
                <w:sz w:val="17"/>
                <w:szCs w:val="17"/>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31,855</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31,794</w:t>
            </w:r>
          </w:p>
        </w:tc>
        <w:tc>
          <w:tcPr>
            <w:tcW w:w="0" w:type="dxa"/>
            <w:vAlign w:val="bottom"/>
          </w:tcPr>
          <w:p>
            <w:pPr>
              <w:spacing w:after="0"/>
              <w:rPr>
                <w:sz w:val="1"/>
                <w:szCs w:val="1"/>
                <w:color w:val="auto"/>
              </w:rPr>
            </w:pPr>
          </w:p>
        </w:tc>
      </w:tr>
      <w:tr>
        <w:trPr>
          <w:trHeight w:val="111"/>
        </w:trPr>
        <w:tc>
          <w:tcPr>
            <w:tcW w:w="8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9"/>
        </w:trPr>
        <w:tc>
          <w:tcPr>
            <w:tcW w:w="83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Additional paid-in capital</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382,005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366,411</w:t>
            </w:r>
          </w:p>
        </w:tc>
        <w:tc>
          <w:tcPr>
            <w:tcW w:w="0" w:type="dxa"/>
            <w:vAlign w:val="bottom"/>
          </w:tcPr>
          <w:p>
            <w:pPr>
              <w:spacing w:after="0"/>
              <w:rPr>
                <w:sz w:val="1"/>
                <w:szCs w:val="1"/>
                <w:color w:val="auto"/>
              </w:rPr>
            </w:pPr>
          </w:p>
        </w:tc>
      </w:tr>
      <w:tr>
        <w:trPr>
          <w:trHeight w:val="213"/>
        </w:trPr>
        <w:tc>
          <w:tcPr>
            <w:tcW w:w="8340" w:type="dxa"/>
            <w:vAlign w:val="bottom"/>
          </w:tcPr>
          <w:p>
            <w:pPr>
              <w:ind w:left="240"/>
              <w:spacing w:after="0"/>
              <w:rPr>
                <w:sz w:val="20"/>
                <w:szCs w:val="20"/>
                <w:color w:val="auto"/>
              </w:rPr>
            </w:pPr>
            <w:r>
              <w:rPr>
                <w:rFonts w:ascii="Arial" w:cs="Arial" w:eastAsia="Arial" w:hAnsi="Arial"/>
                <w:sz w:val="16"/>
                <w:szCs w:val="16"/>
                <w:color w:val="auto"/>
              </w:rPr>
              <w:t>Ordinary shares held in treasury</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(770)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(1,700)</w:t>
            </w:r>
          </w:p>
        </w:tc>
        <w:tc>
          <w:tcPr>
            <w:tcW w:w="0" w:type="dxa"/>
            <w:vAlign w:val="bottom"/>
          </w:tcPr>
          <w:p>
            <w:pPr>
              <w:spacing w:after="0"/>
              <w:rPr>
                <w:sz w:val="1"/>
                <w:szCs w:val="1"/>
                <w:color w:val="auto"/>
              </w:rPr>
            </w:pPr>
          </w:p>
        </w:tc>
      </w:tr>
      <w:tr>
        <w:trPr>
          <w:trHeight w:val="219"/>
        </w:trPr>
        <w:tc>
          <w:tcPr>
            <w:tcW w:w="83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Accumulated other comprehensive loss</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(4,601)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(4,601)</w:t>
            </w:r>
          </w:p>
        </w:tc>
        <w:tc>
          <w:tcPr>
            <w:tcW w:w="0" w:type="dxa"/>
            <w:vAlign w:val="bottom"/>
          </w:tcPr>
          <w:p>
            <w:pPr>
              <w:spacing w:after="0"/>
              <w:rPr>
                <w:sz w:val="1"/>
                <w:szCs w:val="1"/>
                <w:color w:val="auto"/>
              </w:rPr>
            </w:pPr>
          </w:p>
        </w:tc>
      </w:tr>
      <w:tr>
        <w:trPr>
          <w:trHeight w:val="213"/>
        </w:trPr>
        <w:tc>
          <w:tcPr>
            <w:tcW w:w="834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Accumulated deficit</w:t>
            </w: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(240,287)</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(207,050)</w:t>
            </w:r>
          </w:p>
        </w:tc>
        <w:tc>
          <w:tcPr>
            <w:tcW w:w="0" w:type="dxa"/>
            <w:vAlign w:val="bottom"/>
          </w:tcPr>
          <w:p>
            <w:pPr>
              <w:spacing w:after="0"/>
              <w:rPr>
                <w:sz w:val="1"/>
                <w:szCs w:val="1"/>
                <w:color w:val="auto"/>
              </w:rPr>
            </w:pPr>
          </w:p>
        </w:tc>
      </w:tr>
      <w:tr>
        <w:trPr>
          <w:trHeight w:val="210"/>
        </w:trPr>
        <w:tc>
          <w:tcPr>
            <w:tcW w:w="8340" w:type="dxa"/>
            <w:vAlign w:val="bottom"/>
            <w:shd w:val="clear" w:color="auto" w:fill="CCEEFF"/>
          </w:tcPr>
          <w:p>
            <w:pPr>
              <w:ind w:left="360"/>
              <w:spacing w:after="0"/>
              <w:rPr>
                <w:sz w:val="20"/>
                <w:szCs w:val="20"/>
                <w:color w:val="auto"/>
              </w:rPr>
            </w:pPr>
            <w:r>
              <w:rPr>
                <w:rFonts w:ascii="Arial" w:cs="Arial" w:eastAsia="Arial" w:hAnsi="Arial"/>
                <w:sz w:val="16"/>
                <w:szCs w:val="16"/>
                <w:b w:val="1"/>
                <w:bCs w:val="1"/>
                <w:color w:val="auto"/>
              </w:rPr>
              <w:t>Total shareholders' equity</w:t>
            </w:r>
          </w:p>
        </w:tc>
        <w:tc>
          <w:tcPr>
            <w:tcW w:w="1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168,202</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184,854</w:t>
            </w:r>
          </w:p>
        </w:tc>
        <w:tc>
          <w:tcPr>
            <w:tcW w:w="0" w:type="dxa"/>
            <w:vAlign w:val="bottom"/>
          </w:tcPr>
          <w:p>
            <w:pPr>
              <w:spacing w:after="0"/>
              <w:rPr>
                <w:sz w:val="1"/>
                <w:szCs w:val="1"/>
                <w:color w:val="auto"/>
              </w:rPr>
            </w:pPr>
          </w:p>
        </w:tc>
      </w:tr>
      <w:tr>
        <w:trPr>
          <w:trHeight w:val="213"/>
        </w:trPr>
        <w:tc>
          <w:tcPr>
            <w:tcW w:w="8340" w:type="dxa"/>
            <w:vAlign w:val="bottom"/>
          </w:tcPr>
          <w:p>
            <w:pPr>
              <w:ind w:left="460"/>
              <w:spacing w:after="0"/>
              <w:rPr>
                <w:sz w:val="20"/>
                <w:szCs w:val="20"/>
                <w:color w:val="auto"/>
              </w:rPr>
            </w:pPr>
            <w:r>
              <w:rPr>
                <w:rFonts w:ascii="Arial" w:cs="Arial" w:eastAsia="Arial" w:hAnsi="Arial"/>
                <w:sz w:val="16"/>
                <w:szCs w:val="16"/>
                <w:b w:val="1"/>
                <w:bCs w:val="1"/>
                <w:color w:val="auto"/>
              </w:rPr>
              <w:t>Total liabilities and shareholders' equity</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201,560</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204,206</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ectPr>
          <w:pgSz w:w="11900" w:h="16838" w:orient="portrait"/>
          <w:cols w:equalWidth="0" w:num="1">
            <w:col w:w="11240"/>
          </w:cols>
          <w:pgMar w:left="320" w:top="14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2" w:right="339" w:bottom="1440"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Verona Pharma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Profit/(Loss)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6"/>
                <w:szCs w:val="16"/>
                <w:color w:val="auto"/>
              </w:rPr>
            </w:pPr>
          </w:p>
        </w:tc>
        <w:tc>
          <w:tcPr>
            <w:tcW w:w="2640" w:type="dxa"/>
            <w:vAlign w:val="bottom"/>
            <w:gridSpan w:val="4"/>
          </w:tcPr>
          <w:p>
            <w:pPr>
              <w:jc w:val="right"/>
              <w:ind w:right="311"/>
              <w:spacing w:after="0"/>
              <w:rPr>
                <w:sz w:val="20"/>
                <w:szCs w:val="20"/>
                <w:color w:val="auto"/>
              </w:rPr>
            </w:pPr>
            <w:r>
              <w:rPr>
                <w:rFonts w:ascii="Arial" w:cs="Arial" w:eastAsia="Arial" w:hAnsi="Arial"/>
                <w:sz w:val="14"/>
                <w:szCs w:val="14"/>
                <w:b w:val="1"/>
                <w:bCs w:val="1"/>
                <w:color w:val="auto"/>
                <w:w w:val="96"/>
              </w:rPr>
              <w:t>Nine months ended September 30,</w:t>
            </w:r>
          </w:p>
        </w:tc>
        <w:tc>
          <w:tcPr>
            <w:tcW w:w="0" w:type="dxa"/>
            <w:vAlign w:val="bottom"/>
          </w:tcPr>
          <w:p>
            <w:pPr>
              <w:spacing w:after="0"/>
              <w:rPr>
                <w:sz w:val="1"/>
                <w:szCs w:val="1"/>
                <w:color w:val="auto"/>
              </w:rPr>
            </w:pPr>
          </w:p>
        </w:tc>
      </w:tr>
      <w:tr>
        <w:trPr>
          <w:trHeight w:val="26"/>
        </w:trPr>
        <w:tc>
          <w:tcPr>
            <w:tcW w:w="53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right"/>
              <w:ind w:right="452"/>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jc w:val="right"/>
              <w:ind w:right="47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jc w:val="right"/>
              <w:ind w:right="452"/>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jc w:val="right"/>
              <w:ind w:right="47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6"/>
        </w:trPr>
        <w:tc>
          <w:tcPr>
            <w:tcW w:w="5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Revenue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32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Research and development</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22,560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12,820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56,697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28,259</w:t>
            </w:r>
          </w:p>
        </w:tc>
        <w:tc>
          <w:tcPr>
            <w:tcW w:w="0" w:type="dxa"/>
            <w:vAlign w:val="bottom"/>
          </w:tcPr>
          <w:p>
            <w:pPr>
              <w:spacing w:after="0"/>
              <w:rPr>
                <w:sz w:val="1"/>
                <w:szCs w:val="1"/>
                <w:color w:val="auto"/>
              </w:rPr>
            </w:pPr>
          </w:p>
        </w:tc>
      </w:tr>
      <w:tr>
        <w:trPr>
          <w:trHeight w:val="229"/>
        </w:trPr>
        <w:tc>
          <w:tcPr>
            <w:tcW w:w="53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10,883</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8,284</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28,150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18,318</w:t>
            </w:r>
          </w:p>
        </w:tc>
        <w:tc>
          <w:tcPr>
            <w:tcW w:w="0" w:type="dxa"/>
            <w:vAlign w:val="bottom"/>
          </w:tcPr>
          <w:p>
            <w:pPr>
              <w:spacing w:after="0"/>
              <w:rPr>
                <w:sz w:val="1"/>
                <w:szCs w:val="1"/>
                <w:color w:val="auto"/>
              </w:rPr>
            </w:pPr>
          </w:p>
        </w:tc>
      </w:tr>
      <w:tr>
        <w:trPr>
          <w:trHeight w:val="223"/>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operating expenses</w:t>
            </w: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33,443</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21,104</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84,847</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46,577</w:t>
            </w:r>
          </w:p>
        </w:tc>
        <w:tc>
          <w:tcPr>
            <w:tcW w:w="0" w:type="dxa"/>
            <w:vAlign w:val="bottom"/>
          </w:tcPr>
          <w:p>
            <w:pPr>
              <w:spacing w:after="0"/>
              <w:rPr>
                <w:sz w:val="1"/>
                <w:szCs w:val="1"/>
                <w:color w:val="auto"/>
              </w:rPr>
            </w:pPr>
          </w:p>
        </w:tc>
      </w:tr>
      <w:tr>
        <w:trPr>
          <w:trHeight w:val="223"/>
        </w:trPr>
        <w:tc>
          <w:tcPr>
            <w:tcW w:w="5320" w:type="dxa"/>
            <w:vAlign w:val="bottom"/>
          </w:tcPr>
          <w:p>
            <w:pPr>
              <w:ind w:left="20"/>
              <w:spacing w:after="0"/>
              <w:rPr>
                <w:sz w:val="20"/>
                <w:szCs w:val="20"/>
                <w:color w:val="auto"/>
              </w:rPr>
            </w:pPr>
            <w:r>
              <w:rPr>
                <w:rFonts w:ascii="Arial" w:cs="Arial" w:eastAsia="Arial" w:hAnsi="Arial"/>
                <w:sz w:val="18"/>
                <w:szCs w:val="18"/>
                <w:b w:val="1"/>
                <w:bCs w:val="1"/>
                <w:color w:val="auto"/>
              </w:rPr>
              <w:t>Operating profit/(loss)</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6,557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(21,104)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(44,847)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(46,577)</w:t>
            </w:r>
          </w:p>
        </w:tc>
        <w:tc>
          <w:tcPr>
            <w:tcW w:w="0" w:type="dxa"/>
            <w:vAlign w:val="bottom"/>
          </w:tcPr>
          <w:p>
            <w:pPr>
              <w:spacing w:after="0"/>
              <w:rPr>
                <w:sz w:val="1"/>
                <w:szCs w:val="1"/>
                <w:color w:val="auto"/>
              </w:rPr>
            </w:pPr>
          </w:p>
        </w:tc>
      </w:tr>
      <w:tr>
        <w:trPr>
          <w:trHeight w:val="230"/>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income/(expense)</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20" w:type="dxa"/>
            <w:vAlign w:val="bottom"/>
          </w:tcPr>
          <w:p>
            <w:pPr>
              <w:ind w:left="240"/>
              <w:spacing w:after="0"/>
              <w:rPr>
                <w:sz w:val="20"/>
                <w:szCs w:val="20"/>
                <w:color w:val="auto"/>
              </w:rPr>
            </w:pPr>
            <w:r>
              <w:rPr>
                <w:rFonts w:ascii="Arial" w:cs="Arial" w:eastAsia="Arial" w:hAnsi="Arial"/>
                <w:sz w:val="18"/>
                <w:szCs w:val="18"/>
                <w:color w:val="auto"/>
              </w:rPr>
              <w:t>Research and development tax credit</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4,749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2,338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10,655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5,809</w:t>
            </w:r>
          </w:p>
        </w:tc>
        <w:tc>
          <w:tcPr>
            <w:tcW w:w="0" w:type="dxa"/>
            <w:vAlign w:val="bottom"/>
          </w:tcPr>
          <w:p>
            <w:pPr>
              <w:spacing w:after="0"/>
              <w:rPr>
                <w:sz w:val="1"/>
                <w:szCs w:val="1"/>
                <w:color w:val="auto"/>
              </w:rPr>
            </w:pPr>
          </w:p>
        </w:tc>
      </w:tr>
      <w:tr>
        <w:trPr>
          <w:trHeight w:val="229"/>
        </w:trPr>
        <w:tc>
          <w:tcPr>
            <w:tcW w:w="5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income</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30"/>
        </w:trPr>
        <w:tc>
          <w:tcPr>
            <w:tcW w:w="532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Fair value movement on warrants</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0" w:type="dxa"/>
            <w:vAlign w:val="bottom"/>
          </w:tcPr>
          <w:p>
            <w:pPr>
              <w:spacing w:after="0"/>
              <w:rPr>
                <w:sz w:val="1"/>
                <w:szCs w:val="1"/>
                <w:color w:val="auto"/>
              </w:rPr>
            </w:pPr>
          </w:p>
        </w:tc>
      </w:tr>
      <w:tr>
        <w:trPr>
          <w:trHeight w:val="230"/>
        </w:trPr>
        <w:tc>
          <w:tcPr>
            <w:tcW w:w="53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Foreign exchange (loss)/gain</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844</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1,188</w:t>
            </w:r>
          </w:p>
        </w:tc>
        <w:tc>
          <w:tcPr>
            <w:tcW w:w="0" w:type="dxa"/>
            <w:vAlign w:val="bottom"/>
          </w:tcPr>
          <w:p>
            <w:pPr>
              <w:spacing w:after="0"/>
              <w:rPr>
                <w:sz w:val="1"/>
                <w:szCs w:val="1"/>
                <w:color w:val="auto"/>
              </w:rPr>
            </w:pPr>
          </w:p>
        </w:tc>
      </w:tr>
      <w:tr>
        <w:trPr>
          <w:trHeight w:val="223"/>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other income, net</w:t>
            </w: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4,621</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2,217</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12,772</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6,366</w:t>
            </w:r>
          </w:p>
        </w:tc>
        <w:tc>
          <w:tcPr>
            <w:tcW w:w="0" w:type="dxa"/>
            <w:vAlign w:val="bottom"/>
          </w:tcPr>
          <w:p>
            <w:pPr>
              <w:spacing w:after="0"/>
              <w:rPr>
                <w:sz w:val="1"/>
                <w:szCs w:val="1"/>
                <w:color w:val="auto"/>
              </w:rPr>
            </w:pPr>
          </w:p>
        </w:tc>
      </w:tr>
      <w:tr>
        <w:trPr>
          <w:trHeight w:val="223"/>
        </w:trPr>
        <w:tc>
          <w:tcPr>
            <w:tcW w:w="5320" w:type="dxa"/>
            <w:vAlign w:val="bottom"/>
          </w:tcPr>
          <w:p>
            <w:pPr>
              <w:ind w:left="20"/>
              <w:spacing w:after="0"/>
              <w:rPr>
                <w:sz w:val="20"/>
                <w:szCs w:val="20"/>
                <w:color w:val="auto"/>
              </w:rPr>
            </w:pPr>
            <w:r>
              <w:rPr>
                <w:rFonts w:ascii="Arial" w:cs="Arial" w:eastAsia="Arial" w:hAnsi="Arial"/>
                <w:sz w:val="18"/>
                <w:szCs w:val="18"/>
                <w:b w:val="1"/>
                <w:bCs w:val="1"/>
                <w:color w:val="auto"/>
              </w:rPr>
              <w:t>Profit/(loss) before income taxes</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11,178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(18,887)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(32,075)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(40,211)</w:t>
            </w:r>
          </w:p>
        </w:tc>
        <w:tc>
          <w:tcPr>
            <w:tcW w:w="0" w:type="dxa"/>
            <w:vAlign w:val="bottom"/>
          </w:tcPr>
          <w:p>
            <w:pPr>
              <w:spacing w:after="0"/>
              <w:rPr>
                <w:sz w:val="1"/>
                <w:szCs w:val="1"/>
                <w:color w:val="auto"/>
              </w:rPr>
            </w:pPr>
          </w:p>
        </w:tc>
      </w:tr>
      <w:tr>
        <w:trPr>
          <w:trHeight w:val="229"/>
        </w:trPr>
        <w:tc>
          <w:tcPr>
            <w:tcW w:w="5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Income tax expense</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29"/>
        </w:trPr>
        <w:tc>
          <w:tcPr>
            <w:tcW w:w="5320" w:type="dxa"/>
            <w:vAlign w:val="bottom"/>
          </w:tcPr>
          <w:p>
            <w:pPr>
              <w:ind w:left="20"/>
              <w:spacing w:after="0"/>
              <w:rPr>
                <w:sz w:val="20"/>
                <w:szCs w:val="20"/>
                <w:color w:val="auto"/>
              </w:rPr>
            </w:pPr>
            <w:r>
              <w:rPr>
                <w:rFonts w:ascii="Arial" w:cs="Arial" w:eastAsia="Arial" w:hAnsi="Arial"/>
                <w:sz w:val="18"/>
                <w:szCs w:val="18"/>
                <w:b w:val="1"/>
                <w:bCs w:val="1"/>
                <w:color w:val="auto"/>
              </w:rPr>
              <w:t>Net profit/(loss)</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11,051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(18,931)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(32,307)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(40,321)</w:t>
            </w:r>
          </w:p>
        </w:tc>
        <w:tc>
          <w:tcPr>
            <w:tcW w:w="0" w:type="dxa"/>
            <w:vAlign w:val="bottom"/>
          </w:tcPr>
          <w:p>
            <w:pPr>
              <w:spacing w:after="0"/>
              <w:rPr>
                <w:sz w:val="1"/>
                <w:szCs w:val="1"/>
                <w:color w:val="auto"/>
              </w:rPr>
            </w:pPr>
          </w:p>
        </w:tc>
      </w:tr>
      <w:tr>
        <w:trPr>
          <w:trHeight w:val="230"/>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comprehensive profit/(loss):</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20" w:type="dxa"/>
            <w:vAlign w:val="bottom"/>
          </w:tcPr>
          <w:p>
            <w:pPr>
              <w:ind w:left="240"/>
              <w:spacing w:after="0"/>
              <w:rPr>
                <w:sz w:val="20"/>
                <w:szCs w:val="20"/>
                <w:color w:val="auto"/>
              </w:rPr>
            </w:pPr>
            <w:r>
              <w:rPr>
                <w:rFonts w:ascii="Arial" w:cs="Arial" w:eastAsia="Arial" w:hAnsi="Arial"/>
                <w:sz w:val="18"/>
                <w:szCs w:val="18"/>
                <w:color w:val="auto"/>
              </w:rPr>
              <w:t>Foreign currency translation adjustments</w:t>
            </w:r>
          </w:p>
        </w:tc>
        <w:tc>
          <w:tcPr>
            <w:tcW w:w="2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(2,321)</w:t>
            </w:r>
          </w:p>
        </w:tc>
        <w:tc>
          <w:tcPr>
            <w:tcW w:w="0" w:type="dxa"/>
            <w:vAlign w:val="bottom"/>
          </w:tcPr>
          <w:p>
            <w:pPr>
              <w:spacing w:after="0"/>
              <w:rPr>
                <w:sz w:val="1"/>
                <w:szCs w:val="1"/>
                <w:color w:val="auto"/>
              </w:rPr>
            </w:pPr>
          </w:p>
        </w:tc>
      </w:tr>
      <w:tr>
        <w:trPr>
          <w:trHeight w:val="156"/>
        </w:trPr>
        <w:tc>
          <w:tcPr>
            <w:tcW w:w="532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w w:val="96"/>
              </w:rPr>
              <w:t>Total comprehensive profit/(loss) attributable to shareholders of</w:t>
            </w:r>
          </w:p>
        </w:tc>
        <w:tc>
          <w:tcPr>
            <w:tcW w:w="220" w:type="dxa"/>
            <w:vAlign w:val="bottom"/>
            <w:tcBorders>
              <w:top w:val="single" w:sz="8" w:color="auto"/>
            </w:tcBorders>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11,051</w:t>
            </w:r>
          </w:p>
        </w:tc>
        <w:tc>
          <w:tcPr>
            <w:tcW w:w="12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(18,931)</w:t>
            </w:r>
          </w:p>
        </w:tc>
        <w:tc>
          <w:tcPr>
            <w:tcW w:w="12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(32,307)</w:t>
            </w:r>
          </w:p>
        </w:tc>
        <w:tc>
          <w:tcPr>
            <w:tcW w:w="12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(42,642)</w:t>
            </w:r>
          </w:p>
        </w:tc>
        <w:tc>
          <w:tcPr>
            <w:tcW w:w="0" w:type="dxa"/>
            <w:vAlign w:val="bottom"/>
          </w:tcPr>
          <w:p>
            <w:pPr>
              <w:spacing w:after="0"/>
              <w:rPr>
                <w:sz w:val="1"/>
                <w:szCs w:val="1"/>
                <w:color w:val="auto"/>
              </w:rPr>
            </w:pPr>
          </w:p>
        </w:tc>
      </w:tr>
      <w:tr>
        <w:trPr>
          <w:trHeight w:val="223"/>
        </w:trPr>
        <w:tc>
          <w:tcPr>
            <w:tcW w:w="532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the Company</w:t>
            </w:r>
          </w:p>
        </w:tc>
        <w:tc>
          <w:tcPr>
            <w:tcW w:w="220" w:type="dxa"/>
            <w:vAlign w:val="bottom"/>
            <w:tcBorders>
              <w:bottom w:val="single" w:sz="8" w:color="auto"/>
            </w:tcBorders>
            <w:vMerge w:val="continue"/>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vMerge w:val="continue"/>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Profit/(loss) per ordinary share - basic</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30"/>
        </w:trPr>
        <w:tc>
          <w:tcPr>
            <w:tcW w:w="5320" w:type="dxa"/>
            <w:vAlign w:val="bottom"/>
          </w:tcPr>
          <w:p>
            <w:pPr>
              <w:ind w:left="240"/>
              <w:spacing w:after="0"/>
              <w:rPr>
                <w:sz w:val="20"/>
                <w:szCs w:val="20"/>
                <w:color w:val="auto"/>
              </w:rPr>
            </w:pPr>
            <w:r>
              <w:rPr>
                <w:rFonts w:ascii="Arial" w:cs="Arial" w:eastAsia="Arial" w:hAnsi="Arial"/>
                <w:sz w:val="18"/>
                <w:szCs w:val="18"/>
                <w:color w:val="auto"/>
              </w:rPr>
              <w:t>Profit/(loss) per ordinary share - diluted</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(0.05)</w:t>
            </w: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(0.07)</w:t>
            </w: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0"/>
        </w:trPr>
        <w:tc>
          <w:tcPr>
            <w:tcW w:w="53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3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320" w:type="dxa"/>
            <w:vAlign w:val="bottom"/>
          </w:tcPr>
          <w:p>
            <w:pPr>
              <w:ind w:left="240"/>
              <w:spacing w:after="0"/>
              <w:rPr>
                <w:sz w:val="20"/>
                <w:szCs w:val="20"/>
                <w:color w:val="auto"/>
              </w:rPr>
            </w:pPr>
            <w:r>
              <w:rPr>
                <w:rFonts w:ascii="Arial" w:cs="Arial" w:eastAsia="Arial" w:hAnsi="Arial"/>
                <w:sz w:val="18"/>
                <w:szCs w:val="18"/>
                <w:color w:val="auto"/>
              </w:rPr>
              <w:t>Weighted-average shares outstanding - basic</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475,334,354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344,809,792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471,159,171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197,049,240</w:t>
            </w:r>
          </w:p>
        </w:tc>
        <w:tc>
          <w:tcPr>
            <w:tcW w:w="0" w:type="dxa"/>
            <w:vAlign w:val="bottom"/>
          </w:tcPr>
          <w:p>
            <w:pPr>
              <w:spacing w:after="0"/>
              <w:rPr>
                <w:sz w:val="1"/>
                <w:szCs w:val="1"/>
                <w:color w:val="auto"/>
              </w:rPr>
            </w:pPr>
          </w:p>
        </w:tc>
      </w:tr>
      <w:tr>
        <w:trPr>
          <w:trHeight w:val="230"/>
        </w:trPr>
        <w:tc>
          <w:tcPr>
            <w:tcW w:w="5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Weighted-average shares outstanding - diluted</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515,819,439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344,809,792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471,159,171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197,049,240</w:t>
            </w: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Verona Pharma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440" w:type="dxa"/>
            <w:vAlign w:val="bottom"/>
          </w:tcPr>
          <w:p>
            <w:pPr>
              <w:spacing w:after="0"/>
              <w:rPr>
                <w:sz w:val="16"/>
                <w:szCs w:val="16"/>
                <w:color w:val="auto"/>
              </w:rPr>
            </w:pPr>
          </w:p>
        </w:tc>
        <w:tc>
          <w:tcPr>
            <w:tcW w:w="2640" w:type="dxa"/>
            <w:vAlign w:val="bottom"/>
            <w:gridSpan w:val="5"/>
          </w:tcPr>
          <w:p>
            <w:pPr>
              <w:ind w:left="760"/>
              <w:spacing w:after="0"/>
              <w:rPr>
                <w:sz w:val="20"/>
                <w:szCs w:val="20"/>
                <w:color w:val="auto"/>
              </w:rPr>
            </w:pPr>
            <w:r>
              <w:rPr>
                <w:rFonts w:ascii="Arial" w:cs="Arial" w:eastAsia="Arial" w:hAnsi="Arial"/>
                <w:sz w:val="14"/>
                <w:szCs w:val="14"/>
                <w:b w:val="1"/>
                <w:bCs w:val="1"/>
                <w:color w:val="auto"/>
              </w:rPr>
              <w:t>Ordinary shares</w:t>
            </w:r>
          </w:p>
        </w:tc>
        <w:tc>
          <w:tcPr>
            <w:tcW w:w="140" w:type="dxa"/>
            <w:vAlign w:val="bottom"/>
          </w:tcPr>
          <w:p>
            <w:pPr>
              <w:spacing w:after="0"/>
              <w:rPr>
                <w:sz w:val="16"/>
                <w:szCs w:val="16"/>
                <w:color w:val="auto"/>
              </w:rPr>
            </w:pPr>
          </w:p>
        </w:tc>
        <w:tc>
          <w:tcPr>
            <w:tcW w:w="9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6"/>
              </w:rPr>
              <w:t>Additional</w:t>
            </w:r>
          </w:p>
        </w:tc>
        <w:tc>
          <w:tcPr>
            <w:tcW w:w="11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Ordinary shares</w:t>
            </w:r>
          </w:p>
        </w:tc>
        <w:tc>
          <w:tcPr>
            <w:tcW w:w="13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Accumulated other</w:t>
            </w:r>
          </w:p>
        </w:tc>
        <w:tc>
          <w:tcPr>
            <w:tcW w:w="160" w:type="dxa"/>
            <w:vAlign w:val="bottom"/>
          </w:tcPr>
          <w:p>
            <w:pPr>
              <w:spacing w:after="0"/>
              <w:rPr>
                <w:sz w:val="16"/>
                <w:szCs w:val="16"/>
                <w:color w:val="auto"/>
              </w:rPr>
            </w:pPr>
          </w:p>
        </w:tc>
        <w:tc>
          <w:tcPr>
            <w:tcW w:w="11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12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3"/>
              </w:rPr>
              <w:t>Total shareholders'</w:t>
            </w:r>
          </w:p>
        </w:tc>
        <w:tc>
          <w:tcPr>
            <w:tcW w:w="0" w:type="dxa"/>
            <w:vAlign w:val="bottom"/>
          </w:tcPr>
          <w:p>
            <w:pPr>
              <w:spacing w:after="0"/>
              <w:rPr>
                <w:sz w:val="1"/>
                <w:szCs w:val="1"/>
                <w:color w:val="auto"/>
              </w:rPr>
            </w:pPr>
          </w:p>
        </w:tc>
      </w:tr>
      <w:tr>
        <w:trPr>
          <w:trHeight w:val="26"/>
        </w:trPr>
        <w:tc>
          <w:tcPr>
            <w:tcW w:w="244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1160" w:type="dxa"/>
            <w:vAlign w:val="bottom"/>
            <w:gridSpan w:val="3"/>
            <w:vMerge w:val="continue"/>
          </w:tcPr>
          <w:p>
            <w:pPr>
              <w:spacing w:after="0"/>
              <w:rPr>
                <w:sz w:val="2"/>
                <w:szCs w:val="2"/>
                <w:color w:val="auto"/>
              </w:rPr>
            </w:pPr>
          </w:p>
        </w:tc>
        <w:tc>
          <w:tcPr>
            <w:tcW w:w="1320" w:type="dxa"/>
            <w:vAlign w:val="bottom"/>
            <w:gridSpan w:val="3"/>
            <w:vMerge w:val="continue"/>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126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79"/>
        </w:trPr>
        <w:tc>
          <w:tcPr>
            <w:tcW w:w="244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1160" w:type="dxa"/>
            <w:vAlign w:val="bottom"/>
            <w:gridSpan w:val="3"/>
            <w:vMerge w:val="continue"/>
          </w:tcPr>
          <w:p>
            <w:pPr>
              <w:spacing w:after="0"/>
              <w:rPr>
                <w:sz w:val="6"/>
                <w:szCs w:val="6"/>
                <w:color w:val="auto"/>
              </w:rPr>
            </w:pPr>
          </w:p>
        </w:tc>
        <w:tc>
          <w:tcPr>
            <w:tcW w:w="1320" w:type="dxa"/>
            <w:vAlign w:val="bottom"/>
            <w:gridSpan w:val="3"/>
            <w:vMerge w:val="continue"/>
          </w:tcPr>
          <w:p>
            <w:pPr>
              <w:spacing w:after="0"/>
              <w:rPr>
                <w:sz w:val="6"/>
                <w:szCs w:val="6"/>
                <w:color w:val="auto"/>
              </w:rPr>
            </w:pPr>
          </w:p>
        </w:tc>
        <w:tc>
          <w:tcPr>
            <w:tcW w:w="160" w:type="dxa"/>
            <w:vAlign w:val="bottom"/>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6"/>
        </w:trPr>
        <w:tc>
          <w:tcPr>
            <w:tcW w:w="2440" w:type="dxa"/>
            <w:vAlign w:val="bottom"/>
          </w:tcPr>
          <w:p>
            <w:pPr>
              <w:spacing w:after="0"/>
              <w:rPr>
                <w:sz w:val="16"/>
                <w:szCs w:val="16"/>
                <w:color w:val="auto"/>
              </w:rPr>
            </w:pPr>
          </w:p>
        </w:tc>
        <w:tc>
          <w:tcPr>
            <w:tcW w:w="1400" w:type="dxa"/>
            <w:vAlign w:val="bottom"/>
            <w:gridSpan w:val="2"/>
          </w:tcPr>
          <w:p>
            <w:pPr>
              <w:ind w:left="400"/>
              <w:spacing w:after="0"/>
              <w:rPr>
                <w:sz w:val="20"/>
                <w:szCs w:val="20"/>
                <w:color w:val="auto"/>
              </w:rPr>
            </w:pPr>
            <w:r>
              <w:rPr>
                <w:rFonts w:ascii="Arial" w:cs="Arial" w:eastAsia="Arial" w:hAnsi="Arial"/>
                <w:sz w:val="14"/>
                <w:szCs w:val="14"/>
                <w:b w:val="1"/>
                <w:bCs w:val="1"/>
                <w:color w:val="auto"/>
              </w:rPr>
              <w:t>Number</w:t>
            </w:r>
          </w:p>
        </w:tc>
        <w:tc>
          <w:tcPr>
            <w:tcW w:w="220" w:type="dxa"/>
            <w:vAlign w:val="bottom"/>
          </w:tcPr>
          <w:p>
            <w:pPr>
              <w:spacing w:after="0"/>
              <w:rPr>
                <w:sz w:val="16"/>
                <w:szCs w:val="16"/>
                <w:color w:val="auto"/>
              </w:rPr>
            </w:pPr>
          </w:p>
        </w:tc>
        <w:tc>
          <w:tcPr>
            <w:tcW w:w="1020" w:type="dxa"/>
            <w:vAlign w:val="bottom"/>
            <w:gridSpan w:val="2"/>
          </w:tcPr>
          <w:p>
            <w:pPr>
              <w:ind w:left="100"/>
              <w:spacing w:after="0"/>
              <w:rPr>
                <w:sz w:val="20"/>
                <w:szCs w:val="20"/>
                <w:color w:val="auto"/>
              </w:rPr>
            </w:pPr>
            <w:r>
              <w:rPr>
                <w:rFonts w:ascii="Arial" w:cs="Arial" w:eastAsia="Arial" w:hAnsi="Arial"/>
                <w:sz w:val="14"/>
                <w:szCs w:val="14"/>
                <w:b w:val="1"/>
                <w:bCs w:val="1"/>
                <w:color w:val="auto"/>
              </w:rPr>
              <w:t>Amount</w:t>
            </w:r>
          </w:p>
        </w:tc>
        <w:tc>
          <w:tcPr>
            <w:tcW w:w="11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paid-in capital</w:t>
            </w:r>
          </w:p>
        </w:tc>
        <w:tc>
          <w:tcPr>
            <w:tcW w:w="1160" w:type="dxa"/>
            <w:vAlign w:val="bottom"/>
            <w:gridSpan w:val="3"/>
          </w:tcPr>
          <w:p>
            <w:pPr>
              <w:ind w:left="40"/>
              <w:spacing w:after="0"/>
              <w:rPr>
                <w:sz w:val="20"/>
                <w:szCs w:val="20"/>
                <w:color w:val="auto"/>
              </w:rPr>
            </w:pPr>
            <w:r>
              <w:rPr>
                <w:rFonts w:ascii="Arial" w:cs="Arial" w:eastAsia="Arial" w:hAnsi="Arial"/>
                <w:sz w:val="14"/>
                <w:szCs w:val="14"/>
                <w:b w:val="1"/>
                <w:bCs w:val="1"/>
                <w:color w:val="auto"/>
              </w:rPr>
              <w:t>held in treasury</w:t>
            </w:r>
          </w:p>
        </w:tc>
        <w:tc>
          <w:tcPr>
            <w:tcW w:w="1320" w:type="dxa"/>
            <w:vAlign w:val="bottom"/>
            <w:gridSpan w:val="3"/>
          </w:tcPr>
          <w:p>
            <w:pPr>
              <w:ind w:left="20"/>
              <w:spacing w:after="0"/>
              <w:rPr>
                <w:sz w:val="20"/>
                <w:szCs w:val="20"/>
                <w:color w:val="auto"/>
              </w:rPr>
            </w:pPr>
            <w:r>
              <w:rPr>
                <w:rFonts w:ascii="Arial" w:cs="Arial" w:eastAsia="Arial" w:hAnsi="Arial"/>
                <w:sz w:val="14"/>
                <w:szCs w:val="14"/>
                <w:b w:val="1"/>
                <w:bCs w:val="1"/>
                <w:color w:val="auto"/>
                <w:w w:val="95"/>
              </w:rPr>
              <w:t>comprehensive loss</w:t>
            </w:r>
          </w:p>
        </w:tc>
        <w:tc>
          <w:tcPr>
            <w:tcW w:w="160" w:type="dxa"/>
            <w:vAlign w:val="bottom"/>
          </w:tcPr>
          <w:p>
            <w:pPr>
              <w:spacing w:after="0"/>
              <w:rPr>
                <w:sz w:val="16"/>
                <w:szCs w:val="16"/>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deficit</w:t>
            </w:r>
          </w:p>
        </w:tc>
        <w:tc>
          <w:tcPr>
            <w:tcW w:w="260" w:type="dxa"/>
            <w:vAlign w:val="bottom"/>
          </w:tcPr>
          <w:p>
            <w:pPr>
              <w:spacing w:after="0"/>
              <w:rPr>
                <w:sz w:val="16"/>
                <w:szCs w:val="16"/>
                <w:color w:val="auto"/>
              </w:rPr>
            </w:pPr>
          </w:p>
        </w:tc>
        <w:tc>
          <w:tcPr>
            <w:tcW w:w="1000" w:type="dxa"/>
            <w:vAlign w:val="bottom"/>
          </w:tcPr>
          <w:p>
            <w:pPr>
              <w:jc w:val="right"/>
              <w:ind w:right="351"/>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6"/>
        </w:trPr>
        <w:tc>
          <w:tcPr>
            <w:tcW w:w="244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January 1, 2021</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488,304,446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31,794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366,411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1"/>
              </w:rPr>
              <w:t>(4,601)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(207,050)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184,854</w:t>
            </w:r>
          </w:p>
        </w:tc>
        <w:tc>
          <w:tcPr>
            <w:tcW w:w="0" w:type="dxa"/>
            <w:vAlign w:val="bottom"/>
          </w:tcPr>
          <w:p>
            <w:pPr>
              <w:spacing w:after="0"/>
              <w:rPr>
                <w:sz w:val="1"/>
                <w:szCs w:val="1"/>
                <w:color w:val="auto"/>
              </w:rPr>
            </w:pPr>
          </w:p>
        </w:tc>
      </w:tr>
      <w:tr>
        <w:trPr>
          <w:trHeight w:val="230"/>
        </w:trPr>
        <w:tc>
          <w:tcPr>
            <w:tcW w:w="2440" w:type="dxa"/>
            <w:vAlign w:val="bottom"/>
          </w:tcPr>
          <w:p>
            <w:pPr>
              <w:ind w:left="240"/>
              <w:spacing w:after="0"/>
              <w:rPr>
                <w:sz w:val="20"/>
                <w:szCs w:val="20"/>
                <w:color w:val="auto"/>
              </w:rPr>
            </w:pPr>
            <w:r>
              <w:rPr>
                <w:rFonts w:ascii="Arial" w:cs="Arial" w:eastAsia="Arial" w:hAnsi="Arial"/>
                <w:sz w:val="18"/>
                <w:szCs w:val="18"/>
                <w:color w:val="auto"/>
              </w:rPr>
              <w:t>Net loss</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9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(21,290)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(21,290)</w:t>
            </w:r>
          </w:p>
        </w:tc>
        <w:tc>
          <w:tcPr>
            <w:tcW w:w="0" w:type="dxa"/>
            <w:vAlign w:val="bottom"/>
          </w:tcPr>
          <w:p>
            <w:pPr>
              <w:spacing w:after="0"/>
              <w:rPr>
                <w:sz w:val="1"/>
                <w:szCs w:val="1"/>
                <w:color w:val="auto"/>
              </w:rPr>
            </w:pPr>
          </w:p>
        </w:tc>
      </w:tr>
      <w:tr>
        <w:trPr>
          <w:trHeight w:val="229"/>
        </w:trPr>
        <w:tc>
          <w:tcPr>
            <w:tcW w:w="244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9"/>
              </w:rPr>
              <w:t>Share-based compensation</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8,850</w:t>
            </w:r>
          </w:p>
        </w:tc>
        <w:tc>
          <w:tcPr>
            <w:tcW w:w="0" w:type="dxa"/>
            <w:vAlign w:val="bottom"/>
          </w:tcPr>
          <w:p>
            <w:pPr>
              <w:spacing w:after="0"/>
              <w:rPr>
                <w:sz w:val="1"/>
                <w:szCs w:val="1"/>
                <w:color w:val="auto"/>
              </w:rPr>
            </w:pPr>
          </w:p>
        </w:tc>
      </w:tr>
      <w:tr>
        <w:trPr>
          <w:trHeight w:val="230"/>
        </w:trPr>
        <w:tc>
          <w:tcPr>
            <w:tcW w:w="2440" w:type="dxa"/>
            <w:vAlign w:val="bottom"/>
          </w:tcPr>
          <w:p>
            <w:pPr>
              <w:ind w:left="240"/>
              <w:spacing w:after="0"/>
              <w:rPr>
                <w:sz w:val="20"/>
                <w:szCs w:val="20"/>
                <w:color w:val="auto"/>
              </w:rPr>
            </w:pPr>
            <w:r>
              <w:rPr>
                <w:rFonts w:ascii="Arial" w:cs="Arial" w:eastAsia="Arial" w:hAnsi="Arial"/>
                <w:sz w:val="18"/>
                <w:szCs w:val="18"/>
                <w:color w:val="auto"/>
                <w:w w:val="93"/>
              </w:rPr>
              <w:t>Restricted share units vested</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2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March 31, 2021</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488,304,446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31,794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375,261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w w:val="91"/>
              </w:rPr>
              <w:t>(4,601)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(228,370)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172,414</w:t>
            </w:r>
          </w:p>
        </w:tc>
        <w:tc>
          <w:tcPr>
            <w:tcW w:w="0" w:type="dxa"/>
            <w:vAlign w:val="bottom"/>
          </w:tcPr>
          <w:p>
            <w:pPr>
              <w:spacing w:after="0"/>
              <w:rPr>
                <w:sz w:val="1"/>
                <w:szCs w:val="1"/>
                <w:color w:val="auto"/>
              </w:rPr>
            </w:pPr>
          </w:p>
        </w:tc>
      </w:tr>
      <w:tr>
        <w:trPr>
          <w:trHeight w:val="20"/>
        </w:trPr>
        <w:tc>
          <w:tcPr>
            <w:tcW w:w="2440" w:type="dxa"/>
            <w:vAlign w:val="bottom"/>
            <w:tcBorders>
              <w:top w:val="single" w:sz="8" w:color="CCEEFF"/>
            </w:tcBorders>
            <w:vMerge w:val="restart"/>
          </w:tcPr>
          <w:p>
            <w:pPr>
              <w:ind w:left="240"/>
              <w:spacing w:after="0"/>
              <w:rPr>
                <w:sz w:val="20"/>
                <w:szCs w:val="20"/>
                <w:color w:val="auto"/>
              </w:rPr>
            </w:pPr>
            <w:r>
              <w:rPr>
                <w:rFonts w:ascii="Arial" w:cs="Arial" w:eastAsia="Arial" w:hAnsi="Arial"/>
                <w:sz w:val="18"/>
                <w:szCs w:val="18"/>
                <w:color w:val="auto"/>
              </w:rPr>
              <w:t>Net loss</w:t>
            </w:r>
          </w:p>
        </w:tc>
        <w:tc>
          <w:tcPr>
            <w:tcW w:w="1400" w:type="dxa"/>
            <w:vAlign w:val="bottom"/>
            <w:tcBorders>
              <w:top w:val="single" w:sz="8" w:color="CCEEFF"/>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gridSpan w:val="2"/>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gridSpan w:val="2"/>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440" w:type="dxa"/>
            <w:vAlign w:val="bottom"/>
            <w:tcBorders>
              <w:top w:val="single" w:sz="8" w:color="CCEEFF"/>
            </w:tcBorders>
            <w:vMerge w:val="continue"/>
          </w:tcPr>
          <w:p>
            <w:pPr>
              <w:spacing w:after="0"/>
              <w:rPr>
                <w:sz w:val="17"/>
                <w:szCs w:val="17"/>
                <w:color w:val="auto"/>
              </w:rPr>
            </w:pPr>
          </w:p>
        </w:tc>
        <w:tc>
          <w:tcPr>
            <w:tcW w:w="13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ind w:left="580"/>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(22,068)</w:t>
            </w: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(22,068)</w:t>
            </w:r>
          </w:p>
        </w:tc>
        <w:tc>
          <w:tcPr>
            <w:tcW w:w="0" w:type="dxa"/>
            <w:vAlign w:val="bottom"/>
          </w:tcPr>
          <w:p>
            <w:pPr>
              <w:spacing w:after="0"/>
              <w:rPr>
                <w:sz w:val="1"/>
                <w:szCs w:val="1"/>
                <w:color w:val="auto"/>
              </w:rPr>
            </w:pPr>
          </w:p>
        </w:tc>
      </w:tr>
      <w:tr>
        <w:trPr>
          <w:trHeight w:val="230"/>
        </w:trPr>
        <w:tc>
          <w:tcPr>
            <w:tcW w:w="244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9"/>
              </w:rPr>
              <w:t>Share-based compensation</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7,450</w:t>
            </w:r>
          </w:p>
        </w:tc>
        <w:tc>
          <w:tcPr>
            <w:tcW w:w="0" w:type="dxa"/>
            <w:vAlign w:val="bottom"/>
          </w:tcPr>
          <w:p>
            <w:pPr>
              <w:spacing w:after="0"/>
              <w:rPr>
                <w:sz w:val="1"/>
                <w:szCs w:val="1"/>
                <w:color w:val="auto"/>
              </w:rPr>
            </w:pPr>
          </w:p>
        </w:tc>
      </w:tr>
      <w:tr>
        <w:trPr>
          <w:trHeight w:val="229"/>
        </w:trPr>
        <w:tc>
          <w:tcPr>
            <w:tcW w:w="2440" w:type="dxa"/>
            <w:vAlign w:val="bottom"/>
          </w:tcPr>
          <w:p>
            <w:pPr>
              <w:ind w:left="240"/>
              <w:spacing w:after="0"/>
              <w:rPr>
                <w:sz w:val="20"/>
                <w:szCs w:val="20"/>
                <w:color w:val="auto"/>
              </w:rPr>
            </w:pPr>
            <w:r>
              <w:rPr>
                <w:rFonts w:ascii="Arial" w:cs="Arial" w:eastAsia="Arial" w:hAnsi="Arial"/>
                <w:sz w:val="18"/>
                <w:szCs w:val="18"/>
                <w:color w:val="auto"/>
                <w:w w:val="93"/>
              </w:rPr>
              <w:t>Restricted share units vested</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827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(827)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244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rPr>
              <w:t>Common shares withheld</w:t>
            </w: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44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rPr>
              <w:t>for taxes on vested stock</w:t>
            </w:r>
          </w:p>
        </w:tc>
        <w:tc>
          <w:tcPr>
            <w:tcW w:w="14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(3,782)</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5"/>
                <w:szCs w:val="15"/>
                <w:color w:val="auto"/>
              </w:rPr>
            </w:pPr>
          </w:p>
        </w:tc>
        <w:tc>
          <w:tcPr>
            <w:tcW w:w="920" w:type="dxa"/>
            <w:vAlign w:val="bottom"/>
            <w:gridSpan w:val="2"/>
            <w:vMerge w:val="restart"/>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1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(3,782)</w:t>
            </w:r>
          </w:p>
        </w:tc>
        <w:tc>
          <w:tcPr>
            <w:tcW w:w="0" w:type="dxa"/>
            <w:vAlign w:val="bottom"/>
          </w:tcPr>
          <w:p>
            <w:pPr>
              <w:spacing w:after="0"/>
              <w:rPr>
                <w:sz w:val="1"/>
                <w:szCs w:val="1"/>
                <w:color w:val="auto"/>
              </w:rPr>
            </w:pPr>
          </w:p>
        </w:tc>
      </w:tr>
      <w:tr>
        <w:trPr>
          <w:trHeight w:val="230"/>
        </w:trPr>
        <w:tc>
          <w:tcPr>
            <w:tcW w:w="24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awards</w:t>
            </w:r>
          </w:p>
        </w:tc>
        <w:tc>
          <w:tcPr>
            <w:tcW w:w="140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gridSpan w:val="2"/>
            <w:vMerge w:val="continue"/>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440" w:type="dxa"/>
            <w:vAlign w:val="bottom"/>
          </w:tcPr>
          <w:p>
            <w:pPr>
              <w:ind w:left="240"/>
              <w:spacing w:after="0" w:line="176" w:lineRule="exact"/>
              <w:rPr>
                <w:sz w:val="20"/>
                <w:szCs w:val="20"/>
                <w:color w:val="auto"/>
              </w:rPr>
            </w:pPr>
            <w:r>
              <w:rPr>
                <w:rFonts w:ascii="Arial" w:cs="Arial" w:eastAsia="Arial" w:hAnsi="Arial"/>
                <w:sz w:val="18"/>
                <w:szCs w:val="18"/>
                <w:color w:val="auto"/>
                <w:w w:val="96"/>
              </w:rPr>
              <w:t>Issuance of common shares</w:t>
            </w: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40" w:type="dxa"/>
            <w:vAlign w:val="bottom"/>
          </w:tcPr>
          <w:p>
            <w:pPr>
              <w:ind w:left="240"/>
              <w:spacing w:after="0" w:line="176" w:lineRule="exact"/>
              <w:rPr>
                <w:sz w:val="20"/>
                <w:szCs w:val="20"/>
                <w:color w:val="auto"/>
              </w:rPr>
            </w:pPr>
            <w:r>
              <w:rPr>
                <w:rFonts w:ascii="Arial" w:cs="Arial" w:eastAsia="Arial" w:hAnsi="Arial"/>
                <w:sz w:val="18"/>
                <w:szCs w:val="18"/>
                <w:color w:val="auto"/>
              </w:rPr>
              <w:t>under at-the-market sales</w:t>
            </w: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434,704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353</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5"/>
                <w:szCs w:val="15"/>
                <w:color w:val="auto"/>
              </w:rPr>
            </w:pPr>
          </w:p>
        </w:tc>
        <w:tc>
          <w:tcPr>
            <w:tcW w:w="920" w:type="dxa"/>
            <w:vAlign w:val="bottom"/>
            <w:gridSpan w:val="2"/>
            <w:vMerge w:val="restart"/>
          </w:tcPr>
          <w:p>
            <w:pPr>
              <w:ind w:left="5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1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29"/>
        </w:trPr>
        <w:tc>
          <w:tcPr>
            <w:tcW w:w="2440" w:type="dxa"/>
            <w:vAlign w:val="bottom"/>
          </w:tcPr>
          <w:p>
            <w:pPr>
              <w:ind w:left="240"/>
              <w:spacing w:after="0"/>
              <w:rPr>
                <w:sz w:val="20"/>
                <w:szCs w:val="20"/>
                <w:color w:val="auto"/>
              </w:rPr>
            </w:pPr>
            <w:r>
              <w:rPr>
                <w:rFonts w:ascii="Arial" w:cs="Arial" w:eastAsia="Arial" w:hAnsi="Arial"/>
                <w:sz w:val="18"/>
                <w:szCs w:val="18"/>
                <w:color w:val="auto"/>
              </w:rPr>
              <w:t>agreement</w:t>
            </w:r>
          </w:p>
        </w:tc>
        <w:tc>
          <w:tcPr>
            <w:tcW w:w="13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June 30, 2021</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488,739,150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379,282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w w:val="91"/>
              </w:rPr>
              <w:t>(4,601)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(251,265)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154,397</w:t>
            </w:r>
          </w:p>
        </w:tc>
        <w:tc>
          <w:tcPr>
            <w:tcW w:w="0" w:type="dxa"/>
            <w:vAlign w:val="bottom"/>
          </w:tcPr>
          <w:p>
            <w:pPr>
              <w:spacing w:after="0"/>
              <w:rPr>
                <w:sz w:val="1"/>
                <w:szCs w:val="1"/>
                <w:color w:val="auto"/>
              </w:rPr>
            </w:pPr>
          </w:p>
        </w:tc>
      </w:tr>
      <w:tr>
        <w:trPr>
          <w:trHeight w:val="20"/>
        </w:trPr>
        <w:tc>
          <w:tcPr>
            <w:tcW w:w="2440" w:type="dxa"/>
            <w:vAlign w:val="bottom"/>
            <w:tcBorders>
              <w:top w:val="single" w:sz="8" w:color="CCEEFF"/>
            </w:tcBorders>
            <w:vMerge w:val="restart"/>
          </w:tcPr>
          <w:p>
            <w:pPr>
              <w:ind w:left="240"/>
              <w:spacing w:after="0"/>
              <w:rPr>
                <w:sz w:val="20"/>
                <w:szCs w:val="20"/>
                <w:color w:val="auto"/>
              </w:rPr>
            </w:pPr>
            <w:r>
              <w:rPr>
                <w:rFonts w:ascii="Arial" w:cs="Arial" w:eastAsia="Arial" w:hAnsi="Arial"/>
                <w:sz w:val="18"/>
                <w:szCs w:val="18"/>
                <w:color w:val="auto"/>
              </w:rPr>
              <w:t>Net profit</w:t>
            </w:r>
          </w:p>
        </w:tc>
        <w:tc>
          <w:tcPr>
            <w:tcW w:w="1400" w:type="dxa"/>
            <w:vAlign w:val="bottom"/>
            <w:tcBorders>
              <w:top w:val="single" w:sz="8" w:color="CCEEFF"/>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gridSpan w:val="2"/>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gridSpan w:val="2"/>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440" w:type="dxa"/>
            <w:vAlign w:val="bottom"/>
            <w:tcBorders>
              <w:top w:val="single" w:sz="8" w:color="CCEEFF"/>
            </w:tcBorders>
            <w:vMerge w:val="continue"/>
          </w:tcPr>
          <w:p>
            <w:pPr>
              <w:spacing w:after="0"/>
              <w:rPr>
                <w:sz w:val="17"/>
                <w:szCs w:val="17"/>
                <w:color w:val="auto"/>
              </w:rPr>
            </w:pPr>
          </w:p>
        </w:tc>
        <w:tc>
          <w:tcPr>
            <w:tcW w:w="13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ind w:left="580"/>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11,051</w:t>
            </w: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11,051</w:t>
            </w:r>
          </w:p>
        </w:tc>
        <w:tc>
          <w:tcPr>
            <w:tcW w:w="0" w:type="dxa"/>
            <w:vAlign w:val="bottom"/>
          </w:tcPr>
          <w:p>
            <w:pPr>
              <w:spacing w:after="0"/>
              <w:rPr>
                <w:sz w:val="1"/>
                <w:szCs w:val="1"/>
                <w:color w:val="auto"/>
              </w:rPr>
            </w:pPr>
          </w:p>
        </w:tc>
      </w:tr>
      <w:tr>
        <w:trPr>
          <w:trHeight w:val="229"/>
        </w:trPr>
        <w:tc>
          <w:tcPr>
            <w:tcW w:w="244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9"/>
              </w:rPr>
              <w:t>Share-based compensation</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4,938</w:t>
            </w:r>
          </w:p>
        </w:tc>
        <w:tc>
          <w:tcPr>
            <w:tcW w:w="0" w:type="dxa"/>
            <w:vAlign w:val="bottom"/>
          </w:tcPr>
          <w:p>
            <w:pPr>
              <w:spacing w:after="0"/>
              <w:rPr>
                <w:sz w:val="1"/>
                <w:szCs w:val="1"/>
                <w:color w:val="auto"/>
              </w:rPr>
            </w:pPr>
          </w:p>
        </w:tc>
      </w:tr>
      <w:tr>
        <w:trPr>
          <w:trHeight w:val="230"/>
        </w:trPr>
        <w:tc>
          <w:tcPr>
            <w:tcW w:w="2440" w:type="dxa"/>
            <w:vAlign w:val="bottom"/>
          </w:tcPr>
          <w:p>
            <w:pPr>
              <w:ind w:left="240"/>
              <w:spacing w:after="0"/>
              <w:rPr>
                <w:sz w:val="20"/>
                <w:szCs w:val="20"/>
                <w:color w:val="auto"/>
              </w:rPr>
            </w:pPr>
            <w:r>
              <w:rPr>
                <w:rFonts w:ascii="Arial" w:cs="Arial" w:eastAsia="Arial" w:hAnsi="Arial"/>
                <w:sz w:val="18"/>
                <w:szCs w:val="18"/>
                <w:color w:val="auto"/>
                <w:w w:val="93"/>
              </w:rPr>
              <w:t>Restricted share units vested</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244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rPr>
              <w:t>Common shares withheld</w:t>
            </w: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4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rPr>
              <w:t>for taxes on vested stock</w:t>
            </w:r>
          </w:p>
        </w:tc>
        <w:tc>
          <w:tcPr>
            <w:tcW w:w="14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(2,167)</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5"/>
                <w:szCs w:val="15"/>
                <w:color w:val="auto"/>
              </w:rPr>
            </w:pPr>
          </w:p>
        </w:tc>
        <w:tc>
          <w:tcPr>
            <w:tcW w:w="920" w:type="dxa"/>
            <w:vAlign w:val="bottom"/>
            <w:gridSpan w:val="2"/>
            <w:vMerge w:val="restart"/>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1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(2,167)</w:t>
            </w:r>
          </w:p>
        </w:tc>
        <w:tc>
          <w:tcPr>
            <w:tcW w:w="0" w:type="dxa"/>
            <w:vAlign w:val="bottom"/>
          </w:tcPr>
          <w:p>
            <w:pPr>
              <w:spacing w:after="0"/>
              <w:rPr>
                <w:sz w:val="1"/>
                <w:szCs w:val="1"/>
                <w:color w:val="auto"/>
              </w:rPr>
            </w:pPr>
          </w:p>
        </w:tc>
      </w:tr>
      <w:tr>
        <w:trPr>
          <w:trHeight w:val="229"/>
        </w:trPr>
        <w:tc>
          <w:tcPr>
            <w:tcW w:w="24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awards</w:t>
            </w:r>
          </w:p>
        </w:tc>
        <w:tc>
          <w:tcPr>
            <w:tcW w:w="140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gridSpan w:val="2"/>
            <w:vMerge w:val="continue"/>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440" w:type="dxa"/>
            <w:vAlign w:val="bottom"/>
          </w:tcPr>
          <w:p>
            <w:pPr>
              <w:ind w:left="240"/>
              <w:spacing w:after="0" w:line="176" w:lineRule="exact"/>
              <w:rPr>
                <w:sz w:val="20"/>
                <w:szCs w:val="20"/>
                <w:color w:val="auto"/>
              </w:rPr>
            </w:pPr>
            <w:r>
              <w:rPr>
                <w:rFonts w:ascii="Arial" w:cs="Arial" w:eastAsia="Arial" w:hAnsi="Arial"/>
                <w:sz w:val="18"/>
                <w:szCs w:val="18"/>
                <w:color w:val="auto"/>
                <w:w w:val="96"/>
              </w:rPr>
              <w:t>Issuance of common shares</w:t>
            </w: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440" w:type="dxa"/>
            <w:vAlign w:val="bottom"/>
          </w:tcPr>
          <w:p>
            <w:pPr>
              <w:ind w:left="240"/>
              <w:spacing w:after="0" w:line="176" w:lineRule="exact"/>
              <w:rPr>
                <w:sz w:val="20"/>
                <w:szCs w:val="20"/>
                <w:color w:val="auto"/>
              </w:rPr>
            </w:pPr>
            <w:r>
              <w:rPr>
                <w:rFonts w:ascii="Arial" w:cs="Arial" w:eastAsia="Arial" w:hAnsi="Arial"/>
                <w:sz w:val="18"/>
                <w:szCs w:val="18"/>
                <w:color w:val="auto"/>
              </w:rPr>
              <w:t>under at-the-market sales</w:t>
            </w: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438,400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319</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5"/>
                <w:szCs w:val="15"/>
                <w:color w:val="auto"/>
              </w:rPr>
            </w:pPr>
          </w:p>
        </w:tc>
        <w:tc>
          <w:tcPr>
            <w:tcW w:w="920" w:type="dxa"/>
            <w:vAlign w:val="bottom"/>
            <w:gridSpan w:val="2"/>
            <w:vMerge w:val="restart"/>
          </w:tcPr>
          <w:p>
            <w:pPr>
              <w:ind w:left="5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1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29"/>
        </w:trPr>
        <w:tc>
          <w:tcPr>
            <w:tcW w:w="2440" w:type="dxa"/>
            <w:vAlign w:val="bottom"/>
          </w:tcPr>
          <w:p>
            <w:pPr>
              <w:ind w:left="240"/>
              <w:spacing w:after="0"/>
              <w:rPr>
                <w:sz w:val="20"/>
                <w:szCs w:val="20"/>
                <w:color w:val="auto"/>
              </w:rPr>
            </w:pPr>
            <w:r>
              <w:rPr>
                <w:rFonts w:ascii="Arial" w:cs="Arial" w:eastAsia="Arial" w:hAnsi="Arial"/>
                <w:sz w:val="18"/>
                <w:szCs w:val="18"/>
                <w:color w:val="auto"/>
              </w:rPr>
              <w:t>agreement</w:t>
            </w:r>
          </w:p>
        </w:tc>
        <w:tc>
          <w:tcPr>
            <w:tcW w:w="13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44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rPr>
              <w:t>Equity settled share-based</w:t>
            </w: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44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w w:val="94"/>
              </w:rPr>
              <w:t>compensation reclassified as</w:t>
            </w:r>
          </w:p>
        </w:tc>
        <w:tc>
          <w:tcPr>
            <w:tcW w:w="14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5"/>
                <w:szCs w:val="15"/>
                <w:color w:val="auto"/>
              </w:rPr>
            </w:pPr>
          </w:p>
        </w:tc>
        <w:tc>
          <w:tcPr>
            <w:tcW w:w="920" w:type="dxa"/>
            <w:vAlign w:val="bottom"/>
            <w:gridSpan w:val="2"/>
            <w:vMerge w:val="restart"/>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1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30"/>
        </w:trPr>
        <w:tc>
          <w:tcPr>
            <w:tcW w:w="24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cash-settled</w:t>
            </w:r>
          </w:p>
        </w:tc>
        <w:tc>
          <w:tcPr>
            <w:tcW w:w="140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gridSpan w:val="2"/>
            <w:vMerge w:val="continue"/>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2440" w:type="dxa"/>
            <w:vAlign w:val="bottom"/>
          </w:tcPr>
          <w:p>
            <w:pPr>
              <w:ind w:left="20"/>
              <w:spacing w:after="0" w:line="156" w:lineRule="exact"/>
              <w:rPr>
                <w:sz w:val="20"/>
                <w:szCs w:val="20"/>
                <w:color w:val="auto"/>
              </w:rPr>
            </w:pPr>
            <w:r>
              <w:rPr>
                <w:rFonts w:ascii="Arial" w:cs="Arial" w:eastAsia="Arial" w:hAnsi="Arial"/>
                <w:sz w:val="18"/>
                <w:szCs w:val="18"/>
                <w:b w:val="1"/>
                <w:bCs w:val="1"/>
                <w:color w:val="auto"/>
              </w:rPr>
              <w:t>Balance at September 30,</w:t>
            </w:r>
          </w:p>
        </w:tc>
        <w:tc>
          <w:tcPr>
            <w:tcW w:w="13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489,177,550</w:t>
            </w:r>
          </w:p>
        </w:tc>
        <w:tc>
          <w:tcPr>
            <w:tcW w:w="100" w:type="dxa"/>
            <w:vAlign w:val="bottom"/>
          </w:tcPr>
          <w:p>
            <w:pPr>
              <w:spacing w:after="0"/>
              <w:rPr>
                <w:sz w:val="13"/>
                <w:szCs w:val="13"/>
                <w:color w:val="auto"/>
              </w:rPr>
            </w:pPr>
          </w:p>
        </w:tc>
        <w:tc>
          <w:tcPr>
            <w:tcW w:w="2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31,855</w:t>
            </w:r>
          </w:p>
        </w:tc>
        <w:tc>
          <w:tcPr>
            <w:tcW w:w="100" w:type="dxa"/>
            <w:vAlign w:val="bottom"/>
          </w:tcPr>
          <w:p>
            <w:pPr>
              <w:spacing w:after="0"/>
              <w:rPr>
                <w:sz w:val="13"/>
                <w:szCs w:val="13"/>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382,005</w:t>
            </w:r>
          </w:p>
        </w:tc>
        <w:tc>
          <w:tcPr>
            <w:tcW w:w="100" w:type="dxa"/>
            <w:vAlign w:val="bottom"/>
          </w:tcPr>
          <w:p>
            <w:pPr>
              <w:spacing w:after="0"/>
              <w:rPr>
                <w:sz w:val="13"/>
                <w:szCs w:val="13"/>
                <w:color w:val="auto"/>
              </w:rPr>
            </w:pPr>
          </w:p>
        </w:tc>
        <w:tc>
          <w:tcPr>
            <w:tcW w:w="300" w:type="dxa"/>
            <w:vAlign w:val="bottom"/>
            <w:tcBorders>
              <w:top w:val="single" w:sz="8" w:color="auto"/>
            </w:tcBorders>
            <w:vMerge w:val="restart"/>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(770)</w:t>
            </w:r>
          </w:p>
        </w:tc>
        <w:tc>
          <w:tcPr>
            <w:tcW w:w="100" w:type="dxa"/>
            <w:vAlign w:val="bottom"/>
          </w:tcPr>
          <w:p>
            <w:pPr>
              <w:spacing w:after="0"/>
              <w:rPr>
                <w:sz w:val="13"/>
                <w:szCs w:val="13"/>
                <w:color w:val="auto"/>
              </w:rPr>
            </w:pPr>
          </w:p>
        </w:tc>
        <w:tc>
          <w:tcPr>
            <w:tcW w:w="400" w:type="dxa"/>
            <w:vAlign w:val="bottom"/>
            <w:tcBorders>
              <w:top w:val="single" w:sz="8" w:color="auto"/>
            </w:tcBorders>
            <w:vMerge w:val="restart"/>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vMerge w:val="restart"/>
          </w:tcPr>
          <w:p>
            <w:pPr>
              <w:ind w:left="280"/>
              <w:spacing w:after="0"/>
              <w:rPr>
                <w:sz w:val="20"/>
                <w:szCs w:val="20"/>
                <w:color w:val="auto"/>
              </w:rPr>
            </w:pPr>
            <w:r>
              <w:rPr>
                <w:rFonts w:ascii="Arial" w:cs="Arial" w:eastAsia="Arial" w:hAnsi="Arial"/>
                <w:sz w:val="18"/>
                <w:szCs w:val="18"/>
                <w:color w:val="auto"/>
                <w:w w:val="91"/>
              </w:rPr>
              <w:t>(4,601)</w:t>
            </w:r>
          </w:p>
        </w:tc>
        <w:tc>
          <w:tcPr>
            <w:tcW w:w="100" w:type="dxa"/>
            <w:vAlign w:val="bottom"/>
          </w:tcPr>
          <w:p>
            <w:pPr>
              <w:spacing w:after="0"/>
              <w:rPr>
                <w:sz w:val="13"/>
                <w:szCs w:val="13"/>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(240,287)</w:t>
            </w:r>
          </w:p>
        </w:tc>
        <w:tc>
          <w:tcPr>
            <w:tcW w:w="100" w:type="dxa"/>
            <w:vAlign w:val="bottom"/>
          </w:tcPr>
          <w:p>
            <w:pPr>
              <w:spacing w:after="0"/>
              <w:rPr>
                <w:sz w:val="13"/>
                <w:szCs w:val="13"/>
                <w:color w:val="auto"/>
              </w:rPr>
            </w:pPr>
          </w:p>
        </w:tc>
        <w:tc>
          <w:tcPr>
            <w:tcW w:w="260" w:type="dxa"/>
            <w:vAlign w:val="bottom"/>
            <w:tcBorders>
              <w:top w:val="single" w:sz="8" w:color="auto"/>
            </w:tcBorders>
            <w:vMerge w:val="restart"/>
          </w:tcPr>
          <w:p>
            <w:pPr>
              <w:jc w:val="right"/>
              <w:ind w:right="74"/>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168,202</w:t>
            </w:r>
          </w:p>
        </w:tc>
        <w:tc>
          <w:tcPr>
            <w:tcW w:w="0" w:type="dxa"/>
            <w:vAlign w:val="bottom"/>
          </w:tcPr>
          <w:p>
            <w:pPr>
              <w:spacing w:after="0"/>
              <w:rPr>
                <w:sz w:val="1"/>
                <w:szCs w:val="1"/>
                <w:color w:val="auto"/>
              </w:rPr>
            </w:pPr>
          </w:p>
        </w:tc>
      </w:tr>
      <w:tr>
        <w:trPr>
          <w:trHeight w:val="208"/>
        </w:trPr>
        <w:tc>
          <w:tcPr>
            <w:tcW w:w="244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2021</w:t>
            </w:r>
          </w:p>
        </w:tc>
        <w:tc>
          <w:tcPr>
            <w:tcW w:w="13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vMerge w:val="continue"/>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vMerge w:val="continue"/>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vMerge w:val="continue"/>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bottom w:val="single" w:sz="8" w:color="auto"/>
            </w:tcBorders>
            <w:vMerge w:val="continue"/>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vMerge w:val="continue"/>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vMerge w:val="continue"/>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Verona Pharma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60" w:type="dxa"/>
            <w:vAlign w:val="bottom"/>
          </w:tcPr>
          <w:p>
            <w:pPr>
              <w:spacing w:after="0"/>
              <w:rPr>
                <w:sz w:val="16"/>
                <w:szCs w:val="16"/>
                <w:color w:val="auto"/>
              </w:rPr>
            </w:pPr>
          </w:p>
        </w:tc>
        <w:tc>
          <w:tcPr>
            <w:tcW w:w="2640" w:type="dxa"/>
            <w:vAlign w:val="bottom"/>
            <w:gridSpan w:val="5"/>
          </w:tcPr>
          <w:p>
            <w:pPr>
              <w:ind w:left="780"/>
              <w:spacing w:after="0"/>
              <w:rPr>
                <w:sz w:val="20"/>
                <w:szCs w:val="20"/>
                <w:color w:val="auto"/>
              </w:rPr>
            </w:pPr>
            <w:r>
              <w:rPr>
                <w:rFonts w:ascii="Arial" w:cs="Arial" w:eastAsia="Arial" w:hAnsi="Arial"/>
                <w:sz w:val="14"/>
                <w:szCs w:val="14"/>
                <w:b w:val="1"/>
                <w:bCs w:val="1"/>
                <w:color w:val="auto"/>
              </w:rPr>
              <w:t>Ordinary shares</w:t>
            </w:r>
          </w:p>
        </w:tc>
        <w:tc>
          <w:tcPr>
            <w:tcW w:w="160" w:type="dxa"/>
            <w:vAlign w:val="bottom"/>
          </w:tcPr>
          <w:p>
            <w:pPr>
              <w:spacing w:after="0"/>
              <w:rPr>
                <w:sz w:val="16"/>
                <w:szCs w:val="16"/>
                <w:color w:val="auto"/>
              </w:rPr>
            </w:pPr>
          </w:p>
        </w:tc>
        <w:tc>
          <w:tcPr>
            <w:tcW w:w="9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6"/>
              </w:rPr>
              <w:t>Additional</w:t>
            </w:r>
          </w:p>
        </w:tc>
        <w:tc>
          <w:tcPr>
            <w:tcW w:w="13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Accumulated other</w:t>
            </w:r>
          </w:p>
        </w:tc>
        <w:tc>
          <w:tcPr>
            <w:tcW w:w="160" w:type="dxa"/>
            <w:vAlign w:val="bottom"/>
          </w:tcPr>
          <w:p>
            <w:pPr>
              <w:spacing w:after="0"/>
              <w:rPr>
                <w:sz w:val="16"/>
                <w:szCs w:val="16"/>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Accumulated</w:t>
            </w:r>
          </w:p>
        </w:tc>
        <w:tc>
          <w:tcPr>
            <w:tcW w:w="12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3"/>
              </w:rPr>
              <w:t>Total shareholders'</w:t>
            </w:r>
          </w:p>
        </w:tc>
        <w:tc>
          <w:tcPr>
            <w:tcW w:w="0" w:type="dxa"/>
            <w:vAlign w:val="bottom"/>
          </w:tcPr>
          <w:p>
            <w:pPr>
              <w:spacing w:after="0"/>
              <w:rPr>
                <w:sz w:val="1"/>
                <w:szCs w:val="1"/>
                <w:color w:val="auto"/>
              </w:rPr>
            </w:pPr>
          </w:p>
        </w:tc>
      </w:tr>
      <w:tr>
        <w:trPr>
          <w:trHeight w:val="26"/>
        </w:trPr>
        <w:tc>
          <w:tcPr>
            <w:tcW w:w="356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1320" w:type="dxa"/>
            <w:vAlign w:val="bottom"/>
            <w:gridSpan w:val="3"/>
            <w:vMerge w:val="continue"/>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126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79"/>
        </w:trPr>
        <w:tc>
          <w:tcPr>
            <w:tcW w:w="356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1320" w:type="dxa"/>
            <w:vAlign w:val="bottom"/>
            <w:gridSpan w:val="3"/>
            <w:vMerge w:val="continue"/>
          </w:tcPr>
          <w:p>
            <w:pPr>
              <w:spacing w:after="0"/>
              <w:rPr>
                <w:sz w:val="6"/>
                <w:szCs w:val="6"/>
                <w:color w:val="auto"/>
              </w:rPr>
            </w:pPr>
          </w:p>
        </w:tc>
        <w:tc>
          <w:tcPr>
            <w:tcW w:w="16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6"/>
        </w:trPr>
        <w:tc>
          <w:tcPr>
            <w:tcW w:w="3560" w:type="dxa"/>
            <w:vAlign w:val="bottom"/>
          </w:tcPr>
          <w:p>
            <w:pPr>
              <w:spacing w:after="0"/>
              <w:rPr>
                <w:sz w:val="16"/>
                <w:szCs w:val="16"/>
                <w:color w:val="auto"/>
              </w:rPr>
            </w:pPr>
          </w:p>
        </w:tc>
        <w:tc>
          <w:tcPr>
            <w:tcW w:w="1400" w:type="dxa"/>
            <w:vAlign w:val="bottom"/>
            <w:gridSpan w:val="2"/>
          </w:tcPr>
          <w:p>
            <w:pPr>
              <w:ind w:left="400"/>
              <w:spacing w:after="0"/>
              <w:rPr>
                <w:sz w:val="20"/>
                <w:szCs w:val="20"/>
                <w:color w:val="auto"/>
              </w:rPr>
            </w:pPr>
            <w:r>
              <w:rPr>
                <w:rFonts w:ascii="Arial" w:cs="Arial" w:eastAsia="Arial" w:hAnsi="Arial"/>
                <w:sz w:val="14"/>
                <w:szCs w:val="14"/>
                <w:b w:val="1"/>
                <w:bCs w:val="1"/>
                <w:color w:val="auto"/>
              </w:rPr>
              <w:t>Number</w:t>
            </w:r>
          </w:p>
        </w:tc>
        <w:tc>
          <w:tcPr>
            <w:tcW w:w="220" w:type="dxa"/>
            <w:vAlign w:val="bottom"/>
          </w:tcPr>
          <w:p>
            <w:pPr>
              <w:spacing w:after="0"/>
              <w:rPr>
                <w:sz w:val="16"/>
                <w:szCs w:val="16"/>
                <w:color w:val="auto"/>
              </w:rPr>
            </w:pPr>
          </w:p>
        </w:tc>
        <w:tc>
          <w:tcPr>
            <w:tcW w:w="1020" w:type="dxa"/>
            <w:vAlign w:val="bottom"/>
            <w:gridSpan w:val="2"/>
          </w:tcPr>
          <w:p>
            <w:pPr>
              <w:ind w:left="100"/>
              <w:spacing w:after="0"/>
              <w:rPr>
                <w:sz w:val="20"/>
                <w:szCs w:val="20"/>
                <w:color w:val="auto"/>
              </w:rPr>
            </w:pPr>
            <w:r>
              <w:rPr>
                <w:rFonts w:ascii="Arial" w:cs="Arial" w:eastAsia="Arial" w:hAnsi="Arial"/>
                <w:sz w:val="14"/>
                <w:szCs w:val="14"/>
                <w:b w:val="1"/>
                <w:bCs w:val="1"/>
                <w:color w:val="auto"/>
              </w:rPr>
              <w:t>Amount</w:t>
            </w:r>
          </w:p>
        </w:tc>
        <w:tc>
          <w:tcPr>
            <w:tcW w:w="11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3"/>
              </w:rPr>
              <w:t>paid-in capital</w:t>
            </w:r>
          </w:p>
        </w:tc>
        <w:tc>
          <w:tcPr>
            <w:tcW w:w="1320" w:type="dxa"/>
            <w:vAlign w:val="bottom"/>
            <w:gridSpan w:val="3"/>
          </w:tcPr>
          <w:p>
            <w:pPr>
              <w:ind w:left="40"/>
              <w:spacing w:after="0"/>
              <w:rPr>
                <w:sz w:val="20"/>
                <w:szCs w:val="20"/>
                <w:color w:val="auto"/>
              </w:rPr>
            </w:pPr>
            <w:r>
              <w:rPr>
                <w:rFonts w:ascii="Arial" w:cs="Arial" w:eastAsia="Arial" w:hAnsi="Arial"/>
                <w:sz w:val="14"/>
                <w:szCs w:val="14"/>
                <w:b w:val="1"/>
                <w:bCs w:val="1"/>
                <w:color w:val="auto"/>
                <w:w w:val="93"/>
              </w:rPr>
              <w:t>comprehensive loss</w:t>
            </w:r>
          </w:p>
        </w:tc>
        <w:tc>
          <w:tcPr>
            <w:tcW w:w="160" w:type="dxa"/>
            <w:vAlign w:val="bottom"/>
          </w:tcPr>
          <w:p>
            <w:pPr>
              <w:spacing w:after="0"/>
              <w:rPr>
                <w:sz w:val="16"/>
                <w:szCs w:val="16"/>
                <w:color w:val="auto"/>
              </w:rPr>
            </w:pPr>
          </w:p>
        </w:tc>
        <w:tc>
          <w:tcPr>
            <w:tcW w:w="1180" w:type="dxa"/>
            <w:vAlign w:val="bottom"/>
            <w:gridSpan w:val="2"/>
          </w:tcPr>
          <w:p>
            <w:pPr>
              <w:ind w:left="280"/>
              <w:spacing w:after="0"/>
              <w:rPr>
                <w:sz w:val="20"/>
                <w:szCs w:val="20"/>
                <w:color w:val="auto"/>
              </w:rPr>
            </w:pPr>
            <w:r>
              <w:rPr>
                <w:rFonts w:ascii="Arial" w:cs="Arial" w:eastAsia="Arial" w:hAnsi="Arial"/>
                <w:sz w:val="14"/>
                <w:szCs w:val="14"/>
                <w:b w:val="1"/>
                <w:bCs w:val="1"/>
                <w:color w:val="auto"/>
              </w:rPr>
              <w:t>deficit</w:t>
            </w:r>
          </w:p>
        </w:tc>
        <w:tc>
          <w:tcPr>
            <w:tcW w:w="260" w:type="dxa"/>
            <w:vAlign w:val="bottom"/>
          </w:tcPr>
          <w:p>
            <w:pPr>
              <w:spacing w:after="0"/>
              <w:rPr>
                <w:sz w:val="16"/>
                <w:szCs w:val="16"/>
                <w:color w:val="auto"/>
              </w:rPr>
            </w:pPr>
          </w:p>
        </w:tc>
        <w:tc>
          <w:tcPr>
            <w:tcW w:w="1000" w:type="dxa"/>
            <w:vAlign w:val="bottom"/>
          </w:tcPr>
          <w:p>
            <w:pPr>
              <w:jc w:val="right"/>
              <w:ind w:right="351"/>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6"/>
        </w:trPr>
        <w:tc>
          <w:tcPr>
            <w:tcW w:w="356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January 1, 2020</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105,326,638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179,535</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(141,779)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42,741</w:t>
            </w:r>
          </w:p>
        </w:tc>
        <w:tc>
          <w:tcPr>
            <w:tcW w:w="0" w:type="dxa"/>
            <w:vAlign w:val="bottom"/>
          </w:tcPr>
          <w:p>
            <w:pPr>
              <w:spacing w:after="0"/>
              <w:rPr>
                <w:sz w:val="1"/>
                <w:szCs w:val="1"/>
                <w:color w:val="auto"/>
              </w:rPr>
            </w:pPr>
          </w:p>
        </w:tc>
      </w:tr>
      <w:tr>
        <w:trPr>
          <w:trHeight w:val="229"/>
        </w:trPr>
        <w:tc>
          <w:tcPr>
            <w:tcW w:w="3560" w:type="dxa"/>
            <w:vAlign w:val="bottom"/>
          </w:tcPr>
          <w:p>
            <w:pPr>
              <w:ind w:left="240"/>
              <w:spacing w:after="0"/>
              <w:rPr>
                <w:sz w:val="20"/>
                <w:szCs w:val="20"/>
                <w:color w:val="auto"/>
              </w:rPr>
            </w:pPr>
            <w:r>
              <w:rPr>
                <w:rFonts w:ascii="Arial" w:cs="Arial" w:eastAsia="Arial" w:hAnsi="Arial"/>
                <w:sz w:val="18"/>
                <w:szCs w:val="18"/>
                <w:color w:val="auto"/>
              </w:rPr>
              <w:t>Net loss</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9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(12,346)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(12,346)</w:t>
            </w:r>
          </w:p>
        </w:tc>
        <w:tc>
          <w:tcPr>
            <w:tcW w:w="0" w:type="dxa"/>
            <w:vAlign w:val="bottom"/>
          </w:tcPr>
          <w:p>
            <w:pPr>
              <w:spacing w:after="0"/>
              <w:rPr>
                <w:sz w:val="1"/>
                <w:szCs w:val="1"/>
                <w:color w:val="auto"/>
              </w:rPr>
            </w:pPr>
          </w:p>
        </w:tc>
      </w:tr>
      <w:tr>
        <w:trPr>
          <w:trHeight w:val="230"/>
        </w:trPr>
        <w:tc>
          <w:tcPr>
            <w:tcW w:w="35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Retranslation of foreign operations</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(2,157)</w:t>
            </w:r>
          </w:p>
        </w:tc>
        <w:tc>
          <w:tcPr>
            <w:tcW w:w="0" w:type="dxa"/>
            <w:vAlign w:val="bottom"/>
          </w:tcPr>
          <w:p>
            <w:pPr>
              <w:spacing w:after="0"/>
              <w:rPr>
                <w:sz w:val="1"/>
                <w:szCs w:val="1"/>
                <w:color w:val="auto"/>
              </w:rPr>
            </w:pPr>
          </w:p>
        </w:tc>
      </w:tr>
      <w:tr>
        <w:trPr>
          <w:trHeight w:val="229"/>
        </w:trPr>
        <w:tc>
          <w:tcPr>
            <w:tcW w:w="3560" w:type="dxa"/>
            <w:vAlign w:val="bottom"/>
          </w:tcPr>
          <w:p>
            <w:pPr>
              <w:ind w:left="240"/>
              <w:spacing w:after="0"/>
              <w:rPr>
                <w:sz w:val="20"/>
                <w:szCs w:val="20"/>
                <w:color w:val="auto"/>
              </w:rPr>
            </w:pPr>
            <w:r>
              <w:rPr>
                <w:rFonts w:ascii="Arial" w:cs="Arial" w:eastAsia="Arial" w:hAnsi="Arial"/>
                <w:sz w:val="18"/>
                <w:szCs w:val="18"/>
                <w:color w:val="auto"/>
              </w:rPr>
              <w:t>Share-based compensation</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1,867</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8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1,867</w:t>
            </w:r>
          </w:p>
        </w:tc>
        <w:tc>
          <w:tcPr>
            <w:tcW w:w="0" w:type="dxa"/>
            <w:vAlign w:val="bottom"/>
          </w:tcPr>
          <w:p>
            <w:pPr>
              <w:spacing w:after="0"/>
              <w:rPr>
                <w:sz w:val="1"/>
                <w:szCs w:val="1"/>
                <w:color w:val="auto"/>
              </w:rPr>
            </w:pPr>
          </w:p>
        </w:tc>
      </w:tr>
      <w:tr>
        <w:trPr>
          <w:trHeight w:val="176"/>
        </w:trPr>
        <w:tc>
          <w:tcPr>
            <w:tcW w:w="356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w w:val="96"/>
              </w:rPr>
              <w:t>Issuance of ordinary shares from restricted</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887,080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5"/>
                <w:szCs w:val="15"/>
                <w:color w:val="auto"/>
              </w:rPr>
            </w:pPr>
          </w:p>
        </w:tc>
        <w:tc>
          <w:tcPr>
            <w:tcW w:w="920" w:type="dxa"/>
            <w:vAlign w:val="bottom"/>
            <w:gridSpan w:val="2"/>
            <w:vMerge w:val="restart"/>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180" w:type="dxa"/>
            <w:vAlign w:val="bottom"/>
            <w:gridSpan w:val="2"/>
            <w:vMerge w:val="restart"/>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29"/>
        </w:trPr>
        <w:tc>
          <w:tcPr>
            <w:tcW w:w="35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share units</w:t>
            </w:r>
          </w:p>
        </w:tc>
        <w:tc>
          <w:tcPr>
            <w:tcW w:w="13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gridSpan w:val="2"/>
            <w:vMerge w:val="continue"/>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60" w:type="dxa"/>
            <w:vAlign w:val="bottom"/>
          </w:tcPr>
          <w:p>
            <w:pPr>
              <w:ind w:left="20"/>
              <w:spacing w:after="0"/>
              <w:rPr>
                <w:sz w:val="20"/>
                <w:szCs w:val="20"/>
                <w:color w:val="auto"/>
              </w:rPr>
            </w:pPr>
            <w:r>
              <w:rPr>
                <w:rFonts w:ascii="Arial" w:cs="Arial" w:eastAsia="Arial" w:hAnsi="Arial"/>
                <w:sz w:val="18"/>
                <w:szCs w:val="18"/>
                <w:b w:val="1"/>
                <w:bCs w:val="1"/>
                <w:color w:val="auto"/>
              </w:rPr>
              <w:t>Balance at March 31, 2020</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106,213,718</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7,317</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181,402</w:t>
            </w:r>
          </w:p>
        </w:tc>
        <w:tc>
          <w:tcPr>
            <w:tcW w:w="80" w:type="dxa"/>
            <w:vAlign w:val="bottom"/>
          </w:tcPr>
          <w:p>
            <w:pPr>
              <w:spacing w:after="0"/>
              <w:rPr>
                <w:sz w:val="19"/>
                <w:szCs w:val="19"/>
                <w:color w:val="auto"/>
              </w:rPr>
            </w:pPr>
          </w:p>
        </w:tc>
        <w:tc>
          <w:tcPr>
            <w:tcW w:w="4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(4,437)</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(154,125)</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30,157</w:t>
            </w:r>
          </w:p>
        </w:tc>
        <w:tc>
          <w:tcPr>
            <w:tcW w:w="0" w:type="dxa"/>
            <w:vAlign w:val="bottom"/>
          </w:tcPr>
          <w:p>
            <w:pPr>
              <w:spacing w:after="0"/>
              <w:rPr>
                <w:sz w:val="1"/>
                <w:szCs w:val="1"/>
                <w:color w:val="auto"/>
              </w:rPr>
            </w:pPr>
          </w:p>
        </w:tc>
      </w:tr>
      <w:tr>
        <w:trPr>
          <w:trHeight w:val="20"/>
        </w:trPr>
        <w:tc>
          <w:tcPr>
            <w:tcW w:w="356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5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loss</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(9,044)</w:t>
            </w:r>
          </w:p>
        </w:tc>
        <w:tc>
          <w:tcPr>
            <w:tcW w:w="0" w:type="dxa"/>
            <w:vAlign w:val="bottom"/>
          </w:tcPr>
          <w:p>
            <w:pPr>
              <w:spacing w:after="0"/>
              <w:rPr>
                <w:sz w:val="1"/>
                <w:szCs w:val="1"/>
                <w:color w:val="auto"/>
              </w:rPr>
            </w:pPr>
          </w:p>
        </w:tc>
      </w:tr>
      <w:tr>
        <w:trPr>
          <w:trHeight w:val="229"/>
        </w:trPr>
        <w:tc>
          <w:tcPr>
            <w:tcW w:w="3560" w:type="dxa"/>
            <w:vAlign w:val="bottom"/>
          </w:tcPr>
          <w:p>
            <w:pPr>
              <w:ind w:left="240"/>
              <w:spacing w:after="0"/>
              <w:rPr>
                <w:sz w:val="20"/>
                <w:szCs w:val="20"/>
                <w:color w:val="auto"/>
              </w:rPr>
            </w:pPr>
            <w:r>
              <w:rPr>
                <w:rFonts w:ascii="Arial" w:cs="Arial" w:eastAsia="Arial" w:hAnsi="Arial"/>
                <w:sz w:val="18"/>
                <w:szCs w:val="18"/>
                <w:color w:val="auto"/>
              </w:rPr>
              <w:t>Retranslation of foreign operations</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30"/>
        </w:trPr>
        <w:tc>
          <w:tcPr>
            <w:tcW w:w="35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Share-based compensation</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0" w:type="dxa"/>
            <w:vAlign w:val="bottom"/>
          </w:tcPr>
          <w:p>
            <w:pPr>
              <w:spacing w:after="0"/>
              <w:rPr>
                <w:sz w:val="1"/>
                <w:szCs w:val="1"/>
                <w:color w:val="auto"/>
              </w:rPr>
            </w:pPr>
          </w:p>
        </w:tc>
      </w:tr>
      <w:tr>
        <w:trPr>
          <w:trHeight w:val="175"/>
        </w:trPr>
        <w:tc>
          <w:tcPr>
            <w:tcW w:w="3560" w:type="dxa"/>
            <w:vAlign w:val="bottom"/>
          </w:tcPr>
          <w:p>
            <w:pPr>
              <w:ind w:left="240"/>
              <w:spacing w:after="0" w:line="176" w:lineRule="exact"/>
              <w:rPr>
                <w:sz w:val="20"/>
                <w:szCs w:val="20"/>
                <w:color w:val="auto"/>
              </w:rPr>
            </w:pPr>
            <w:r>
              <w:rPr>
                <w:rFonts w:ascii="Arial" w:cs="Arial" w:eastAsia="Arial" w:hAnsi="Arial"/>
                <w:sz w:val="18"/>
                <w:szCs w:val="18"/>
                <w:color w:val="auto"/>
                <w:w w:val="96"/>
              </w:rPr>
              <w:t>Issuance of ordinary shares from restricted</w:t>
            </w: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267,288</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5"/>
                <w:szCs w:val="15"/>
                <w:color w:val="auto"/>
              </w:rPr>
            </w:pPr>
          </w:p>
        </w:tc>
        <w:tc>
          <w:tcPr>
            <w:tcW w:w="920" w:type="dxa"/>
            <w:vAlign w:val="bottom"/>
            <w:gridSpan w:val="2"/>
            <w:vMerge w:val="restart"/>
          </w:tcPr>
          <w:p>
            <w:pPr>
              <w:ind w:left="5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30"/>
        </w:trPr>
        <w:tc>
          <w:tcPr>
            <w:tcW w:w="3560" w:type="dxa"/>
            <w:vAlign w:val="bottom"/>
          </w:tcPr>
          <w:p>
            <w:pPr>
              <w:ind w:left="240"/>
              <w:spacing w:after="0"/>
              <w:rPr>
                <w:sz w:val="20"/>
                <w:szCs w:val="20"/>
                <w:color w:val="auto"/>
              </w:rPr>
            </w:pPr>
            <w:r>
              <w:rPr>
                <w:rFonts w:ascii="Arial" w:cs="Arial" w:eastAsia="Arial" w:hAnsi="Arial"/>
                <w:sz w:val="18"/>
                <w:szCs w:val="18"/>
                <w:color w:val="auto"/>
              </w:rPr>
              <w:t>share units</w:t>
            </w:r>
          </w:p>
        </w:tc>
        <w:tc>
          <w:tcPr>
            <w:tcW w:w="13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June 30, 2020</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106,481,006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182,352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(163,237)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21,847</w:t>
            </w: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tcBorders>
            <w:vMerge w:val="restart"/>
          </w:tcPr>
          <w:p>
            <w:pPr>
              <w:ind w:left="240"/>
              <w:spacing w:after="0"/>
              <w:rPr>
                <w:sz w:val="20"/>
                <w:szCs w:val="20"/>
                <w:color w:val="auto"/>
              </w:rPr>
            </w:pPr>
            <w:r>
              <w:rPr>
                <w:rFonts w:ascii="Arial" w:cs="Arial" w:eastAsia="Arial" w:hAnsi="Arial"/>
                <w:sz w:val="18"/>
                <w:szCs w:val="18"/>
                <w:color w:val="auto"/>
              </w:rPr>
              <w:t>Net loss</w:t>
            </w:r>
          </w:p>
        </w:tc>
        <w:tc>
          <w:tcPr>
            <w:tcW w:w="1400" w:type="dxa"/>
            <w:vAlign w:val="bottom"/>
            <w:tcBorders>
              <w:top w:val="single" w:sz="8" w:color="CCEEFF"/>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gridSpan w:val="2"/>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560" w:type="dxa"/>
            <w:vAlign w:val="bottom"/>
            <w:tcBorders>
              <w:top w:val="single" w:sz="8" w:color="CCEEFF"/>
            </w:tcBorders>
            <w:vMerge w:val="continue"/>
          </w:tcPr>
          <w:p>
            <w:pPr>
              <w:spacing w:after="0"/>
              <w:rPr>
                <w:sz w:val="17"/>
                <w:szCs w:val="17"/>
                <w:color w:val="auto"/>
              </w:rPr>
            </w:pPr>
          </w:p>
        </w:tc>
        <w:tc>
          <w:tcPr>
            <w:tcW w:w="13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ind w:left="580"/>
              <w:spacing w:after="0" w:line="203"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(18,931)</w:t>
            </w: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(18,931)</w:t>
            </w:r>
          </w:p>
        </w:tc>
        <w:tc>
          <w:tcPr>
            <w:tcW w:w="0" w:type="dxa"/>
            <w:vAlign w:val="bottom"/>
          </w:tcPr>
          <w:p>
            <w:pPr>
              <w:spacing w:after="0"/>
              <w:rPr>
                <w:sz w:val="1"/>
                <w:szCs w:val="1"/>
                <w:color w:val="auto"/>
              </w:rPr>
            </w:pPr>
          </w:p>
        </w:tc>
      </w:tr>
      <w:tr>
        <w:trPr>
          <w:trHeight w:val="230"/>
        </w:trPr>
        <w:tc>
          <w:tcPr>
            <w:tcW w:w="35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Share-based compensation</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6,486</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6,486</w:t>
            </w:r>
          </w:p>
        </w:tc>
        <w:tc>
          <w:tcPr>
            <w:tcW w:w="0" w:type="dxa"/>
            <w:vAlign w:val="bottom"/>
          </w:tcPr>
          <w:p>
            <w:pPr>
              <w:spacing w:after="0"/>
              <w:rPr>
                <w:sz w:val="1"/>
                <w:szCs w:val="1"/>
                <w:color w:val="auto"/>
              </w:rPr>
            </w:pPr>
          </w:p>
        </w:tc>
      </w:tr>
      <w:tr>
        <w:trPr>
          <w:trHeight w:val="175"/>
        </w:trPr>
        <w:tc>
          <w:tcPr>
            <w:tcW w:w="3560" w:type="dxa"/>
            <w:vAlign w:val="bottom"/>
          </w:tcPr>
          <w:p>
            <w:pPr>
              <w:ind w:left="240"/>
              <w:spacing w:after="0" w:line="176" w:lineRule="exact"/>
              <w:rPr>
                <w:sz w:val="20"/>
                <w:szCs w:val="20"/>
                <w:color w:val="auto"/>
              </w:rPr>
            </w:pPr>
            <w:r>
              <w:rPr>
                <w:rFonts w:ascii="Arial" w:cs="Arial" w:eastAsia="Arial" w:hAnsi="Arial"/>
                <w:sz w:val="18"/>
                <w:szCs w:val="18"/>
                <w:color w:val="auto"/>
                <w:w w:val="96"/>
              </w:rPr>
              <w:t>Issuance of ordinary shares from restricted</w:t>
            </w: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322,296</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5"/>
                <w:szCs w:val="15"/>
                <w:color w:val="auto"/>
              </w:rPr>
            </w:pPr>
          </w:p>
        </w:tc>
        <w:tc>
          <w:tcPr>
            <w:tcW w:w="920" w:type="dxa"/>
            <w:vAlign w:val="bottom"/>
            <w:gridSpan w:val="2"/>
            <w:vMerge w:val="restart"/>
          </w:tcPr>
          <w:p>
            <w:pPr>
              <w:ind w:left="5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560" w:type="dxa"/>
            <w:vAlign w:val="bottom"/>
          </w:tcPr>
          <w:p>
            <w:pPr>
              <w:ind w:left="240"/>
              <w:spacing w:after="0"/>
              <w:rPr>
                <w:sz w:val="20"/>
                <w:szCs w:val="20"/>
                <w:color w:val="auto"/>
              </w:rPr>
            </w:pPr>
            <w:r>
              <w:rPr>
                <w:rFonts w:ascii="Arial" w:cs="Arial" w:eastAsia="Arial" w:hAnsi="Arial"/>
                <w:sz w:val="18"/>
                <w:szCs w:val="18"/>
                <w:color w:val="auto"/>
              </w:rPr>
              <w:t>share units</w:t>
            </w:r>
          </w:p>
        </w:tc>
        <w:tc>
          <w:tcPr>
            <w:tcW w:w="13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56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w w:val="93"/>
              </w:rPr>
              <w:t>Issuance of ordinary shares, net of issuance</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355,831,184</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22,700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164,660</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20" w:type="dxa"/>
            <w:vAlign w:val="bottom"/>
            <w:gridSpan w:val="2"/>
            <w:vMerge w:val="restart"/>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180" w:type="dxa"/>
            <w:vAlign w:val="bottom"/>
            <w:gridSpan w:val="2"/>
            <w:vMerge w:val="restart"/>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187,360</w:t>
            </w:r>
          </w:p>
        </w:tc>
        <w:tc>
          <w:tcPr>
            <w:tcW w:w="0" w:type="dxa"/>
            <w:vAlign w:val="bottom"/>
          </w:tcPr>
          <w:p>
            <w:pPr>
              <w:spacing w:after="0"/>
              <w:rPr>
                <w:sz w:val="1"/>
                <w:szCs w:val="1"/>
                <w:color w:val="auto"/>
              </w:rPr>
            </w:pPr>
          </w:p>
        </w:tc>
      </w:tr>
      <w:tr>
        <w:trPr>
          <w:trHeight w:val="230"/>
        </w:trPr>
        <w:tc>
          <w:tcPr>
            <w:tcW w:w="35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costs</w:t>
            </w:r>
          </w:p>
        </w:tc>
        <w:tc>
          <w:tcPr>
            <w:tcW w:w="13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60" w:type="dxa"/>
            <w:vAlign w:val="bottom"/>
          </w:tcPr>
          <w:p>
            <w:pPr>
              <w:ind w:left="20"/>
              <w:spacing w:after="0"/>
              <w:rPr>
                <w:sz w:val="20"/>
                <w:szCs w:val="20"/>
                <w:color w:val="auto"/>
              </w:rPr>
            </w:pPr>
            <w:r>
              <w:rPr>
                <w:rFonts w:ascii="Arial" w:cs="Arial" w:eastAsia="Arial" w:hAnsi="Arial"/>
                <w:sz w:val="18"/>
                <w:szCs w:val="18"/>
                <w:b w:val="1"/>
                <w:bCs w:val="1"/>
                <w:color w:val="auto"/>
              </w:rPr>
              <w:t>Balance at September 30, 2020</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462,634,486</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30,054</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353,498</w:t>
            </w:r>
          </w:p>
        </w:tc>
        <w:tc>
          <w:tcPr>
            <w:tcW w:w="80" w:type="dxa"/>
            <w:vAlign w:val="bottom"/>
          </w:tcPr>
          <w:p>
            <w:pPr>
              <w:spacing w:after="0"/>
              <w:rPr>
                <w:sz w:val="19"/>
                <w:szCs w:val="19"/>
                <w:color w:val="auto"/>
              </w:rPr>
            </w:pPr>
          </w:p>
        </w:tc>
        <w:tc>
          <w:tcPr>
            <w:tcW w:w="4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(4,601)</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(182,189)</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196,762</w:t>
            </w:r>
          </w:p>
        </w:tc>
        <w:tc>
          <w:tcPr>
            <w:tcW w:w="0" w:type="dxa"/>
            <w:vAlign w:val="bottom"/>
          </w:tcPr>
          <w:p>
            <w:pPr>
              <w:spacing w:after="0"/>
              <w:rPr>
                <w:sz w:val="1"/>
                <w:szCs w:val="1"/>
                <w:color w:val="auto"/>
              </w:rPr>
            </w:pPr>
          </w:p>
        </w:tc>
      </w:tr>
      <w:tr>
        <w:trPr>
          <w:trHeight w:val="21"/>
        </w:trPr>
        <w:tc>
          <w:tcPr>
            <w:tcW w:w="35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Verona Pharma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40" w:type="dxa"/>
            <w:vAlign w:val="bottom"/>
            <w:gridSpan w:val="4"/>
          </w:tcPr>
          <w:p>
            <w:pPr>
              <w:jc w:val="right"/>
              <w:ind w:right="311"/>
              <w:spacing w:after="0"/>
              <w:rPr>
                <w:sz w:val="20"/>
                <w:szCs w:val="20"/>
                <w:color w:val="auto"/>
              </w:rPr>
            </w:pPr>
            <w:r>
              <w:rPr>
                <w:rFonts w:ascii="Arial" w:cs="Arial" w:eastAsia="Arial" w:hAnsi="Arial"/>
                <w:sz w:val="14"/>
                <w:szCs w:val="14"/>
                <w:b w:val="1"/>
                <w:bCs w:val="1"/>
                <w:color w:val="auto"/>
                <w:w w:val="96"/>
              </w:rPr>
              <w:t>Nine months ended September 30,</w:t>
            </w:r>
          </w:p>
        </w:tc>
        <w:tc>
          <w:tcPr>
            <w:tcW w:w="0" w:type="dxa"/>
            <w:vAlign w:val="bottom"/>
          </w:tcPr>
          <w:p>
            <w:pPr>
              <w:spacing w:after="0"/>
              <w:rPr>
                <w:sz w:val="1"/>
                <w:szCs w:val="1"/>
                <w:color w:val="auto"/>
              </w:rPr>
            </w:pPr>
          </w:p>
        </w:tc>
      </w:tr>
      <w:tr>
        <w:trPr>
          <w:trHeight w:val="26"/>
        </w:trPr>
        <w:tc>
          <w:tcPr>
            <w:tcW w:w="83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8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jc w:val="right"/>
              <w:ind w:right="451"/>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ind w:right="47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6"/>
        </w:trPr>
        <w:tc>
          <w:tcPr>
            <w:tcW w:w="83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34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loss: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(32,307)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(40,321)</w:t>
            </w:r>
          </w:p>
        </w:tc>
        <w:tc>
          <w:tcPr>
            <w:tcW w:w="0" w:type="dxa"/>
            <w:vAlign w:val="bottom"/>
          </w:tcPr>
          <w:p>
            <w:pPr>
              <w:spacing w:after="0"/>
              <w:rPr>
                <w:sz w:val="1"/>
                <w:szCs w:val="1"/>
                <w:color w:val="auto"/>
              </w:rPr>
            </w:pPr>
          </w:p>
        </w:tc>
      </w:tr>
      <w:tr>
        <w:trPr>
          <w:trHeight w:val="230"/>
        </w:trPr>
        <w:tc>
          <w:tcPr>
            <w:tcW w:w="8340" w:type="dxa"/>
            <w:vAlign w:val="bottom"/>
          </w:tcPr>
          <w:p>
            <w:pPr>
              <w:ind w:left="240"/>
              <w:spacing w:after="0"/>
              <w:rPr>
                <w:sz w:val="20"/>
                <w:szCs w:val="20"/>
                <w:color w:val="auto"/>
              </w:rPr>
            </w:pPr>
            <w:r>
              <w:rPr>
                <w:rFonts w:ascii="Arial" w:cs="Arial" w:eastAsia="Arial" w:hAnsi="Arial"/>
                <w:sz w:val="18"/>
                <w:szCs w:val="18"/>
                <w:i w:val="1"/>
                <w:iCs w:val="1"/>
                <w:color w:val="auto"/>
              </w:rPr>
              <w:t>Adjustments to reconcile net income to net cash used in operating activities:</w:t>
            </w: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Foreign exchange loss/(gain)</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(1,282)</w:t>
            </w:r>
          </w:p>
        </w:tc>
        <w:tc>
          <w:tcPr>
            <w:tcW w:w="0" w:type="dxa"/>
            <w:vAlign w:val="bottom"/>
          </w:tcPr>
          <w:p>
            <w:pPr>
              <w:spacing w:after="0"/>
              <w:rPr>
                <w:sz w:val="1"/>
                <w:szCs w:val="1"/>
                <w:color w:val="auto"/>
              </w:rPr>
            </w:pPr>
          </w:p>
        </w:tc>
      </w:tr>
      <w:tr>
        <w:trPr>
          <w:trHeight w:val="229"/>
        </w:trPr>
        <w:tc>
          <w:tcPr>
            <w:tcW w:w="8340" w:type="dxa"/>
            <w:vAlign w:val="bottom"/>
          </w:tcPr>
          <w:p>
            <w:pPr>
              <w:ind w:left="240"/>
              <w:spacing w:after="0"/>
              <w:rPr>
                <w:sz w:val="20"/>
                <w:szCs w:val="20"/>
                <w:color w:val="auto"/>
              </w:rPr>
            </w:pPr>
            <w:r>
              <w:rPr>
                <w:rFonts w:ascii="Arial" w:cs="Arial" w:eastAsia="Arial" w:hAnsi="Arial"/>
                <w:sz w:val="18"/>
                <w:szCs w:val="18"/>
                <w:color w:val="auto"/>
              </w:rPr>
              <w:t>Amortization of debt issue costs</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Accretion of redemption premium on debt</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340" w:type="dxa"/>
            <w:vAlign w:val="bottom"/>
          </w:tcPr>
          <w:p>
            <w:pPr>
              <w:ind w:left="240"/>
              <w:spacing w:after="0"/>
              <w:rPr>
                <w:sz w:val="20"/>
                <w:szCs w:val="20"/>
                <w:color w:val="auto"/>
              </w:rPr>
            </w:pPr>
            <w:r>
              <w:rPr>
                <w:rFonts w:ascii="Arial" w:cs="Arial" w:eastAsia="Arial" w:hAnsi="Arial"/>
                <w:sz w:val="18"/>
                <w:szCs w:val="18"/>
                <w:color w:val="auto"/>
              </w:rPr>
              <w:t>Fair value movement on warrants</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(2,244)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747</w:t>
            </w:r>
          </w:p>
        </w:tc>
        <w:tc>
          <w:tcPr>
            <w:tcW w:w="0" w:type="dxa"/>
            <w:vAlign w:val="bottom"/>
          </w:tcPr>
          <w:p>
            <w:pPr>
              <w:spacing w:after="0"/>
              <w:rPr>
                <w:sz w:val="1"/>
                <w:szCs w:val="1"/>
                <w:color w:val="auto"/>
              </w:rPr>
            </w:pPr>
          </w:p>
        </w:tc>
      </w:tr>
      <w:tr>
        <w:trPr>
          <w:trHeight w:val="230"/>
        </w:trPr>
        <w:tc>
          <w:tcPr>
            <w:tcW w:w="8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Impairment of right-of-use asset</w:t>
            </w: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29"/>
        </w:trPr>
        <w:tc>
          <w:tcPr>
            <w:tcW w:w="8340" w:type="dxa"/>
            <w:vAlign w:val="bottom"/>
          </w:tcPr>
          <w:p>
            <w:pPr>
              <w:ind w:left="240"/>
              <w:spacing w:after="0"/>
              <w:rPr>
                <w:sz w:val="20"/>
                <w:szCs w:val="20"/>
                <w:color w:val="auto"/>
              </w:rPr>
            </w:pPr>
            <w:r>
              <w:rPr>
                <w:rFonts w:ascii="Arial" w:cs="Arial" w:eastAsia="Arial" w:hAnsi="Arial"/>
                <w:sz w:val="18"/>
                <w:szCs w:val="18"/>
                <w:color w:val="auto"/>
              </w:rPr>
              <w:t>Share-based compensation</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21,238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9,303</w:t>
            </w:r>
          </w:p>
        </w:tc>
        <w:tc>
          <w:tcPr>
            <w:tcW w:w="0" w:type="dxa"/>
            <w:vAlign w:val="bottom"/>
          </w:tcPr>
          <w:p>
            <w:pPr>
              <w:spacing w:after="0"/>
              <w:rPr>
                <w:sz w:val="1"/>
                <w:szCs w:val="1"/>
                <w:color w:val="auto"/>
              </w:rPr>
            </w:pPr>
          </w:p>
        </w:tc>
      </w:tr>
      <w:tr>
        <w:trPr>
          <w:trHeight w:val="229"/>
        </w:trPr>
        <w:tc>
          <w:tcPr>
            <w:tcW w:w="8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Depreciation and amortization</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30"/>
        </w:trPr>
        <w:tc>
          <w:tcPr>
            <w:tcW w:w="8340" w:type="dxa"/>
            <w:vAlign w:val="bottom"/>
          </w:tcPr>
          <w:p>
            <w:pPr>
              <w:ind w:left="240"/>
              <w:spacing w:after="0"/>
              <w:rPr>
                <w:sz w:val="20"/>
                <w:szCs w:val="20"/>
                <w:color w:val="auto"/>
              </w:rPr>
            </w:pPr>
            <w:r>
              <w:rPr>
                <w:rFonts w:ascii="Arial" w:cs="Arial" w:eastAsia="Arial" w:hAnsi="Arial"/>
                <w:sz w:val="18"/>
                <w:szCs w:val="18"/>
                <w:color w:val="auto"/>
              </w:rPr>
              <w:t>Equity interest</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(15,000)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34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Changes in operating assets and liabilities:</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40" w:type="dxa"/>
            <w:vAlign w:val="bottom"/>
          </w:tcPr>
          <w:p>
            <w:pPr>
              <w:ind w:left="360"/>
              <w:spacing w:after="0"/>
              <w:rPr>
                <w:sz w:val="20"/>
                <w:szCs w:val="20"/>
                <w:color w:val="auto"/>
              </w:rPr>
            </w:pPr>
            <w:r>
              <w:rPr>
                <w:rFonts w:ascii="Arial" w:cs="Arial" w:eastAsia="Arial" w:hAnsi="Arial"/>
                <w:sz w:val="18"/>
                <w:szCs w:val="18"/>
                <w:color w:val="auto"/>
              </w:rPr>
              <w:t>Prepaid expenses</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(2,134)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(2,444)</w:t>
            </w:r>
          </w:p>
        </w:tc>
        <w:tc>
          <w:tcPr>
            <w:tcW w:w="0" w:type="dxa"/>
            <w:vAlign w:val="bottom"/>
          </w:tcPr>
          <w:p>
            <w:pPr>
              <w:spacing w:after="0"/>
              <w:rPr>
                <w:sz w:val="1"/>
                <w:szCs w:val="1"/>
                <w:color w:val="auto"/>
              </w:rPr>
            </w:pPr>
          </w:p>
        </w:tc>
      </w:tr>
      <w:tr>
        <w:trPr>
          <w:trHeight w:val="230"/>
        </w:trPr>
        <w:tc>
          <w:tcPr>
            <w:tcW w:w="8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Tax incentive receivable</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3,336</w:t>
            </w:r>
          </w:p>
        </w:tc>
        <w:tc>
          <w:tcPr>
            <w:tcW w:w="0" w:type="dxa"/>
            <w:vAlign w:val="bottom"/>
          </w:tcPr>
          <w:p>
            <w:pPr>
              <w:spacing w:after="0"/>
              <w:rPr>
                <w:sz w:val="1"/>
                <w:szCs w:val="1"/>
                <w:color w:val="auto"/>
              </w:rPr>
            </w:pPr>
          </w:p>
        </w:tc>
      </w:tr>
      <w:tr>
        <w:trPr>
          <w:trHeight w:val="229"/>
        </w:trPr>
        <w:tc>
          <w:tcPr>
            <w:tcW w:w="8340" w:type="dxa"/>
            <w:vAlign w:val="bottom"/>
          </w:tcPr>
          <w:p>
            <w:pPr>
              <w:ind w:left="360"/>
              <w:spacing w:after="0"/>
              <w:rPr>
                <w:sz w:val="20"/>
                <w:szCs w:val="20"/>
                <w:color w:val="auto"/>
              </w:rPr>
            </w:pPr>
            <w:r>
              <w:rPr>
                <w:rFonts w:ascii="Arial" w:cs="Arial" w:eastAsia="Arial" w:hAnsi="Arial"/>
                <w:sz w:val="18"/>
                <w:szCs w:val="18"/>
                <w:color w:val="auto"/>
              </w:rPr>
              <w:t>Other current assets</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1,053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1,151</w:t>
            </w:r>
          </w:p>
        </w:tc>
        <w:tc>
          <w:tcPr>
            <w:tcW w:w="0" w:type="dxa"/>
            <w:vAlign w:val="bottom"/>
          </w:tcPr>
          <w:p>
            <w:pPr>
              <w:spacing w:after="0"/>
              <w:rPr>
                <w:sz w:val="1"/>
                <w:szCs w:val="1"/>
                <w:color w:val="auto"/>
              </w:rPr>
            </w:pPr>
          </w:p>
        </w:tc>
      </w:tr>
      <w:tr>
        <w:trPr>
          <w:trHeight w:val="230"/>
        </w:trPr>
        <w:tc>
          <w:tcPr>
            <w:tcW w:w="8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Right-of-use asset</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34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(983)</w:t>
            </w:r>
          </w:p>
        </w:tc>
        <w:tc>
          <w:tcPr>
            <w:tcW w:w="0" w:type="dxa"/>
            <w:vAlign w:val="bottom"/>
          </w:tcPr>
          <w:p>
            <w:pPr>
              <w:spacing w:after="0"/>
              <w:rPr>
                <w:sz w:val="1"/>
                <w:szCs w:val="1"/>
                <w:color w:val="auto"/>
              </w:rPr>
            </w:pPr>
          </w:p>
        </w:tc>
      </w:tr>
      <w:tr>
        <w:trPr>
          <w:trHeight w:val="229"/>
        </w:trPr>
        <w:tc>
          <w:tcPr>
            <w:tcW w:w="8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expenses</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15,595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3,916</w:t>
            </w:r>
          </w:p>
        </w:tc>
        <w:tc>
          <w:tcPr>
            <w:tcW w:w="0" w:type="dxa"/>
            <w:vAlign w:val="bottom"/>
          </w:tcPr>
          <w:p>
            <w:pPr>
              <w:spacing w:after="0"/>
              <w:rPr>
                <w:sz w:val="1"/>
                <w:szCs w:val="1"/>
                <w:color w:val="auto"/>
              </w:rPr>
            </w:pPr>
          </w:p>
        </w:tc>
      </w:tr>
      <w:tr>
        <w:trPr>
          <w:trHeight w:val="230"/>
        </w:trPr>
        <w:tc>
          <w:tcPr>
            <w:tcW w:w="8340" w:type="dxa"/>
            <w:vAlign w:val="bottom"/>
          </w:tcPr>
          <w:p>
            <w:pPr>
              <w:ind w:left="360"/>
              <w:spacing w:after="0"/>
              <w:rPr>
                <w:sz w:val="20"/>
                <w:szCs w:val="20"/>
                <w:color w:val="auto"/>
              </w:rPr>
            </w:pPr>
            <w:r>
              <w:rPr>
                <w:rFonts w:ascii="Arial" w:cs="Arial" w:eastAsia="Arial" w:hAnsi="Arial"/>
                <w:sz w:val="18"/>
                <w:szCs w:val="18"/>
                <w:color w:val="auto"/>
              </w:rPr>
              <w:t>Lease liabilities</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29"/>
        </w:trPr>
        <w:tc>
          <w:tcPr>
            <w:tcW w:w="8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Taxes payable</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3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current liabilities</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83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Net cash used in operating activities</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(15,931)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(26,281)</w:t>
            </w:r>
          </w:p>
        </w:tc>
        <w:tc>
          <w:tcPr>
            <w:tcW w:w="0" w:type="dxa"/>
            <w:vAlign w:val="bottom"/>
          </w:tcPr>
          <w:p>
            <w:pPr>
              <w:spacing w:after="0"/>
              <w:rPr>
                <w:sz w:val="1"/>
                <w:szCs w:val="1"/>
                <w:color w:val="auto"/>
              </w:rPr>
            </w:pPr>
          </w:p>
        </w:tc>
      </w:tr>
      <w:tr>
        <w:trPr>
          <w:trHeight w:val="230"/>
        </w:trPr>
        <w:tc>
          <w:tcPr>
            <w:tcW w:w="834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Purchases of furniture and equipment</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29"/>
        </w:trPr>
        <w:tc>
          <w:tcPr>
            <w:tcW w:w="8340" w:type="dxa"/>
            <w:vAlign w:val="bottom"/>
          </w:tcPr>
          <w:p>
            <w:pPr>
              <w:ind w:left="240"/>
              <w:spacing w:after="0"/>
              <w:rPr>
                <w:sz w:val="20"/>
                <w:szCs w:val="20"/>
                <w:color w:val="auto"/>
              </w:rPr>
            </w:pPr>
            <w:r>
              <w:rPr>
                <w:rFonts w:ascii="Arial" w:cs="Arial" w:eastAsia="Arial" w:hAnsi="Arial"/>
                <w:sz w:val="18"/>
                <w:szCs w:val="18"/>
                <w:color w:val="auto"/>
              </w:rPr>
              <w:t>Sale of short-term investments</w:t>
            </w:r>
          </w:p>
        </w:tc>
        <w:tc>
          <w:tcPr>
            <w:tcW w:w="2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9,792</w:t>
            </w:r>
          </w:p>
        </w:tc>
        <w:tc>
          <w:tcPr>
            <w:tcW w:w="0" w:type="dxa"/>
            <w:vAlign w:val="bottom"/>
          </w:tcPr>
          <w:p>
            <w:pPr>
              <w:spacing w:after="0"/>
              <w:rPr>
                <w:sz w:val="1"/>
                <w:szCs w:val="1"/>
                <w:color w:val="auto"/>
              </w:rPr>
            </w:pPr>
          </w:p>
        </w:tc>
      </w:tr>
      <w:tr>
        <w:trPr>
          <w:trHeight w:val="223"/>
        </w:trPr>
        <w:tc>
          <w:tcPr>
            <w:tcW w:w="8340" w:type="dxa"/>
            <w:vAlign w:val="bottom"/>
            <w:tcBorders>
              <w:top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Net cash (used in)/provided by investing activities</w:t>
            </w:r>
          </w:p>
        </w:tc>
        <w:tc>
          <w:tcPr>
            <w:tcW w:w="26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9,719</w:t>
            </w:r>
          </w:p>
        </w:tc>
        <w:tc>
          <w:tcPr>
            <w:tcW w:w="0" w:type="dxa"/>
            <w:vAlign w:val="bottom"/>
          </w:tcPr>
          <w:p>
            <w:pPr>
              <w:spacing w:after="0"/>
              <w:rPr>
                <w:sz w:val="1"/>
                <w:szCs w:val="1"/>
                <w:color w:val="auto"/>
              </w:rPr>
            </w:pPr>
          </w:p>
        </w:tc>
      </w:tr>
      <w:tr>
        <w:trPr>
          <w:trHeight w:val="229"/>
        </w:trPr>
        <w:tc>
          <w:tcPr>
            <w:tcW w:w="834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Proceeds from issuance of ordinary shares</w:t>
            </w: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200,156</w:t>
            </w:r>
          </w:p>
        </w:tc>
        <w:tc>
          <w:tcPr>
            <w:tcW w:w="0" w:type="dxa"/>
            <w:vAlign w:val="bottom"/>
          </w:tcPr>
          <w:p>
            <w:pPr>
              <w:spacing w:after="0"/>
              <w:rPr>
                <w:sz w:val="1"/>
                <w:szCs w:val="1"/>
                <w:color w:val="auto"/>
              </w:rPr>
            </w:pPr>
          </w:p>
        </w:tc>
      </w:tr>
      <w:tr>
        <w:trPr>
          <w:trHeight w:val="230"/>
        </w:trPr>
        <w:tc>
          <w:tcPr>
            <w:tcW w:w="8340" w:type="dxa"/>
            <w:vAlign w:val="bottom"/>
          </w:tcPr>
          <w:p>
            <w:pPr>
              <w:ind w:left="240"/>
              <w:spacing w:after="0"/>
              <w:rPr>
                <w:sz w:val="20"/>
                <w:szCs w:val="20"/>
                <w:color w:val="auto"/>
              </w:rPr>
            </w:pPr>
            <w:r>
              <w:rPr>
                <w:rFonts w:ascii="Arial" w:cs="Arial" w:eastAsia="Arial" w:hAnsi="Arial"/>
                <w:sz w:val="18"/>
                <w:szCs w:val="18"/>
                <w:color w:val="auto"/>
              </w:rPr>
              <w:t>Payment of offering costs in connection with the issuance of ordinary shares</w:t>
            </w:r>
          </w:p>
        </w:tc>
        <w:tc>
          <w:tcPr>
            <w:tcW w:w="2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(11,763)</w:t>
            </w:r>
          </w:p>
        </w:tc>
        <w:tc>
          <w:tcPr>
            <w:tcW w:w="0" w:type="dxa"/>
            <w:vAlign w:val="bottom"/>
          </w:tcPr>
          <w:p>
            <w:pPr>
              <w:spacing w:after="0"/>
              <w:rPr>
                <w:sz w:val="1"/>
                <w:szCs w:val="1"/>
                <w:color w:val="auto"/>
              </w:rPr>
            </w:pPr>
          </w:p>
        </w:tc>
      </w:tr>
      <w:tr>
        <w:trPr>
          <w:trHeight w:val="230"/>
        </w:trPr>
        <w:tc>
          <w:tcPr>
            <w:tcW w:w="8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Payments of withholding taxes from share-based awards</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3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Proceeds from at-the-market sales agreement</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cash (used in)/provided by financing activities</w:t>
            </w: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(5,216)</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188,393</w:t>
            </w:r>
          </w:p>
        </w:tc>
        <w:tc>
          <w:tcPr>
            <w:tcW w:w="0" w:type="dxa"/>
            <w:vAlign w:val="bottom"/>
          </w:tcPr>
          <w:p>
            <w:pPr>
              <w:spacing w:after="0"/>
              <w:rPr>
                <w:sz w:val="1"/>
                <w:szCs w:val="1"/>
                <w:color w:val="auto"/>
              </w:rPr>
            </w:pPr>
          </w:p>
        </w:tc>
      </w:tr>
      <w:tr>
        <w:trPr>
          <w:trHeight w:val="223"/>
        </w:trPr>
        <w:tc>
          <w:tcPr>
            <w:tcW w:w="83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Effect of exchange rate changes on cash and cash equivalents</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23"/>
        </w:trPr>
        <w:tc>
          <w:tcPr>
            <w:tcW w:w="8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change in cash and cash equivalents</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(21,439)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171,540</w:t>
            </w:r>
          </w:p>
        </w:tc>
        <w:tc>
          <w:tcPr>
            <w:tcW w:w="0" w:type="dxa"/>
            <w:vAlign w:val="bottom"/>
          </w:tcPr>
          <w:p>
            <w:pPr>
              <w:spacing w:after="0"/>
              <w:rPr>
                <w:sz w:val="1"/>
                <w:szCs w:val="1"/>
                <w:color w:val="auto"/>
              </w:rPr>
            </w:pPr>
          </w:p>
        </w:tc>
      </w:tr>
      <w:tr>
        <w:trPr>
          <w:trHeight w:val="230"/>
        </w:trPr>
        <w:tc>
          <w:tcPr>
            <w:tcW w:w="8340" w:type="dxa"/>
            <w:vAlign w:val="bottom"/>
            <w:tcBorders>
              <w:bottom w:val="single" w:sz="8" w:color="CCEEFF"/>
            </w:tcBorders>
          </w:tcPr>
          <w:p>
            <w:pPr>
              <w:ind w:left="240"/>
              <w:spacing w:after="0"/>
              <w:rPr>
                <w:sz w:val="20"/>
                <w:szCs w:val="20"/>
                <w:color w:val="auto"/>
              </w:rPr>
            </w:pPr>
            <w:r>
              <w:rPr>
                <w:rFonts w:ascii="Arial" w:cs="Arial" w:eastAsia="Arial" w:hAnsi="Arial"/>
                <w:sz w:val="18"/>
                <w:szCs w:val="18"/>
                <w:b w:val="1"/>
                <w:bCs w:val="1"/>
                <w:color w:val="auto"/>
              </w:rPr>
              <w:t>Cash and cash equivalents at beginning of the period</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187,986</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30,428</w:t>
            </w:r>
          </w:p>
        </w:tc>
        <w:tc>
          <w:tcPr>
            <w:tcW w:w="0" w:type="dxa"/>
            <w:vAlign w:val="bottom"/>
          </w:tcPr>
          <w:p>
            <w:pPr>
              <w:spacing w:after="0"/>
              <w:rPr>
                <w:sz w:val="1"/>
                <w:szCs w:val="1"/>
                <w:color w:val="auto"/>
              </w:rPr>
            </w:pPr>
          </w:p>
        </w:tc>
      </w:tr>
      <w:tr>
        <w:trPr>
          <w:trHeight w:val="248"/>
        </w:trPr>
        <w:tc>
          <w:tcPr>
            <w:tcW w:w="83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b w:val="1"/>
                <w:bCs w:val="1"/>
                <w:color w:val="auto"/>
              </w:rPr>
              <w:t>Cash and cash equivalents at end of the period</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166,547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201,968</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34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Income taxes paid</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340" w:type="dxa"/>
            <w:vAlign w:val="bottom"/>
          </w:tcPr>
          <w:p>
            <w:pPr>
              <w:ind w:left="240"/>
              <w:spacing w:after="0"/>
              <w:rPr>
                <w:sz w:val="20"/>
                <w:szCs w:val="20"/>
                <w:color w:val="auto"/>
              </w:rPr>
            </w:pPr>
            <w:r>
              <w:rPr>
                <w:rFonts w:ascii="Arial" w:cs="Arial" w:eastAsia="Arial" w:hAnsi="Arial"/>
                <w:sz w:val="18"/>
                <w:szCs w:val="18"/>
                <w:color w:val="auto"/>
              </w:rPr>
              <w:t>Interest paid</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Verona Pharma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and description of business operations</w:t>
      </w:r>
    </w:p>
    <w:p>
      <w:pPr>
        <w:spacing w:after="0" w:line="202"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Verona Pharma plc (the “Company”) is incorporated and domiciled in the United Kingdom. Verona Pharma plc has one wholly-owned subsidiary, Verona Pharma, Inc., a Delaware corporation. Rhinopharma Limited, a Canadian company that was previously a non-operating, wholly-owned subsidiary, was dissolved in June 2021. The address of the registered office is 1 Central Square, Cardiff, CF10 1FS, United Kingdom.</w:t>
      </w:r>
    </w:p>
    <w:p>
      <w:pPr>
        <w:spacing w:after="0" w:line="57"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Company is a clinical-stage biopharmaceutical group focused on developing and commercializing innovative therapeutics for the treatment of respiratory diseases with significant unmet medical needs. The Company’s American Depositary Shares (“ADSs”) are listed on Nasdaq and trade under the symbol “VRNA”.</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90"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Company has incurred recurring losses and negative cash flows from operations since inception, and has an accumulated deficit of $240.3 million as of September 30, 2021. The Company expects to incur additional losses and negative cash flows from operations until its products potentially gain regulatory approval and reach commercial profitability, if at all.</w:t>
      </w:r>
    </w:p>
    <w:p>
      <w:pPr>
        <w:spacing w:after="0" w:line="67"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The Company expects that its cash and cash equivalents as of September 30, 2021, will be sufficient to fund its operating expenses and capital expenditure requirements for at least the next 12 months from the date of issuance.</w:t>
      </w:r>
    </w:p>
    <w:p>
      <w:pPr>
        <w:spacing w:after="0" w:line="62"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In March, 2021, the Company entered into an open market sale agreement with respect to an at-the-market offering program (the “ATM Program”) under which the Company may issue and sell its ordinary shares in the form of ADSs, with an aggregate offering price of up to $100.0 million.</w:t>
      </w:r>
    </w:p>
    <w:p>
      <w:pPr>
        <w:spacing w:after="0" w:line="40"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During the nine months ended September 30, 2021, the Company sold 873,104 ordinary shares (equivalent to 109,138 ADSs) under the ATM Program, at an average price of approximately $0.86 per share (equivalent to $6.91 per ADS), raising aggregate net proceeds of approximately $0.7 million after deducting issuance costs. As of September 30, 2021, there remained $99.2 million of ordinary shares, in the form of ADSs, available for sale under the ATM Program.</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Basis of presentation and summary of significant accounting policies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 and consolidation</w:t>
      </w:r>
    </w:p>
    <w:p>
      <w:pPr>
        <w:spacing w:after="0" w:line="90"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The unaudited condensed consolidated financial statements include the accounts of Verona Pharma plc and its wholly-owned subsidiary Verona Pharma, Inc. All inter-company balances and transactions have been eliminated.</w:t>
      </w:r>
    </w:p>
    <w:p>
      <w:pPr>
        <w:spacing w:after="0" w:line="62"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The accompanying unaudited condensed consolidated financial statements included in this Quarterly Report on Form 10-Q have been prepared in conformity with accounting principles generally accepted in the U.S. (“U.S. GAAP”).</w:t>
      </w:r>
    </w:p>
    <w:p>
      <w:pPr>
        <w:spacing w:after="0" w:line="62"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The unaudited condensed consolidated financial statements presented in this Quarterly Report should be read in conjunction with the consolidated financial statements and accompanying notes included in the Company’s Annual Report on Form 10-K filed with the SEC on February 25, 2021 (the “2020 Form 10-K”). The Consolidated Balance Sheet as of December 31, 2020, was derived from audited consolidated financial statements included in the 2020 Form 10-K but does not include all disclosures required by U.S. GAAP for complete financial statements. The Company’s significant accounting policies are described in Note 2 to those consolidated financial statements. In addition, the Company’s policies on revenue recognition, contract assets, trade receivables and the equity interest are set out below.</w:t>
      </w:r>
    </w:p>
    <w:p>
      <w:pPr>
        <w:spacing w:after="0" w:line="67"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Certain information and footnote disclosures normally included in financial statements prepared in accordance with U.S. GAAP have been condensed or omitted from these interim financial statements. The unaudited condensed consolidated financial statements reflect all adjustments which in the opinion of management are necessary for a fair statement of results of operations, comprehensive income, financial condition, cash flows and shareholders' equity for the periods presented. Except as otherwise disclosed, all such adjustments are of a normal recurring nature. Operating results for the interim periods are not necessarily indicative of the results that may be expected for the full year.</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90"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Company’s deferred revenue and revenue arise from the Company’s agreement for the development and commercialization of ensifentrine in Greater China (the “Nuance Agreement”). The terms of the Nuance Agreement include non-refundable upfront fees, payments based upon achievement of developmental and regulatory milestones, commercial milestones, royalties payable on sales, and manufacturing and supply. These payments are viewed as both fixed and variable consideration. Non-refundable upfront fees are considered fixed, while milestone payments and revenue from the commercialized product are identified as variable consideration. The Company follows the five-step model in ASC 606 “Revenue from Contracts with Customers”: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Step 1: Identify the contract(s) with a customer.</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Step 2: Identify the performance obligations in the contract.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Step 3: Determine the transaction price.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Step 4: Allocate the transaction price to the performance obligations in the contract.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Step 5: Recognize revenue when (or as) the entity satisfies a performance obligation.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All of the Company’s revenue is derived from contracts with customers.</w:t>
      </w:r>
    </w:p>
    <w:p>
      <w:pPr>
        <w:spacing w:after="0" w:line="90"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A performance obligation is a promise in a contract to transfer a distinct good or service to the customer and is the unit of account in ASC Topic 606. The Company’s performance obligations include intellectual property rights, (which include the license, patents and developmental and regulatory data) and manufacturing and supply. Management are required to judge when performance obligations are satisfied and consequently when revenue is recognized.</w:t>
      </w:r>
    </w:p>
    <w:p>
      <w:pPr>
        <w:spacing w:after="0" w:line="40"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If the right to the Company’s intellectual property is determined to be distinct from the other performance obligations identified in the arrangement, the Company recognizes revenue from non-refundable, upfront fees allocated to the right when the right is transferred to the customer, and the customer can use and benefit from the right.</w:t>
      </w:r>
    </w:p>
    <w:p>
      <w:pPr>
        <w:spacing w:after="0" w:line="67"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If an arrangement includes development and regulatory milestone payments, the Company evaluates whether the milestones are considered probable of being reached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the</w:t>
      </w:r>
    </w:p>
    <w:p>
      <w:pPr>
        <w:spacing w:after="0" w:line="40"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Company’s control or the licensee’s control, such as regulatory approvals, are generally not considered probable of being achieved until those approvals are received.</w:t>
      </w:r>
    </w:p>
    <w:p>
      <w:pPr>
        <w:spacing w:after="0" w:line="62" w:lineRule="exact"/>
        <w:rPr>
          <w:sz w:val="20"/>
          <w:szCs w:val="20"/>
          <w:color w:val="auto"/>
        </w:rPr>
      </w:pPr>
    </w:p>
    <w:p>
      <w:pPr>
        <w:jc w:val="both"/>
        <w:spacing w:after="0" w:line="307" w:lineRule="auto"/>
        <w:rPr>
          <w:sz w:val="20"/>
          <w:szCs w:val="20"/>
          <w:color w:val="auto"/>
        </w:rPr>
      </w:pPr>
      <w:r>
        <w:rPr>
          <w:rFonts w:ascii="Arial" w:cs="Arial" w:eastAsia="Arial" w:hAnsi="Arial"/>
          <w:sz w:val="16"/>
          <w:szCs w:val="16"/>
          <w:color w:val="auto"/>
        </w:rPr>
        <w:t>For arrangements with licenses of intellectual property that include sales-based royalties, including milestone payments based on the level of sales, and the license is deemed to be the predominant item to which the royalties relate, the Company recognizes royalty revenue and sales-based milestones at the later</w:t>
      </w:r>
    </w:p>
    <w:p>
      <w:pPr>
        <w:sectPr>
          <w:pgSz w:w="11900" w:h="16929" w:orient="portrait"/>
          <w:cols w:equalWidth="0" w:num="1">
            <w:col w:w="11240"/>
          </w:cols>
          <w:pgMar w:left="320" w:top="121" w:right="339" w:bottom="0" w:gutter="0" w:footer="0" w:header="0"/>
        </w:sectPr>
      </w:pPr>
    </w:p>
    <w:bookmarkStart w:id="8" w:name="page9"/>
    <w:bookmarkEnd w:id="8"/>
    <w:p>
      <w:pPr>
        <w:ind w:right="1660"/>
        <w:spacing w:after="0" w:line="344" w:lineRule="auto"/>
        <w:rPr>
          <w:sz w:val="20"/>
          <w:szCs w:val="20"/>
          <w:color w:val="auto"/>
        </w:rPr>
      </w:pPr>
      <w:r>
        <w:rPr>
          <w:rFonts w:ascii="Arial" w:cs="Arial" w:eastAsia="Arial" w:hAnsi="Arial"/>
          <w:sz w:val="18"/>
          <w:szCs w:val="18"/>
          <w:color w:val="auto"/>
        </w:rPr>
        <w:t xml:space="preserve">of (i) when the related sales occur, or (ii) when the performance obligation to which the royalty has been allocated has been satisfied. </w:t>
      </w:r>
      <w:r>
        <w:rPr>
          <w:rFonts w:ascii="Arial" w:cs="Arial" w:eastAsia="Arial" w:hAnsi="Arial"/>
          <w:sz w:val="18"/>
          <w:szCs w:val="18"/>
          <w:i w:val="1"/>
          <w:iCs w:val="1"/>
          <w:color w:val="auto"/>
        </w:rPr>
        <w:t>Contract assets</w:t>
      </w:r>
    </w:p>
    <w:p>
      <w:pPr>
        <w:spacing w:after="0" w:line="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Company recognizes incremental costs of obtaining a contract such as commission costs as an asset and amortizes the asset on a basis that is consistent with the satisfaction of the performance obligations to which the asset relates. Consideration receivable that is in excess of the value of satisfied, or part satisfied, performance obligations is recognized as a deferred revenue liability.</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Trade receivables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Accounts receivable relate to amounts billed to customers. Management determine the likelihood of uncollectible accounts and provide for this accordingly.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interest</w:t>
      </w:r>
    </w:p>
    <w:p>
      <w:pPr>
        <w:spacing w:after="0" w:line="90"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As of June 30, 2021, as part of the Nuance Agreement, the Company recorded a $15 million equity receivable, relating to an equity interest in Nuance Biotech, the parent company of Nuance Pharma (see note 8). This equity interest was received in the three months ended September 30, 2021. As Nuance Biotech is not publicly listed the equity interest’s fair value is not readily determinable. The Company therefore uses the fair value measurement alternative and measures the securities at cost, which is deemed to be the value indicated by the last observable transaction in Nuance Biotech's stock, subject to impairment. The valuation will be adjusted for any observable price changes in orderly transactions for an identical or similar investment in Nuance Biotech, or if there is an indicator of impairment.</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reporting</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one operating and reportable segment, pharmaceutical development.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90"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auto"/>
        </w:rPr>
        <w:t>The preparation of interim unaudited condensed consolidated financial statements in conformity with U.S. GAAP requires management to make estimates and assumptions that affect the reported amounts of assets, liabilities, the disclosure of contingent assets and liabilities at the date of the financial statements and the reported amounts of expenses during the reporting periods. Significant estimates and assumptions reflected in these unaudited condensed consolidated financial statements include, but are not limited to, the accrual and prepayment of research and development expenses, the fair value of share-based compensation, the initial recognition of the value of the equity interest and the fair value of warrants. Estimates are periodically reviewed in light of changes in circumstances, facts and experience. Changes in estimates are recorded in the period in which they become known. Actual results could differ from the Company’s estimates.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standards and recent accounting standards not yet adopted</w:t>
      </w:r>
    </w:p>
    <w:p>
      <w:pPr>
        <w:spacing w:after="0" w:line="9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There are no recently adopted accounting standards and recent accounting standards not yet adopted that the Company believes will have a material impact on the Company’s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Verona Pharma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Prepaid expenses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Prepaid expenses consisted of the following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September 30,</w:t>
            </w:r>
          </w:p>
        </w:tc>
        <w:tc>
          <w:tcPr>
            <w:tcW w:w="200" w:type="dxa"/>
            <w:vAlign w:val="bottom"/>
          </w:tcPr>
          <w:p>
            <w:pPr>
              <w:spacing w:after="0"/>
              <w:rPr>
                <w:sz w:val="16"/>
                <w:szCs w:val="16"/>
                <w:color w:val="auto"/>
              </w:rPr>
            </w:pPr>
          </w:p>
        </w:tc>
        <w:tc>
          <w:tcPr>
            <w:tcW w:w="1200" w:type="dxa"/>
            <w:vAlign w:val="bottom"/>
          </w:tcPr>
          <w:p>
            <w:pPr>
              <w:jc w:val="center"/>
              <w:ind w:right="116"/>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26"/>
        </w:trPr>
        <w:tc>
          <w:tcPr>
            <w:tcW w:w="83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8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jc w:val="center"/>
              <w:ind w:right="96"/>
              <w:spacing w:after="0"/>
              <w:rPr>
                <w:sz w:val="20"/>
                <w:szCs w:val="20"/>
                <w:color w:val="auto"/>
              </w:rPr>
            </w:pPr>
            <w:r>
              <w:rPr>
                <w:rFonts w:ascii="Arial" w:cs="Arial" w:eastAsia="Arial" w:hAnsi="Arial"/>
                <w:sz w:val="14"/>
                <w:szCs w:val="14"/>
                <w:b w:val="1"/>
                <w:bCs w:val="1"/>
                <w:color w:val="auto"/>
                <w:w w:val="96"/>
              </w:rPr>
              <w:t>2021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center"/>
              <w:ind w:right="116"/>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6"/>
        </w:trPr>
        <w:tc>
          <w:tcPr>
            <w:tcW w:w="8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Clinical trial and other development costs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2,551</w:t>
            </w:r>
          </w:p>
        </w:tc>
        <w:tc>
          <w:tcPr>
            <w:tcW w:w="0" w:type="dxa"/>
            <w:vAlign w:val="bottom"/>
          </w:tcPr>
          <w:p>
            <w:pPr>
              <w:spacing w:after="0"/>
              <w:rPr>
                <w:sz w:val="1"/>
                <w:szCs w:val="1"/>
                <w:color w:val="auto"/>
              </w:rPr>
            </w:pPr>
          </w:p>
        </w:tc>
      </w:tr>
      <w:tr>
        <w:trPr>
          <w:trHeight w:val="229"/>
        </w:trPr>
        <w:tc>
          <w:tcPr>
            <w:tcW w:w="8340" w:type="dxa"/>
            <w:vAlign w:val="bottom"/>
          </w:tcPr>
          <w:p>
            <w:pPr>
              <w:ind w:left="20"/>
              <w:spacing w:after="0"/>
              <w:rPr>
                <w:sz w:val="20"/>
                <w:szCs w:val="20"/>
                <w:color w:val="auto"/>
              </w:rPr>
            </w:pPr>
            <w:r>
              <w:rPr>
                <w:rFonts w:ascii="Arial" w:cs="Arial" w:eastAsia="Arial" w:hAnsi="Arial"/>
                <w:sz w:val="18"/>
                <w:szCs w:val="18"/>
                <w:color w:val="auto"/>
              </w:rPr>
              <w:t>Insurance</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2,713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1,701</w:t>
            </w:r>
          </w:p>
        </w:tc>
        <w:tc>
          <w:tcPr>
            <w:tcW w:w="0" w:type="dxa"/>
            <w:vAlign w:val="bottom"/>
          </w:tcPr>
          <w:p>
            <w:pPr>
              <w:spacing w:after="0"/>
              <w:rPr>
                <w:sz w:val="1"/>
                <w:szCs w:val="1"/>
                <w:color w:val="auto"/>
              </w:rPr>
            </w:pPr>
          </w:p>
        </w:tc>
      </w:tr>
      <w:tr>
        <w:trPr>
          <w:trHeight w:val="229"/>
        </w:trPr>
        <w:tc>
          <w:tcPr>
            <w:tcW w:w="8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23"/>
        </w:trPr>
        <w:tc>
          <w:tcPr>
            <w:tcW w:w="8340" w:type="dxa"/>
            <w:vAlign w:val="bottom"/>
          </w:tcPr>
          <w:p>
            <w:pPr>
              <w:ind w:left="20"/>
              <w:spacing w:after="0"/>
              <w:rPr>
                <w:sz w:val="20"/>
                <w:szCs w:val="20"/>
                <w:color w:val="auto"/>
              </w:rPr>
            </w:pPr>
            <w:r>
              <w:rPr>
                <w:rFonts w:ascii="Arial" w:cs="Arial" w:eastAsia="Arial" w:hAnsi="Arial"/>
                <w:sz w:val="18"/>
                <w:szCs w:val="18"/>
                <w:b w:val="1"/>
                <w:bCs w:val="1"/>
                <w:color w:val="auto"/>
              </w:rPr>
              <w:t>Total prepaid expenses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6,672</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4,538</w:t>
            </w:r>
          </w:p>
        </w:tc>
        <w:tc>
          <w:tcPr>
            <w:tcW w:w="0" w:type="dxa"/>
            <w:vAlign w:val="bottom"/>
          </w:tcPr>
          <w:p>
            <w:pPr>
              <w:spacing w:after="0"/>
              <w:rPr>
                <w:sz w:val="1"/>
                <w:szCs w:val="1"/>
                <w:color w:val="auto"/>
              </w:rPr>
            </w:pPr>
          </w:p>
        </w:tc>
      </w:tr>
      <w:tr>
        <w:trPr>
          <w:trHeight w:val="21"/>
        </w:trPr>
        <w:tc>
          <w:tcPr>
            <w:tcW w:w="8340" w:type="dxa"/>
            <w:vAlign w:val="bottom"/>
            <w:vMerge w:val="restart"/>
          </w:tcPr>
          <w:p>
            <w:pPr>
              <w:spacing w:after="0"/>
              <w:rPr>
                <w:sz w:val="20"/>
                <w:szCs w:val="20"/>
                <w:color w:val="auto"/>
              </w:rPr>
            </w:pPr>
            <w:r>
              <w:rPr>
                <w:rFonts w:ascii="Arial" w:cs="Arial" w:eastAsia="Arial" w:hAnsi="Arial"/>
                <w:sz w:val="18"/>
                <w:szCs w:val="18"/>
                <w:b w:val="1"/>
                <w:bCs w:val="1"/>
                <w:color w:val="auto"/>
              </w:rPr>
              <w:t>Note 4 - Tax and tax incentive receivables</w:t>
            </w: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7"/>
        </w:trPr>
        <w:tc>
          <w:tcPr>
            <w:tcW w:w="83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340" w:type="dxa"/>
            <w:vAlign w:val="bottom"/>
          </w:tcPr>
          <w:p>
            <w:pPr>
              <w:spacing w:after="0"/>
              <w:rPr>
                <w:sz w:val="20"/>
                <w:szCs w:val="20"/>
                <w:color w:val="auto"/>
              </w:rPr>
            </w:pPr>
            <w:r>
              <w:rPr>
                <w:rFonts w:ascii="Arial" w:cs="Arial" w:eastAsia="Arial" w:hAnsi="Arial"/>
                <w:sz w:val="18"/>
                <w:szCs w:val="18"/>
                <w:color w:val="auto"/>
              </w:rPr>
              <w:t>Tax and tax incentive receivables consisted of the following (in thousands):</w:t>
            </w: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8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September 30,</w:t>
            </w:r>
          </w:p>
        </w:tc>
        <w:tc>
          <w:tcPr>
            <w:tcW w:w="200" w:type="dxa"/>
            <w:vAlign w:val="bottom"/>
          </w:tcPr>
          <w:p>
            <w:pPr>
              <w:spacing w:after="0"/>
              <w:rPr>
                <w:sz w:val="24"/>
                <w:szCs w:val="24"/>
                <w:color w:val="auto"/>
              </w:rPr>
            </w:pPr>
          </w:p>
        </w:tc>
        <w:tc>
          <w:tcPr>
            <w:tcW w:w="1200" w:type="dxa"/>
            <w:vAlign w:val="bottom"/>
          </w:tcPr>
          <w:p>
            <w:pPr>
              <w:jc w:val="center"/>
              <w:ind w:right="116"/>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26"/>
        </w:trPr>
        <w:tc>
          <w:tcPr>
            <w:tcW w:w="83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8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jc w:val="center"/>
              <w:ind w:right="96"/>
              <w:spacing w:after="0"/>
              <w:rPr>
                <w:sz w:val="20"/>
                <w:szCs w:val="20"/>
                <w:color w:val="auto"/>
              </w:rPr>
            </w:pPr>
            <w:r>
              <w:rPr>
                <w:rFonts w:ascii="Arial" w:cs="Arial" w:eastAsia="Arial" w:hAnsi="Arial"/>
                <w:sz w:val="14"/>
                <w:szCs w:val="14"/>
                <w:b w:val="1"/>
                <w:bCs w:val="1"/>
                <w:color w:val="auto"/>
                <w:w w:val="96"/>
              </w:rPr>
              <w:t>2021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center"/>
              <w:ind w:right="116"/>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6"/>
        </w:trPr>
        <w:tc>
          <w:tcPr>
            <w:tcW w:w="8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 tax credit receivable - U.K.</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8,202</w:t>
            </w:r>
          </w:p>
        </w:tc>
        <w:tc>
          <w:tcPr>
            <w:tcW w:w="0" w:type="dxa"/>
            <w:vAlign w:val="bottom"/>
          </w:tcPr>
          <w:p>
            <w:pPr>
              <w:spacing w:after="0"/>
              <w:rPr>
                <w:sz w:val="1"/>
                <w:szCs w:val="1"/>
                <w:color w:val="auto"/>
              </w:rPr>
            </w:pPr>
          </w:p>
        </w:tc>
      </w:tr>
      <w:tr>
        <w:trPr>
          <w:trHeight w:val="230"/>
        </w:trPr>
        <w:tc>
          <w:tcPr>
            <w:tcW w:w="8340" w:type="dxa"/>
            <w:vAlign w:val="bottom"/>
          </w:tcPr>
          <w:p>
            <w:pPr>
              <w:ind w:left="20"/>
              <w:spacing w:after="0"/>
              <w:rPr>
                <w:sz w:val="20"/>
                <w:szCs w:val="20"/>
                <w:color w:val="auto"/>
              </w:rPr>
            </w:pPr>
            <w:r>
              <w:rPr>
                <w:rFonts w:ascii="Arial" w:cs="Arial" w:eastAsia="Arial" w:hAnsi="Arial"/>
                <w:sz w:val="18"/>
                <w:szCs w:val="18"/>
                <w:color w:val="auto"/>
              </w:rPr>
              <w:t>Tax receivable - U.S.</w:t>
            </w:r>
          </w:p>
        </w:tc>
        <w:tc>
          <w:tcPr>
            <w:tcW w:w="18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48"/>
        </w:trPr>
        <w:tc>
          <w:tcPr>
            <w:tcW w:w="8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tax receivable</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10,606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8,260</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Note 5 - Accrued expenses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4"/>
        </w:trPr>
        <w:tc>
          <w:tcPr>
            <w:tcW w:w="83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340" w:type="dxa"/>
            <w:vAlign w:val="bottom"/>
          </w:tcPr>
          <w:p>
            <w:pPr>
              <w:spacing w:after="0"/>
              <w:rPr>
                <w:sz w:val="20"/>
                <w:szCs w:val="20"/>
                <w:color w:val="auto"/>
              </w:rPr>
            </w:pPr>
            <w:r>
              <w:rPr>
                <w:rFonts w:ascii="Arial" w:cs="Arial" w:eastAsia="Arial" w:hAnsi="Arial"/>
                <w:sz w:val="18"/>
                <w:szCs w:val="18"/>
                <w:color w:val="auto"/>
              </w:rPr>
              <w:t>Accrued expenses consisted of the following (in thousands):</w:t>
            </w: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8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September 30,</w:t>
            </w:r>
          </w:p>
        </w:tc>
        <w:tc>
          <w:tcPr>
            <w:tcW w:w="200" w:type="dxa"/>
            <w:vAlign w:val="bottom"/>
          </w:tcPr>
          <w:p>
            <w:pPr>
              <w:spacing w:after="0"/>
              <w:rPr>
                <w:sz w:val="24"/>
                <w:szCs w:val="24"/>
                <w:color w:val="auto"/>
              </w:rPr>
            </w:pPr>
          </w:p>
        </w:tc>
        <w:tc>
          <w:tcPr>
            <w:tcW w:w="1200" w:type="dxa"/>
            <w:vAlign w:val="bottom"/>
          </w:tcPr>
          <w:p>
            <w:pPr>
              <w:jc w:val="center"/>
              <w:ind w:right="116"/>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25"/>
        </w:trPr>
        <w:tc>
          <w:tcPr>
            <w:tcW w:w="83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8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jc w:val="center"/>
              <w:ind w:right="96"/>
              <w:spacing w:after="0"/>
              <w:rPr>
                <w:sz w:val="20"/>
                <w:szCs w:val="20"/>
                <w:color w:val="auto"/>
              </w:rPr>
            </w:pPr>
            <w:r>
              <w:rPr>
                <w:rFonts w:ascii="Arial" w:cs="Arial" w:eastAsia="Arial" w:hAnsi="Arial"/>
                <w:sz w:val="14"/>
                <w:szCs w:val="14"/>
                <w:b w:val="1"/>
                <w:bCs w:val="1"/>
                <w:color w:val="auto"/>
                <w:w w:val="96"/>
              </w:rPr>
              <w:t>2021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center"/>
              <w:ind w:right="116"/>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5"/>
        </w:trPr>
        <w:tc>
          <w:tcPr>
            <w:tcW w:w="8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Clinical trial and other development costs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24,063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8,607</w:t>
            </w:r>
          </w:p>
        </w:tc>
        <w:tc>
          <w:tcPr>
            <w:tcW w:w="0" w:type="dxa"/>
            <w:vAlign w:val="bottom"/>
          </w:tcPr>
          <w:p>
            <w:pPr>
              <w:spacing w:after="0"/>
              <w:rPr>
                <w:sz w:val="1"/>
                <w:szCs w:val="1"/>
                <w:color w:val="auto"/>
              </w:rPr>
            </w:pPr>
          </w:p>
        </w:tc>
      </w:tr>
      <w:tr>
        <w:trPr>
          <w:trHeight w:val="229"/>
        </w:trPr>
        <w:tc>
          <w:tcPr>
            <w:tcW w:w="8340" w:type="dxa"/>
            <w:vAlign w:val="bottom"/>
          </w:tcPr>
          <w:p>
            <w:pPr>
              <w:ind w:left="20"/>
              <w:spacing w:after="0"/>
              <w:rPr>
                <w:sz w:val="20"/>
                <w:szCs w:val="20"/>
                <w:color w:val="auto"/>
              </w:rPr>
            </w:pPr>
            <w:r>
              <w:rPr>
                <w:rFonts w:ascii="Arial" w:cs="Arial" w:eastAsia="Arial" w:hAnsi="Arial"/>
                <w:sz w:val="18"/>
                <w:szCs w:val="18"/>
                <w:color w:val="auto"/>
              </w:rPr>
              <w:t>Professional fees and general corporate costs</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995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2,149</w:t>
            </w:r>
          </w:p>
        </w:tc>
        <w:tc>
          <w:tcPr>
            <w:tcW w:w="0" w:type="dxa"/>
            <w:vAlign w:val="bottom"/>
          </w:tcPr>
          <w:p>
            <w:pPr>
              <w:spacing w:after="0"/>
              <w:rPr>
                <w:sz w:val="1"/>
                <w:szCs w:val="1"/>
                <w:color w:val="auto"/>
              </w:rPr>
            </w:pPr>
          </w:p>
        </w:tc>
      </w:tr>
      <w:tr>
        <w:trPr>
          <w:trHeight w:val="230"/>
        </w:trPr>
        <w:tc>
          <w:tcPr>
            <w:tcW w:w="8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People related costs</w:t>
            </w: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1,399</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23"/>
        </w:trPr>
        <w:tc>
          <w:tcPr>
            <w:tcW w:w="8340" w:type="dxa"/>
            <w:vAlign w:val="bottom"/>
          </w:tcPr>
          <w:p>
            <w:pPr>
              <w:ind w:left="20"/>
              <w:spacing w:after="0"/>
              <w:rPr>
                <w:sz w:val="20"/>
                <w:szCs w:val="20"/>
                <w:color w:val="auto"/>
              </w:rPr>
            </w:pPr>
            <w:r>
              <w:rPr>
                <w:rFonts w:ascii="Arial" w:cs="Arial" w:eastAsia="Arial" w:hAnsi="Arial"/>
                <w:sz w:val="18"/>
                <w:szCs w:val="18"/>
                <w:b w:val="1"/>
                <w:bCs w:val="1"/>
                <w:color w:val="auto"/>
              </w:rPr>
              <w:t>Total accrued expenses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26,457</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10,863</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Verona Pharma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Warrants</w:t>
      </w:r>
    </w:p>
    <w:p>
      <w:pPr>
        <w:spacing w:after="0" w:line="20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In the periods ended September 30, 2021, and December 31, 2020, no warrants were exercised or forfeited. The warrants had no intrinsic value as of September 30, 2021.</w:t>
      </w:r>
    </w:p>
    <w:p>
      <w:pPr>
        <w:spacing w:after="0" w:line="62"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There have been no changes in valuation techniques or transfers between fair value measurement levels during the period ended September 30, 2021. They are measured at fair value and included at level 3 in the fair value hierarchy. The warrants are valued using the Black-Scholes model and the table below presents the assumptions used:</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20" w:type="dxa"/>
            <w:vAlign w:val="bottom"/>
            <w:gridSpan w:val="2"/>
          </w:tcPr>
          <w:p>
            <w:pPr>
              <w:ind w:left="140"/>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6"/>
                <w:szCs w:val="16"/>
                <w:color w:val="auto"/>
              </w:rPr>
            </w:pPr>
          </w:p>
        </w:tc>
        <w:tc>
          <w:tcPr>
            <w:tcW w:w="1420" w:type="dxa"/>
            <w:vAlign w:val="bottom"/>
          </w:tcPr>
          <w:p>
            <w:pPr>
              <w:jc w:val="right"/>
              <w:ind w:right="334"/>
              <w:spacing w:after="0"/>
              <w:rPr>
                <w:sz w:val="20"/>
                <w:szCs w:val="20"/>
                <w:color w:val="auto"/>
              </w:rPr>
            </w:pPr>
            <w:r>
              <w:rPr>
                <w:rFonts w:ascii="Arial" w:cs="Arial" w:eastAsia="Arial" w:hAnsi="Arial"/>
                <w:sz w:val="14"/>
                <w:szCs w:val="14"/>
                <w:b w:val="1"/>
                <w:bCs w:val="1"/>
                <w:color w:val="auto"/>
              </w:rPr>
              <w:t>December 31,</w:t>
            </w:r>
          </w:p>
        </w:tc>
      </w:tr>
      <w:tr>
        <w:trPr>
          <w:trHeight w:val="26"/>
        </w:trPr>
        <w:tc>
          <w:tcPr>
            <w:tcW w:w="77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84"/>
        </w:trPr>
        <w:tc>
          <w:tcPr>
            <w:tcW w:w="7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Pr>
          <w:p>
            <w:pPr>
              <w:jc w:val="right"/>
              <w:ind w:right="594"/>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tcPr>
          <w:p>
            <w:pPr>
              <w:jc w:val="right"/>
              <w:ind w:right="614"/>
              <w:spacing w:after="0"/>
              <w:rPr>
                <w:sz w:val="20"/>
                <w:szCs w:val="20"/>
                <w:color w:val="auto"/>
              </w:rPr>
            </w:pPr>
            <w:r>
              <w:rPr>
                <w:rFonts w:ascii="Arial" w:cs="Arial" w:eastAsia="Arial" w:hAnsi="Arial"/>
                <w:sz w:val="14"/>
                <w:szCs w:val="14"/>
                <w:b w:val="1"/>
                <w:bCs w:val="1"/>
                <w:color w:val="auto"/>
              </w:rPr>
              <w:t>2020</w:t>
            </w:r>
          </w:p>
        </w:tc>
      </w:tr>
      <w:tr>
        <w:trPr>
          <w:trHeight w:val="26"/>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23"/>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potentially issued under warrants</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12,401,262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12,401,262</w:t>
            </w: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color w:val="auto"/>
              </w:rPr>
              <w:t>Exercise price in pounds sterling</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34"/>
              <w:spacing w:after="0"/>
              <w:rPr>
                <w:sz w:val="20"/>
                <w:szCs w:val="20"/>
                <w:color w:val="auto"/>
              </w:rPr>
            </w:pPr>
            <w:r>
              <w:rPr>
                <w:rFonts w:ascii="Arial" w:cs="Arial" w:eastAsia="Arial" w:hAnsi="Arial"/>
                <w:sz w:val="18"/>
                <w:szCs w:val="18"/>
                <w:color w:val="auto"/>
              </w:rPr>
              <w:t>1.7238</w:t>
            </w:r>
          </w:p>
        </w:tc>
        <w:tc>
          <w:tcPr>
            <w:tcW w:w="12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34"/>
              <w:spacing w:after="0"/>
              <w:rPr>
                <w:sz w:val="20"/>
                <w:szCs w:val="20"/>
                <w:color w:val="auto"/>
              </w:rPr>
            </w:pPr>
            <w:r>
              <w:rPr>
                <w:rFonts w:ascii="Arial" w:cs="Arial" w:eastAsia="Arial" w:hAnsi="Arial"/>
                <w:sz w:val="18"/>
                <w:szCs w:val="18"/>
                <w:color w:val="auto"/>
              </w:rPr>
              <w:t>1.7238</w:t>
            </w:r>
          </w:p>
        </w:tc>
      </w:tr>
      <w:tr>
        <w:trPr>
          <w:trHeight w:val="229"/>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Expected term to exercise</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Annualized volatility</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105.4 %</w:t>
            </w: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Dividend rate</w:t>
            </w:r>
          </w:p>
        </w:tc>
        <w:tc>
          <w:tcPr>
            <w:tcW w:w="260" w:type="dxa"/>
            <w:vAlign w:val="bottom"/>
          </w:tcPr>
          <w:p>
            <w:pPr>
              <w:spacing w:after="0"/>
              <w:rPr>
                <w:sz w:val="19"/>
                <w:szCs w:val="19"/>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 %</w:t>
            </w: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54"/>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Calculated value of the warrants, in thousands of U.S. dollars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2,246</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For the amount recognized at September 30, 2021, the effect when the following parameter deviates up or down is presented in the below table (in thousands):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 volatility increase</w:t>
            </w:r>
          </w:p>
        </w:tc>
        <w:tc>
          <w:tcPr>
            <w:tcW w:w="44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29"/>
        </w:trPr>
        <w:tc>
          <w:tcPr>
            <w:tcW w:w="5980" w:type="dxa"/>
            <w:vAlign w:val="bottom"/>
          </w:tcPr>
          <w:p>
            <w:pPr>
              <w:ind w:left="20"/>
              <w:spacing w:after="0"/>
              <w:rPr>
                <w:sz w:val="20"/>
                <w:szCs w:val="20"/>
                <w:color w:val="auto"/>
              </w:rPr>
            </w:pPr>
            <w:r>
              <w:rPr>
                <w:rFonts w:ascii="Arial" w:cs="Arial" w:eastAsia="Arial" w:hAnsi="Arial"/>
                <w:sz w:val="18"/>
                <w:szCs w:val="18"/>
                <w:b w:val="1"/>
                <w:bCs w:val="1"/>
                <w:color w:val="auto"/>
              </w:rPr>
              <w:t>Base case, reported fair value</w:t>
            </w:r>
          </w:p>
        </w:tc>
        <w:tc>
          <w:tcPr>
            <w:tcW w:w="4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 volatility decrease</w:t>
            </w:r>
          </w:p>
        </w:tc>
        <w:tc>
          <w:tcPr>
            <w:tcW w:w="44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Term loan</w:t>
      </w:r>
    </w:p>
    <w:p>
      <w:pPr>
        <w:spacing w:after="0" w:line="202"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In November 2020, the Company entered into a term loan facility of up to $30.0 million (the “Term Loan”), consisting of advances of $5.0 million funded at closing and $10.0 million and $15.0 million contingent upon achievement of certain clinical development milestones and other specified conditions. As of September 30, 2021, the Company had $5.0 million principal outstanding under the Term Loan.</w:t>
      </w:r>
    </w:p>
    <w:p>
      <w:pPr>
        <w:spacing w:after="0" w:line="67"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As of September 30, 2021, the carrying value of the Term Loan was approximately $4.8 million, of which all was due in more than 12 months. The debt balance has been categorized within Level 3 of the fair value hierarchy. The carrying amount of the debt approximates its fair value based on prevailing interest rates as of the balance sheet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Verona Pharma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Significant agreements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Ligand agreement</w:t>
      </w:r>
    </w:p>
    <w:p>
      <w:pPr>
        <w:spacing w:after="0" w:line="9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In 2006 the Company acquired Rhinopharma and assumed contingent liabilities owed to Ligand UK Development Limited (“Ligand”) (formerly Vernalis Development Limited). The Company refers to the assignment and license agreement as the Ligand Agreement.</w:t>
      </w:r>
    </w:p>
    <w:p>
      <w:pPr>
        <w:spacing w:after="0" w:line="62"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Ligand assigned to the Company all of its rights to certain patents and patent applications relating to ensifentrine and related compounds (the “Ligand Patents”) and an exclusive, worldwide, royalty-bearing license under certain Ligand know-how to develop, manufacture and commercialize products (the “Ligand Licensed Products”) developed using Ligand Patents, Ligand know-how and the physical stock of certain compounds.</w:t>
      </w:r>
    </w:p>
    <w:p>
      <w:pPr>
        <w:spacing w:after="0" w:line="57"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contingent liability comprises a milestone payment on obtaining the first approval of any regulatory authority for the commercialization of a Ligand Licensed Product, low single digit royalties based on the future sales performance of all Ligand Licensed Products and a portion equal to a mid-twenty percent of any consideration received from any sub-licensees for the Ligand Patents and for Ligand know-how.</w:t>
      </w:r>
    </w:p>
    <w:p>
      <w:pPr>
        <w:spacing w:after="0" w:line="67"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At the time of the acquisition the contingent liability was not recognized as part of the acquisition accounting as it was immaterial. The Company will therefore record as a research and development expense the milestone payment or royalties when they are probable.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Nuance agreement</w:t>
      </w:r>
    </w:p>
    <w:p>
      <w:pPr>
        <w:spacing w:after="0" w:line="90"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The Company entered into a collaboration and license agreement (the “Nuance Agreement”) with Nuance Pharma Limited (“Nuance Pharma”) effective June 9, 2021 (the “Effective Date”) under which the Company granted Nuance Pharma the exclusive rights to develop and commercialize ensifentrine in Greater China (China, Taiwan, Hong Kong and Macau). In return, the Company received an unconditional right to consideration aggregating $40.0 million consisting of $25.0 million in cash and an equity interest, valued at $15.0 million as of the Effective Date, in Nuance Biotech, the parent company of Nuance Pharma. The Company is eligible to receive future milestone payments of up to $179.0 million triggered upon achievement of certain clinical, regulatory, and commercial milestones, as well as tiered double-digit royalties as a percentage of net sales of the products in Greater China.</w:t>
      </w:r>
    </w:p>
    <w:p>
      <w:pPr>
        <w:spacing w:after="0" w:line="55"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As of September 30, 2021, the $25.0 million cash payment and $15.0 million equity interest had been received and the holding in Nuance Biotech was recorded as Equity Interest on the Condensed Consolidated Balance Sheet. The Equity Interest is recorded at the fair value indicated by the last observable transaction in Nuance Biotech’s stock, which was a fund raising in November, 2020. As of September 30, 2021, there had been no other transactions to indicate any price changes in the value of Nuance Biotech’s stock, nor had there been any indications of impairment. The Equity Interest is therefore recorded at a value of $15 million.</w:t>
      </w:r>
    </w:p>
    <w:p>
      <w:pPr>
        <w:spacing w:after="0" w:line="70"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Under the terms of the Nuance Agreement, at any time until three months prior to the expected submission of the first New Drug Application in Greater China, if (i) a third party is interested in partnering with the Company, either globally or in territory covering at least the United States or Europe, for the development and/or commercialization of ensifentrine or (ii) the Company undergoes a change of control, the Company will have an exclusive option right to buy back the license granted to Nuance Pharma and all related assets. The price is agreed to be equal to the aggregate of (i) all prior amounts paid by Nuance Pharma to the Company in cash under the agreement and (ii) all development and regulatory costs incurred and paid by Nuance Pharma in connection with the development and commercialization of ensifentrine under the Nuance Agreement multiplied by a single-digit factor range dependent upon achievement of certain milestones, subject to a specified maximum amount.</w:t>
      </w:r>
    </w:p>
    <w:p>
      <w:pPr>
        <w:spacing w:after="0" w:line="68"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The Nuance Agreement will continue on a jurisdiction-by-jurisdiction and product-by-product basis until the expiration of royalty payment obligations with respect to such product in such jurisdiction unless earlier terminated by the parties. Either party may terminate the Nuance Agreement for an uncured material breach or bankruptcy of the other party. Nuance Pharma may also terminate the Nuance Agreement at will upon 90 days' prior written notice.</w:t>
      </w:r>
    </w:p>
    <w:p>
      <w:pPr>
        <w:spacing w:after="0" w:line="4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Company reviewed the buy-back option and determined that because it is conditional on a third party the Company does not have the practical ability to exercise it and, accordingly, the contract is accounted for under ASC 606.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18"/>
          <w:szCs w:val="18"/>
          <w:b w:val="1"/>
          <w:bCs w:val="1"/>
          <w:color w:val="auto"/>
        </w:rPr>
        <w:t>Verona Pharma plc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The transaction price at the Effective Date of the Nuance Agreement was $40.0 million consisting of the $25.0 million upfront cash payment and $15.0 million equity interest. Developmental and regulatory milestones, and the manufacture and supply of ensifentrine drug product, were not included in the transaction price as management determined that it is not probable that a significant reversal in the amount of cumulative revenue recognized will not occur. Commercial milestones and sales royalties were also excluded and will be recognized when the milestones are achieved or the sales occur in Greater China.</w:t>
      </w:r>
    </w:p>
    <w:p>
      <w:pPr>
        <w:spacing w:after="0" w:line="70" w:lineRule="exact"/>
        <w:rPr>
          <w:sz w:val="20"/>
          <w:szCs w:val="20"/>
          <w:color w:val="auto"/>
        </w:rPr>
      </w:pPr>
    </w:p>
    <w:p>
      <w:pPr>
        <w:jc w:val="both"/>
        <w:spacing w:after="0" w:line="307" w:lineRule="auto"/>
        <w:rPr>
          <w:sz w:val="20"/>
          <w:szCs w:val="20"/>
          <w:color w:val="auto"/>
        </w:rPr>
      </w:pPr>
      <w:r>
        <w:rPr>
          <w:rFonts w:ascii="Arial" w:cs="Arial" w:eastAsia="Arial" w:hAnsi="Arial"/>
          <w:sz w:val="16"/>
          <w:szCs w:val="16"/>
          <w:color w:val="auto"/>
        </w:rPr>
        <w:t>The performance obligations in the Nuance Agreement include the grant of the license (including the right to commercialize ensifentrine until the end of the term, the sharing of certain know how, and the sharing of certain clinical and regulatory data), and manufacture and supply of ensifentrine drug product.</w:t>
      </w:r>
    </w:p>
    <w:p>
      <w:pPr>
        <w:spacing w:after="0" w:line="15"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The Company has determined that the license and the know how shared with Nuance Pharma constitutes functional intellectual property and that revenue relating to this should be recognized at a point in time. Consequently, the Company determined that it fulfilled its obligations to Nuance Pharma after it delivered the know how that will allow Nuance Pharma to file an investigational new drug application in Greater China. This know how was delivered in the three months ended September 30, 2021, and the $40.0 million revenue was therefore recognized as revenue in this period. Revenue relating to the manufacture and supply obligations will be recognized when the drug product is delivered.</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color w:val="auto"/>
        </w:rPr>
        <w:t>The Company has reviewed the two performance obligations in the Nuance Agreement and has determined that these are priced at fair value.</w:t>
      </w:r>
    </w:p>
    <w:p>
      <w:pPr>
        <w:spacing w:after="0" w:line="10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On the Effective Date, $4.0 million of costs of obtaining the contract were recorded as a contract asset. As of September 30, 2021, the entire cost had been recognized in the Condensed Consolidated Statement of Operations.</w:t>
      </w:r>
    </w:p>
    <w:p>
      <w:pPr>
        <w:spacing w:after="0" w:line="62"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Subsequent to the Effective Date, Ligand notified the Company that it believes that Nuance Pharma is a sub-licensee under the Ligand Agreement and that the Company is therefore under an obligation to make a sublicense payment to Ligand equal to 25% of the $40.0 million upfront transaction price. The Company does not believe it has granted a sublicense of or otherwise transferred to Nuance any Ligand intellectual property or know how and therefore the Company believes that it is not under any obligation to pay the requested sum to Ligand.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Verona Pharma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Share-based compensation</w:t>
      </w:r>
    </w:p>
    <w:p>
      <w:pPr>
        <w:spacing w:after="0" w:line="202"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The following table shows the allocation of share-based compensation between research and development and selling, general and administrative costs (in thousands):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60" w:type="dxa"/>
            <w:vAlign w:val="bottom"/>
            <w:gridSpan w:val="6"/>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140" w:type="dxa"/>
            <w:vAlign w:val="bottom"/>
          </w:tcPr>
          <w:p>
            <w:pPr>
              <w:spacing w:after="0"/>
              <w:rPr>
                <w:sz w:val="16"/>
                <w:szCs w:val="16"/>
                <w:color w:val="auto"/>
              </w:rPr>
            </w:pPr>
          </w:p>
        </w:tc>
        <w:tc>
          <w:tcPr>
            <w:tcW w:w="2740" w:type="dxa"/>
            <w:vAlign w:val="bottom"/>
            <w:gridSpan w:val="6"/>
          </w:tcPr>
          <w:p>
            <w:pPr>
              <w:jc w:val="right"/>
              <w:ind w:right="294"/>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6"/>
        </w:trPr>
        <w:tc>
          <w:tcPr>
            <w:tcW w:w="53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right"/>
              <w:ind w:right="457"/>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jc w:val="right"/>
              <w:ind w:right="45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center"/>
              <w:ind w:right="35"/>
              <w:spacing w:after="0"/>
              <w:rPr>
                <w:sz w:val="20"/>
                <w:szCs w:val="20"/>
                <w:color w:val="auto"/>
              </w:rPr>
            </w:pPr>
            <w:r>
              <w:rPr>
                <w:rFonts w:ascii="Arial" w:cs="Arial" w:eastAsia="Arial" w:hAnsi="Arial"/>
                <w:sz w:val="14"/>
                <w:szCs w:val="14"/>
                <w:b w:val="1"/>
                <w:bCs w:val="1"/>
                <w:color w:val="auto"/>
                <w:w w:val="96"/>
              </w:rPr>
              <w:t>2021</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center"/>
              <w:ind w:right="34"/>
              <w:spacing w:after="0"/>
              <w:rPr>
                <w:sz w:val="20"/>
                <w:szCs w:val="20"/>
                <w:color w:val="auto"/>
              </w:rPr>
            </w:pPr>
            <w:r>
              <w:rPr>
                <w:rFonts w:ascii="Arial" w:cs="Arial" w:eastAsia="Arial" w:hAnsi="Arial"/>
                <w:sz w:val="14"/>
                <w:szCs w:val="14"/>
                <w:b w:val="1"/>
                <w:bCs w:val="1"/>
                <w:color w:val="auto"/>
                <w:w w:val="96"/>
              </w:rPr>
              <w:t>2020</w:t>
            </w:r>
          </w:p>
        </w:tc>
        <w:tc>
          <w:tcPr>
            <w:tcW w:w="0" w:type="dxa"/>
            <w:vAlign w:val="bottom"/>
          </w:tcPr>
          <w:p>
            <w:pPr>
              <w:spacing w:after="0"/>
              <w:rPr>
                <w:sz w:val="1"/>
                <w:szCs w:val="1"/>
                <w:color w:val="auto"/>
              </w:rPr>
            </w:pPr>
          </w:p>
        </w:tc>
      </w:tr>
      <w:tr>
        <w:trPr>
          <w:trHeight w:val="26"/>
        </w:trPr>
        <w:tc>
          <w:tcPr>
            <w:tcW w:w="53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3,738</w:t>
            </w:r>
          </w:p>
        </w:tc>
        <w:tc>
          <w:tcPr>
            <w:tcW w:w="0" w:type="dxa"/>
            <w:vAlign w:val="bottom"/>
          </w:tcPr>
          <w:p>
            <w:pPr>
              <w:spacing w:after="0"/>
              <w:rPr>
                <w:sz w:val="1"/>
                <w:szCs w:val="1"/>
                <w:color w:val="auto"/>
              </w:rPr>
            </w:pPr>
          </w:p>
        </w:tc>
      </w:tr>
      <w:tr>
        <w:trPr>
          <w:trHeight w:val="230"/>
        </w:trPr>
        <w:tc>
          <w:tcPr>
            <w:tcW w:w="5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3,739</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13,106</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5,565</w:t>
            </w:r>
          </w:p>
        </w:tc>
        <w:tc>
          <w:tcPr>
            <w:tcW w:w="0" w:type="dxa"/>
            <w:vAlign w:val="bottom"/>
          </w:tcPr>
          <w:p>
            <w:pPr>
              <w:spacing w:after="0"/>
              <w:rPr>
                <w:sz w:val="1"/>
                <w:szCs w:val="1"/>
                <w:color w:val="auto"/>
              </w:rPr>
            </w:pPr>
          </w:p>
        </w:tc>
      </w:tr>
      <w:tr>
        <w:trPr>
          <w:trHeight w:val="248"/>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21,238</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9,303</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i w:val="1"/>
                <w:iCs w:val="1"/>
                <w:color w:val="auto"/>
              </w:rPr>
              <w:t>Share options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53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360" w:type="dxa"/>
            <w:vAlign w:val="bottom"/>
          </w:tcPr>
          <w:p>
            <w:pPr>
              <w:spacing w:after="0"/>
              <w:rPr>
                <w:sz w:val="20"/>
                <w:szCs w:val="20"/>
                <w:color w:val="auto"/>
              </w:rPr>
            </w:pPr>
            <w:r>
              <w:rPr>
                <w:rFonts w:ascii="Arial" w:cs="Arial" w:eastAsia="Arial" w:hAnsi="Arial"/>
                <w:sz w:val="18"/>
                <w:szCs w:val="18"/>
                <w:color w:val="auto"/>
              </w:rPr>
              <w:t>The following table shows share option activity in the period:</w:t>
            </w: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5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gridSpan w:val="5"/>
          </w:tcPr>
          <w:p>
            <w:pPr>
              <w:jc w:val="right"/>
              <w:spacing w:after="0"/>
              <w:rPr>
                <w:sz w:val="20"/>
                <w:szCs w:val="20"/>
                <w:color w:val="auto"/>
              </w:rPr>
            </w:pPr>
            <w:r>
              <w:rPr>
                <w:rFonts w:ascii="Arial" w:cs="Arial" w:eastAsia="Arial" w:hAnsi="Arial"/>
                <w:sz w:val="14"/>
                <w:szCs w:val="14"/>
                <w:b w:val="1"/>
                <w:bCs w:val="1"/>
                <w:color w:val="auto"/>
              </w:rPr>
              <w:t>2021</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5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4"/>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5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gridSpan w:val="4"/>
          </w:tcPr>
          <w:p>
            <w:pPr>
              <w:jc w:val="center"/>
              <w:ind w:right="280"/>
              <w:spacing w:after="0" w:line="160" w:lineRule="exact"/>
              <w:rPr>
                <w:sz w:val="20"/>
                <w:szCs w:val="20"/>
                <w:color w:val="auto"/>
              </w:rPr>
            </w:pPr>
            <w:r>
              <w:rPr>
                <w:rFonts w:ascii="Arial" w:cs="Arial" w:eastAsia="Arial" w:hAnsi="Arial"/>
                <w:sz w:val="14"/>
                <w:szCs w:val="14"/>
                <w:b w:val="1"/>
                <w:bCs w:val="1"/>
                <w:color w:val="auto"/>
                <w:w w:val="93"/>
              </w:rPr>
              <w:t>Number of share</w:t>
            </w:r>
          </w:p>
        </w:tc>
        <w:tc>
          <w:tcPr>
            <w:tcW w:w="120" w:type="dxa"/>
            <w:vAlign w:val="bottom"/>
          </w:tcPr>
          <w:p>
            <w:pPr>
              <w:spacing w:after="0"/>
              <w:rPr>
                <w:sz w:val="13"/>
                <w:szCs w:val="13"/>
                <w:color w:val="auto"/>
              </w:rPr>
            </w:pPr>
          </w:p>
        </w:tc>
        <w:tc>
          <w:tcPr>
            <w:tcW w:w="1260" w:type="dxa"/>
            <w:vAlign w:val="bottom"/>
          </w:tcPr>
          <w:p>
            <w:pPr>
              <w:jc w:val="center"/>
              <w:ind w:right="34"/>
              <w:spacing w:after="0" w:line="160" w:lineRule="exact"/>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86"/>
        </w:trPr>
        <w:tc>
          <w:tcPr>
            <w:tcW w:w="5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0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0"/>
              </w:rPr>
              <w:t>options outstanding</w:t>
            </w:r>
          </w:p>
        </w:tc>
        <w:tc>
          <w:tcPr>
            <w:tcW w:w="120" w:type="dxa"/>
            <w:vAlign w:val="bottom"/>
          </w:tcPr>
          <w:p>
            <w:pPr>
              <w:spacing w:after="0"/>
              <w:rPr>
                <w:sz w:val="16"/>
                <w:szCs w:val="16"/>
                <w:color w:val="auto"/>
              </w:rPr>
            </w:pPr>
          </w:p>
        </w:tc>
        <w:tc>
          <w:tcPr>
            <w:tcW w:w="1260" w:type="dxa"/>
            <w:vAlign w:val="bottom"/>
          </w:tcPr>
          <w:p>
            <w:pPr>
              <w:jc w:val="center"/>
              <w:ind w:right="54"/>
              <w:spacing w:after="0"/>
              <w:rPr>
                <w:sz w:val="20"/>
                <w:szCs w:val="20"/>
                <w:color w:val="auto"/>
              </w:rPr>
            </w:pPr>
            <w:r>
              <w:rPr>
                <w:rFonts w:ascii="Arial" w:cs="Arial" w:eastAsia="Arial" w:hAnsi="Arial"/>
                <w:sz w:val="14"/>
                <w:szCs w:val="14"/>
                <w:b w:val="1"/>
                <w:bCs w:val="1"/>
                <w:color w:val="auto"/>
                <w:w w:val="89"/>
              </w:rPr>
              <w:t>exercise price</w:t>
            </w:r>
          </w:p>
        </w:tc>
        <w:tc>
          <w:tcPr>
            <w:tcW w:w="0" w:type="dxa"/>
            <w:vAlign w:val="bottom"/>
          </w:tcPr>
          <w:p>
            <w:pPr>
              <w:spacing w:after="0"/>
              <w:rPr>
                <w:sz w:val="1"/>
                <w:szCs w:val="1"/>
                <w:color w:val="auto"/>
              </w:rPr>
            </w:pPr>
          </w:p>
        </w:tc>
      </w:tr>
      <w:tr>
        <w:trPr>
          <w:trHeight w:val="26"/>
        </w:trPr>
        <w:tc>
          <w:tcPr>
            <w:tcW w:w="536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Outstanding at January 1</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13,125,672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29"/>
        </w:trPr>
        <w:tc>
          <w:tcPr>
            <w:tcW w:w="5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24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(996,720)</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48"/>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Outstanding at March 31</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12,128,952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Granted</w:t>
            </w:r>
          </w:p>
        </w:tc>
        <w:tc>
          <w:tcPr>
            <w:tcW w:w="2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360" w:type="dxa"/>
            <w:vAlign w:val="bottom"/>
            <w:tcBorders>
              <w:bottom w:val="single" w:sz="8" w:color="CCEEFF"/>
            </w:tcBorders>
            <w:vMerge w:val="continue"/>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11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CCEEFF"/>
            </w:tcBorders>
          </w:tcPr>
          <w:p>
            <w:pPr>
              <w:spacing w:after="0"/>
              <w:rPr>
                <w:sz w:val="17"/>
                <w:szCs w:val="17"/>
                <w:color w:val="auto"/>
              </w:rPr>
            </w:pPr>
          </w:p>
        </w:tc>
        <w:tc>
          <w:tcPr>
            <w:tcW w:w="10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800,000</w:t>
            </w: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0.73</w:t>
            </w:r>
          </w:p>
        </w:tc>
        <w:tc>
          <w:tcPr>
            <w:tcW w:w="0" w:type="dxa"/>
            <w:vAlign w:val="bottom"/>
          </w:tcPr>
          <w:p>
            <w:pPr>
              <w:spacing w:after="0"/>
              <w:rPr>
                <w:sz w:val="1"/>
                <w:szCs w:val="1"/>
                <w:color w:val="auto"/>
              </w:rPr>
            </w:pPr>
          </w:p>
        </w:tc>
      </w:tr>
      <w:tr>
        <w:trPr>
          <w:trHeight w:val="248"/>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Outstanding at June 30</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12,928,952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Granted</w:t>
            </w:r>
          </w:p>
        </w:tc>
        <w:tc>
          <w:tcPr>
            <w:tcW w:w="2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36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Arial" w:cs="Arial" w:eastAsia="Arial" w:hAnsi="Arial"/>
                <w:sz w:val="18"/>
                <w:szCs w:val="18"/>
                <w:color w:val="auto"/>
              </w:rPr>
              <w:t>576,000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Arial" w:cs="Arial" w:eastAsia="Arial" w:hAnsi="Arial"/>
                <w:sz w:val="18"/>
                <w:szCs w:val="18"/>
                <w:color w:val="auto"/>
              </w:rPr>
              <w:t>0.78</w:t>
            </w: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(638,112)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0.75</w:t>
            </w:r>
          </w:p>
        </w:tc>
        <w:tc>
          <w:tcPr>
            <w:tcW w:w="0" w:type="dxa"/>
            <w:vAlign w:val="bottom"/>
          </w:tcPr>
          <w:p>
            <w:pPr>
              <w:spacing w:after="0"/>
              <w:rPr>
                <w:sz w:val="1"/>
                <w:szCs w:val="1"/>
                <w:color w:val="auto"/>
              </w:rPr>
            </w:pPr>
          </w:p>
        </w:tc>
      </w:tr>
      <w:tr>
        <w:trPr>
          <w:trHeight w:val="223"/>
        </w:trPr>
        <w:tc>
          <w:tcPr>
            <w:tcW w:w="5360" w:type="dxa"/>
            <w:vAlign w:val="bottom"/>
          </w:tcPr>
          <w:p>
            <w:pPr>
              <w:ind w:left="20"/>
              <w:spacing w:after="0"/>
              <w:rPr>
                <w:sz w:val="20"/>
                <w:szCs w:val="20"/>
                <w:color w:val="auto"/>
              </w:rPr>
            </w:pPr>
            <w:r>
              <w:rPr>
                <w:rFonts w:ascii="Arial" w:cs="Arial" w:eastAsia="Arial" w:hAnsi="Arial"/>
                <w:sz w:val="18"/>
                <w:szCs w:val="18"/>
                <w:b w:val="1"/>
                <w:bCs w:val="1"/>
                <w:color w:val="auto"/>
              </w:rPr>
              <w:t>Outstanding at September 30</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12,866,840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 activity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restricted stock unit (“RSU”) activity in the period: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40" w:type="dxa"/>
            <w:vAlign w:val="bottom"/>
          </w:tcPr>
          <w:p>
            <w:pPr>
              <w:spacing w:after="0"/>
              <w:rPr>
                <w:sz w:val="16"/>
                <w:szCs w:val="16"/>
                <w:color w:val="auto"/>
              </w:rPr>
            </w:pPr>
          </w:p>
        </w:tc>
        <w:tc>
          <w:tcPr>
            <w:tcW w:w="162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2021</w:t>
            </w:r>
          </w:p>
        </w:tc>
        <w:tc>
          <w:tcPr>
            <w:tcW w:w="1280" w:type="dxa"/>
            <w:vAlign w:val="bottom"/>
          </w:tcPr>
          <w:p>
            <w:pPr>
              <w:spacing w:after="0"/>
              <w:rPr>
                <w:sz w:val="16"/>
                <w:szCs w:val="16"/>
                <w:color w:val="auto"/>
              </w:rPr>
            </w:pPr>
          </w:p>
        </w:tc>
      </w:tr>
      <w:tr>
        <w:trPr>
          <w:trHeight w:val="25"/>
        </w:trPr>
        <w:tc>
          <w:tcPr>
            <w:tcW w:w="834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60"/>
        </w:trPr>
        <w:tc>
          <w:tcPr>
            <w:tcW w:w="83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jc w:val="center"/>
              <w:ind w:right="19"/>
              <w:spacing w:after="0" w:line="160" w:lineRule="exact"/>
              <w:rPr>
                <w:sz w:val="20"/>
                <w:szCs w:val="20"/>
                <w:color w:val="auto"/>
              </w:rPr>
            </w:pPr>
            <w:r>
              <w:rPr>
                <w:rFonts w:ascii="Arial" w:cs="Arial" w:eastAsia="Arial" w:hAnsi="Arial"/>
                <w:sz w:val="14"/>
                <w:szCs w:val="14"/>
                <w:b w:val="1"/>
                <w:bCs w:val="1"/>
                <w:color w:val="auto"/>
                <w:w w:val="91"/>
              </w:rPr>
              <w:t>Weighted average</w:t>
            </w:r>
          </w:p>
        </w:tc>
      </w:tr>
      <w:tr>
        <w:trPr>
          <w:trHeight w:val="162"/>
        </w:trPr>
        <w:tc>
          <w:tcPr>
            <w:tcW w:w="83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jc w:val="center"/>
              <w:ind w:right="19"/>
              <w:spacing w:after="0"/>
              <w:rPr>
                <w:sz w:val="20"/>
                <w:szCs w:val="20"/>
                <w:color w:val="auto"/>
              </w:rPr>
            </w:pPr>
            <w:r>
              <w:rPr>
                <w:rFonts w:ascii="Arial" w:cs="Arial" w:eastAsia="Arial" w:hAnsi="Arial"/>
                <w:sz w:val="14"/>
                <w:szCs w:val="14"/>
                <w:b w:val="1"/>
                <w:bCs w:val="1"/>
                <w:color w:val="auto"/>
                <w:w w:val="92"/>
              </w:rPr>
              <w:t>remaining</w:t>
            </w:r>
          </w:p>
        </w:tc>
      </w:tr>
      <w:tr>
        <w:trPr>
          <w:trHeight w:val="162"/>
        </w:trPr>
        <w:tc>
          <w:tcPr>
            <w:tcW w:w="8340" w:type="dxa"/>
            <w:vAlign w:val="bottom"/>
          </w:tcPr>
          <w:p>
            <w:pPr>
              <w:spacing w:after="0"/>
              <w:rPr>
                <w:sz w:val="14"/>
                <w:szCs w:val="14"/>
                <w:color w:val="auto"/>
              </w:rPr>
            </w:pPr>
          </w:p>
        </w:tc>
        <w:tc>
          <w:tcPr>
            <w:tcW w:w="16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5"/>
              </w:rPr>
              <w:t>Number of RSUs</w:t>
            </w:r>
          </w:p>
        </w:tc>
        <w:tc>
          <w:tcPr>
            <w:tcW w:w="1280" w:type="dxa"/>
            <w:vAlign w:val="bottom"/>
          </w:tcPr>
          <w:p>
            <w:pPr>
              <w:jc w:val="center"/>
              <w:ind w:right="39"/>
              <w:spacing w:after="0"/>
              <w:rPr>
                <w:sz w:val="20"/>
                <w:szCs w:val="20"/>
                <w:color w:val="auto"/>
              </w:rPr>
            </w:pPr>
            <w:r>
              <w:rPr>
                <w:rFonts w:ascii="Arial" w:cs="Arial" w:eastAsia="Arial" w:hAnsi="Arial"/>
                <w:sz w:val="14"/>
                <w:szCs w:val="14"/>
                <w:b w:val="1"/>
                <w:bCs w:val="1"/>
                <w:color w:val="auto"/>
                <w:w w:val="94"/>
              </w:rPr>
              <w:t>contractual term</w:t>
            </w:r>
          </w:p>
        </w:tc>
      </w:tr>
      <w:tr>
        <w:trPr>
          <w:trHeight w:val="186"/>
        </w:trPr>
        <w:tc>
          <w:tcPr>
            <w:tcW w:w="8340" w:type="dxa"/>
            <w:vAlign w:val="bottom"/>
          </w:tcPr>
          <w:p>
            <w:pPr>
              <w:spacing w:after="0"/>
              <w:rPr>
                <w:sz w:val="16"/>
                <w:szCs w:val="16"/>
                <w:color w:val="auto"/>
              </w:rPr>
            </w:pPr>
          </w:p>
        </w:tc>
        <w:tc>
          <w:tcPr>
            <w:tcW w:w="16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2"/>
              </w:rPr>
              <w:t>outstanding</w:t>
            </w:r>
          </w:p>
        </w:tc>
        <w:tc>
          <w:tcPr>
            <w:tcW w:w="1280" w:type="dxa"/>
            <w:vAlign w:val="bottom"/>
          </w:tcPr>
          <w:p>
            <w:pPr>
              <w:jc w:val="center"/>
              <w:ind w:right="19"/>
              <w:spacing w:after="0"/>
              <w:rPr>
                <w:sz w:val="20"/>
                <w:szCs w:val="20"/>
                <w:color w:val="auto"/>
              </w:rPr>
            </w:pPr>
            <w:r>
              <w:rPr>
                <w:rFonts w:ascii="Arial" w:cs="Arial" w:eastAsia="Arial" w:hAnsi="Arial"/>
                <w:sz w:val="14"/>
                <w:szCs w:val="14"/>
                <w:b w:val="1"/>
                <w:bCs w:val="1"/>
                <w:color w:val="auto"/>
                <w:w w:val="91"/>
              </w:rPr>
              <w:t>(years)</w:t>
            </w:r>
          </w:p>
        </w:tc>
      </w:tr>
      <w:tr>
        <w:trPr>
          <w:trHeight w:val="25"/>
        </w:trPr>
        <w:tc>
          <w:tcPr>
            <w:tcW w:w="834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23"/>
        </w:trPr>
        <w:tc>
          <w:tcPr>
            <w:tcW w:w="83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Outstanding at January 1</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61,992,360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8340" w:type="dxa"/>
            <w:vAlign w:val="bottom"/>
          </w:tcPr>
          <w:p>
            <w:pPr>
              <w:ind w:left="20"/>
              <w:spacing w:after="0"/>
              <w:rPr>
                <w:sz w:val="20"/>
                <w:szCs w:val="20"/>
                <w:color w:val="auto"/>
              </w:rPr>
            </w:pPr>
            <w:r>
              <w:rPr>
                <w:rFonts w:ascii="Arial" w:cs="Arial" w:eastAsia="Arial" w:hAnsi="Arial"/>
                <w:sz w:val="18"/>
                <w:szCs w:val="18"/>
                <w:color w:val="auto"/>
              </w:rPr>
              <w:t>Granted</w:t>
            </w:r>
          </w:p>
        </w:tc>
        <w:tc>
          <w:tcPr>
            <w:tcW w:w="1380" w:type="dxa"/>
            <w:vAlign w:val="bottom"/>
          </w:tcPr>
          <w:p>
            <w:pPr>
              <w:jc w:val="right"/>
              <w:spacing w:after="0"/>
              <w:rPr>
                <w:sz w:val="20"/>
                <w:szCs w:val="20"/>
                <w:color w:val="auto"/>
              </w:rPr>
            </w:pPr>
            <w:r>
              <w:rPr>
                <w:rFonts w:ascii="Arial" w:cs="Arial" w:eastAsia="Arial" w:hAnsi="Arial"/>
                <w:sz w:val="18"/>
                <w:szCs w:val="18"/>
                <w:color w:val="auto"/>
              </w:rPr>
              <w:t>750,928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8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(441,304)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196"/>
        </w:trPr>
        <w:tc>
          <w:tcPr>
            <w:tcW w:w="834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Outstanding at March 31</w:t>
            </w:r>
          </w:p>
        </w:tc>
        <w:tc>
          <w:tcPr>
            <w:tcW w:w="13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62,301,984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20"/>
        </w:trPr>
        <w:tc>
          <w:tcPr>
            <w:tcW w:w="834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r>
      <w:tr>
        <w:trPr>
          <w:trHeight w:val="223"/>
        </w:trPr>
        <w:tc>
          <w:tcPr>
            <w:tcW w:w="8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(11,920,928)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196"/>
        </w:trPr>
        <w:tc>
          <w:tcPr>
            <w:tcW w:w="834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Outstanding at June 30</w:t>
            </w:r>
          </w:p>
        </w:tc>
        <w:tc>
          <w:tcPr>
            <w:tcW w:w="13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50,381,056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20"/>
        </w:trPr>
        <w:tc>
          <w:tcPr>
            <w:tcW w:w="834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r>
      <w:tr>
        <w:trPr>
          <w:trHeight w:val="223"/>
        </w:trPr>
        <w:tc>
          <w:tcPr>
            <w:tcW w:w="8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(1,572,176)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8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Vested</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(8,452,520)</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r>
      <w:tr>
        <w:trPr>
          <w:trHeight w:val="248"/>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Outstanding at September 30</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40,356,360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Verona Pharma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Net profit/(loss) per share</w:t>
      </w:r>
    </w:p>
    <w:p>
      <w:pPr>
        <w:spacing w:after="0" w:line="202"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Net profit/(loss) per share is calculated on an ordinary share basis. The Company’s ADSs that are listed on the Nasdaq Global Market each represent eight ordinary shares. The following table shows the computation of basic and diluted earnings per share for the periods ended September 30, 2021 and 2020 (net profit/(loss) in thousands, profit/(loss) per share in dollars):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6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6"/>
                <w:szCs w:val="16"/>
                <w:color w:val="auto"/>
              </w:rPr>
            </w:pPr>
          </w:p>
        </w:tc>
        <w:tc>
          <w:tcPr>
            <w:tcW w:w="2620" w:type="dxa"/>
            <w:vAlign w:val="bottom"/>
            <w:gridSpan w:val="4"/>
          </w:tcPr>
          <w:p>
            <w:pPr>
              <w:jc w:val="right"/>
              <w:ind w:right="293"/>
              <w:spacing w:after="0"/>
              <w:rPr>
                <w:sz w:val="20"/>
                <w:szCs w:val="20"/>
                <w:color w:val="auto"/>
              </w:rPr>
            </w:pPr>
            <w:r>
              <w:rPr>
                <w:rFonts w:ascii="Arial" w:cs="Arial" w:eastAsia="Arial" w:hAnsi="Arial"/>
                <w:sz w:val="14"/>
                <w:szCs w:val="14"/>
                <w:b w:val="1"/>
                <w:bCs w:val="1"/>
                <w:color w:val="auto"/>
                <w:w w:val="96"/>
              </w:rPr>
              <w:t>Nine months ended September 30,</w:t>
            </w:r>
          </w:p>
        </w:tc>
      </w:tr>
      <w:tr>
        <w:trPr>
          <w:trHeight w:val="26"/>
        </w:trPr>
        <w:tc>
          <w:tcPr>
            <w:tcW w:w="53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4"/>
        </w:trPr>
        <w:tc>
          <w:tcPr>
            <w:tcW w:w="5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jc w:val="right"/>
              <w:ind w:right="475"/>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jc w:val="right"/>
              <w:ind w:right="45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jc w:val="right"/>
              <w:ind w:right="475"/>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jc w:val="right"/>
              <w:ind w:right="473"/>
              <w:spacing w:after="0"/>
              <w:rPr>
                <w:sz w:val="20"/>
                <w:szCs w:val="20"/>
                <w:color w:val="auto"/>
              </w:rPr>
            </w:pPr>
            <w:r>
              <w:rPr>
                <w:rFonts w:ascii="Arial" w:cs="Arial" w:eastAsia="Arial" w:hAnsi="Arial"/>
                <w:sz w:val="14"/>
                <w:szCs w:val="14"/>
                <w:b w:val="1"/>
                <w:bCs w:val="1"/>
                <w:color w:val="auto"/>
              </w:rPr>
              <w:t>2020</w:t>
            </w:r>
          </w:p>
        </w:tc>
      </w:tr>
      <w:tr>
        <w:trPr>
          <w:trHeight w:val="26"/>
        </w:trPr>
        <w:tc>
          <w:tcPr>
            <w:tcW w:w="53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9"/>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9"/>
        </w:trPr>
        <w:tc>
          <w:tcPr>
            <w:tcW w:w="5360" w:type="dxa"/>
            <w:vAlign w:val="bottom"/>
          </w:tcPr>
          <w:p>
            <w:pPr>
              <w:ind w:left="20"/>
              <w:spacing w:after="0"/>
              <w:rPr>
                <w:sz w:val="20"/>
                <w:szCs w:val="20"/>
                <w:color w:val="auto"/>
              </w:rPr>
            </w:pPr>
            <w:r>
              <w:rPr>
                <w:rFonts w:ascii="Arial" w:cs="Arial" w:eastAsia="Arial" w:hAnsi="Arial"/>
                <w:sz w:val="18"/>
                <w:szCs w:val="18"/>
                <w:color w:val="auto"/>
              </w:rPr>
              <w:t>Net profit/(loss)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11,051</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(18,931)</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(32,307)</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(40,321)</w:t>
            </w:r>
          </w:p>
        </w:tc>
      </w:tr>
      <w:tr>
        <w:trPr>
          <w:trHeight w:val="230"/>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Denominator:</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5360" w:type="dxa"/>
            <w:vAlign w:val="bottom"/>
          </w:tcPr>
          <w:p>
            <w:pPr>
              <w:ind w:left="20"/>
              <w:spacing w:after="0"/>
              <w:rPr>
                <w:sz w:val="20"/>
                <w:szCs w:val="20"/>
                <w:color w:val="auto"/>
              </w:rPr>
            </w:pPr>
            <w:r>
              <w:rPr>
                <w:rFonts w:ascii="Arial" w:cs="Arial" w:eastAsia="Arial" w:hAnsi="Arial"/>
                <w:sz w:val="18"/>
                <w:szCs w:val="18"/>
                <w:color w:val="auto"/>
              </w:rPr>
              <w:t>Weighted-average shares outstanding - basic</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475,334,354</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344,809,792</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471,159,171</w:t>
            </w: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197,049,240</w:t>
            </w:r>
          </w:p>
        </w:tc>
      </w:tr>
      <w:tr>
        <w:trPr>
          <w:trHeight w:val="20"/>
        </w:trPr>
        <w:tc>
          <w:tcPr>
            <w:tcW w:w="53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48"/>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profit/(loss) per share - basic</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(0.20)</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360" w:type="dxa"/>
            <w:vAlign w:val="bottom"/>
          </w:tcPr>
          <w:p>
            <w:pPr>
              <w:ind w:left="20"/>
              <w:spacing w:after="0" w:line="203" w:lineRule="exact"/>
              <w:rPr>
                <w:sz w:val="20"/>
                <w:szCs w:val="20"/>
                <w:color w:val="auto"/>
              </w:rPr>
            </w:pPr>
            <w:r>
              <w:rPr>
                <w:rFonts w:ascii="Arial" w:cs="Arial" w:eastAsia="Arial" w:hAnsi="Arial"/>
                <w:sz w:val="18"/>
                <w:szCs w:val="18"/>
                <w:color w:val="auto"/>
              </w:rPr>
              <w:t>Weighted-average shares outstanding - diluted</w:t>
            </w: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515,819,439</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344,809,792</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471,159,171</w:t>
            </w:r>
          </w:p>
        </w:tc>
        <w:tc>
          <w:tcPr>
            <w:tcW w:w="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197,049,240</w:t>
            </w:r>
          </w:p>
        </w:tc>
      </w:tr>
      <w:tr>
        <w:trPr>
          <w:trHeight w:val="20"/>
        </w:trPr>
        <w:tc>
          <w:tcPr>
            <w:tcW w:w="53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49"/>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profit/(loss) per share - diluted</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(0.20)</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ind w:right="20"/>
        <w:spacing w:after="0" w:line="274" w:lineRule="auto"/>
        <w:rPr>
          <w:sz w:val="20"/>
          <w:szCs w:val="20"/>
          <w:color w:val="auto"/>
        </w:rPr>
      </w:pPr>
      <w:r>
        <w:rPr>
          <w:rFonts w:ascii="Arial" w:cs="Arial" w:eastAsia="Arial" w:hAnsi="Arial"/>
          <w:sz w:val="17"/>
          <w:szCs w:val="17"/>
          <w:color w:val="auto"/>
        </w:rPr>
        <w:t>During the three months ended September 30, 2021 and 2020, outstanding share options, RSUs and warrants over 25,139,377 and 88,402,414 ordinary shares, respectively, were not included in the computation of diluted earnings per ordinary share, because to do so would be antidilutive.</w:t>
      </w:r>
    </w:p>
    <w:p>
      <w:pPr>
        <w:spacing w:after="0" w:line="40"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During the nine months ended September 30, 2021 and 2020, outstanding share options, RSUs and warrants over 65,624,462 and 88,402,414 ordinary shares, respectively, were not included in the computation of diluted earnings per ordinary share, because to do so would be antidilutive.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line="28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202" w:lineRule="exact"/>
        <w:rPr>
          <w:sz w:val="20"/>
          <w:szCs w:val="20"/>
          <w:color w:val="auto"/>
        </w:rPr>
      </w:pPr>
    </w:p>
    <w:p>
      <w:pPr>
        <w:jc w:val="both"/>
        <w:spacing w:after="0" w:line="231"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our unaudited condensed consolidated financial statements and related notes included elsewhere in this Quarterly Report on Form 10-Q, as well as our audited consolidated financial statements and related notes as disclosed in our Annual Report on Form 10-K for the year ended December 31, 2020 filed with the Securities and Exchange Commission on February 25, 2021 (the “2020 Form 10-K”).</w:t>
      </w:r>
    </w:p>
    <w:p>
      <w:pPr>
        <w:spacing w:after="0" w:line="67" w:lineRule="exact"/>
        <w:rPr>
          <w:sz w:val="20"/>
          <w:szCs w:val="20"/>
          <w:color w:val="auto"/>
        </w:rPr>
      </w:pPr>
    </w:p>
    <w:p>
      <w:pPr>
        <w:jc w:val="both"/>
        <w:spacing w:after="0" w:line="231" w:lineRule="auto"/>
        <w:rPr>
          <w:sz w:val="20"/>
          <w:szCs w:val="20"/>
          <w:color w:val="auto"/>
        </w:rPr>
      </w:pPr>
      <w:r>
        <w:rPr>
          <w:rFonts w:ascii="Arial" w:cs="Arial" w:eastAsia="Arial" w:hAnsi="Arial"/>
          <w:sz w:val="18"/>
          <w:szCs w:val="18"/>
          <w:i w:val="1"/>
          <w:iCs w:val="1"/>
          <w:color w:val="auto"/>
        </w:rPr>
        <w:t>In addition to historical information, this Quarterly Report on Form 10-Q contains statements that constitute forward-looking statements. In some cases, you can identify forward-looking statements by terms such as “may,” “will,” “should,” “expect,” “plan,” “anticipate,” “could,” “intend,” “target,” “project,” “contemplate,” “believe,” “estimate,” “predict,” “potential” or “continue” or the negative of these terms or other similar expressions, although not all forward-looking statements contain these words.</w:t>
      </w:r>
    </w:p>
    <w:p>
      <w:pPr>
        <w:spacing w:after="0" w:line="67" w:lineRule="exact"/>
        <w:rPr>
          <w:sz w:val="20"/>
          <w:szCs w:val="20"/>
          <w:color w:val="auto"/>
        </w:rPr>
      </w:pPr>
    </w:p>
    <w:p>
      <w:pPr>
        <w:jc w:val="both"/>
        <w:spacing w:after="0" w:line="225" w:lineRule="auto"/>
        <w:rPr>
          <w:sz w:val="20"/>
          <w:szCs w:val="20"/>
          <w:color w:val="auto"/>
        </w:rPr>
      </w:pPr>
      <w:r>
        <w:rPr>
          <w:rFonts w:ascii="Arial" w:cs="Arial" w:eastAsia="Arial" w:hAnsi="Arial"/>
          <w:sz w:val="18"/>
          <w:szCs w:val="18"/>
          <w:i w:val="1"/>
          <w:iCs w:val="1"/>
          <w:color w:val="auto"/>
        </w:rPr>
        <w:t>All statements other than statements of historical facts contained in this Quarterly Report on Form 10-Q, including without limitation statements regarding our future results of operations and financial position, business strategy and plans and objectives of management for future operations, the development of ensifentrine or any other product candidates, including statements regarding the expected initiation, timing, progress and availability of data from our clinical trials and potential regulatory approvals, research and development costs, timing and likelihood of success, potential collaborations, anticipated management changes, our estimates regarding expenses, future revenues, capital requirements, debt service obligations and our need for additional financing, the funding we expect to become available from cash receipts from U.K. tax credits, and the sufficiency of our cash and cash equivalents to fund operations, are forward-looking statements.</w:t>
      </w:r>
    </w:p>
    <w:p>
      <w:pPr>
        <w:spacing w:after="0" w:line="73" w:lineRule="exact"/>
        <w:rPr>
          <w:sz w:val="20"/>
          <w:szCs w:val="20"/>
          <w:color w:val="auto"/>
        </w:rPr>
      </w:pPr>
    </w:p>
    <w:p>
      <w:pPr>
        <w:jc w:val="both"/>
        <w:spacing w:after="0" w:line="258" w:lineRule="auto"/>
        <w:rPr>
          <w:sz w:val="20"/>
          <w:szCs w:val="20"/>
          <w:color w:val="auto"/>
        </w:rPr>
      </w:pPr>
      <w:r>
        <w:rPr>
          <w:rFonts w:ascii="Arial" w:cs="Arial" w:eastAsia="Arial" w:hAnsi="Arial"/>
          <w:sz w:val="16"/>
          <w:szCs w:val="16"/>
          <w:i w:val="1"/>
          <w:iCs w:val="1"/>
          <w:color w:val="auto"/>
        </w:rPr>
        <w:t>The forward-looking statements in this Quarterly Report on Form 10-Q are only predictions and are based largely on our current expectations and projections about future events and financial trends that we believe may affect our business, financial condition and results of operations. These forward-looking statements speak only as of the date of this Quarterly Report on Form 10-Q and are subject to a number of known and unknown risks, uncertainties, assumptions, and other important factors including, but not limited to, those set forth under Part I, Item 1A of the 2020 Form 10-K under the heading “Risk Factors”. Because forward-looking statements are inherently subject to risks and uncertainties, some of which cannot be predicted or quantified and some of which are beyond our control, you should not rely on these forward-looking statements as predictions of future events.</w:t>
      </w:r>
    </w:p>
    <w:p>
      <w:pPr>
        <w:spacing w:after="0" w:line="55" w:lineRule="exact"/>
        <w:rPr>
          <w:sz w:val="20"/>
          <w:szCs w:val="20"/>
          <w:color w:val="auto"/>
        </w:rPr>
      </w:pPr>
    </w:p>
    <w:p>
      <w:pPr>
        <w:jc w:val="both"/>
        <w:spacing w:after="0" w:line="231" w:lineRule="auto"/>
        <w:rPr>
          <w:sz w:val="20"/>
          <w:szCs w:val="20"/>
          <w:color w:val="auto"/>
        </w:rPr>
      </w:pPr>
      <w:r>
        <w:rPr>
          <w:rFonts w:ascii="Arial" w:cs="Arial" w:eastAsia="Arial" w:hAnsi="Arial"/>
          <w:sz w:val="18"/>
          <w:szCs w:val="18"/>
          <w:i w:val="1"/>
          <w:iCs w:val="1"/>
          <w:color w:val="auto"/>
        </w:rPr>
        <w:t>Except as required by applicable law, we do not plan to publicly update or revise any forward-looking statements contained herein, whether as a result of any new information, future events, changed circumstances or otherwise. We intend the forward-looking statements contained in this Quarterly Report on Form 10-Q to be covered by the safe harbor provisions for forward-looking statements contained in Section 27A of the Securities Act and Section 21E of the Securities Exchange Act of 1934, as amended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02"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We are a clinical-stage biopharmaceutical company focused on developing and commercializing innovative therapeutics for the treatment of respiratory diseases with significant unmet medical need. Our product candidate, ensifentrine, is an investigational, potential first-in-class, inhaled, dual inhibitor of the enzymes phosphodiesterase 3 and 4, or PDE3 and PDE4, which is designed to act as both a bronchodilator and an anti-inflammatory agent. In the third quarter of 2020 we commenced our Phase 3 ENHANCE (“Ensifentrine as a Novel inHAled Nebulized COPD thErapy”) trials and, if approved, we intend to commercialize ensifentrine for the maintenance treatment of chronic obstructive pulmonary disease (“COPD”) for the nebulized formulation in the United States.</w:t>
      </w:r>
    </w:p>
    <w:p>
      <w:pPr>
        <w:spacing w:after="0" w:line="67"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have incurred recurring losses and negative cash flows from operations since inception, and have an accumulated deficit of $240.3 million as of September 30, 2021. We expect to incur additional losses and negative cash flows from operations until our product candidates potentially gain regulatory approval and reach commercial profitability, if at all.</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We anticipate that our expenses will increase significantly in connection with our ongoing activities, as we:</w:t>
      </w:r>
    </w:p>
    <w:p>
      <w:pPr>
        <w:spacing w:after="0" w:line="90"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continue to invest in the clinical development of ensifentrine for the treatment of COPD;</w:t>
      </w:r>
    </w:p>
    <w:p>
      <w:pPr>
        <w:spacing w:after="0" w:line="90" w:lineRule="exact"/>
        <w:rPr>
          <w:rFonts w:ascii="Arial" w:cs="Arial" w:eastAsia="Arial" w:hAnsi="Arial"/>
          <w:sz w:val="18"/>
          <w:szCs w:val="18"/>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manufacture ensifentrine and engage in other Chemistry, Manufacturing and Control activities;</w:t>
      </w:r>
    </w:p>
    <w:p>
      <w:pPr>
        <w:spacing w:after="0" w:line="90" w:lineRule="exact"/>
        <w:rPr>
          <w:rFonts w:ascii="Arial" w:cs="Arial" w:eastAsia="Arial" w:hAnsi="Arial"/>
          <w:sz w:val="18"/>
          <w:szCs w:val="18"/>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 and</w:t>
      </w:r>
    </w:p>
    <w:p>
      <w:pPr>
        <w:spacing w:after="0" w:line="90" w:lineRule="exact"/>
        <w:rPr>
          <w:rFonts w:ascii="Arial" w:cs="Arial" w:eastAsia="Arial" w:hAnsi="Arial"/>
          <w:sz w:val="18"/>
          <w:szCs w:val="18"/>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build out infrastructure and prepare for commercial launch</w:t>
      </w:r>
    </w:p>
    <w:p>
      <w:pPr>
        <w:spacing w:after="0" w:line="198"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We believe that our cash and cash equivalents as of September 30, 2021, expected cash receipts from U.K. tax credits and funding expected to become available under the $30.0 million debt financing facility secured in November 2020, will enable us to fund our planned operating expenses and capital expenditure requirements through at least the end of 2023. The Term Loan advances are contingent upon achievement of certain clinical development milestones and other specified conditions. See “Indebtedness”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development update</w:t>
      </w:r>
    </w:p>
    <w:p>
      <w:pPr>
        <w:spacing w:after="0" w:line="202"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During the third quarter of 2021, we continued to make substantial progress on patient recruitment in our Phase 3 ENHANCE clinical program. Patient enrollment is nearing completion and, by the end of November, we expect both the 800 patient ENHANCE-2 trial and the 400 patient 48-week subset of the ENHANCE-1 trial will be approximately 95% enrolled. Although the pace of enrollment is expected to slow due to the approaching holiday season and the continued effects of the COVID-19 pandemic, we still expect to complete enrollment in ENHANCE-2 and the 48-week subset of ENHANCE-1 around year-end 2021.</w:t>
      </w:r>
    </w:p>
    <w:p>
      <w:pPr>
        <w:spacing w:after="0" w:line="7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As of November 8, 2021, ENHANCE-2 had approximately 90% of patients randomized into the study. Including those patients currently entered in the run-in period, we expect ENHANCE-2 to be approximately 95% enrolled by the end of November 2021.</w:t>
      </w:r>
    </w:p>
    <w:p>
      <w:pPr>
        <w:spacing w:after="0" w:line="6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48-week subset of ENHANCE-1 is a critical driver of delivering top-line data. As of November 8, 2021, this subset had approximately 95% of patients randomized into the study. Enrollment in the full ENHANCE-1 trial is expected to complete in the second quarter of 2022.</w:t>
      </w:r>
    </w:p>
    <w:p>
      <w:pPr>
        <w:spacing w:after="0" w:line="62"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Based on our current models of forecasted recruitment and study progress, we expect to report top-line data for ENHANCE-2 mid-year 2022 and for ENHANCE-1 around the end of 2022. Should COVID-19 related challenges increase further, our models predict top-line data for ENHANCE-2 would be expected in the third quarter of 2022 and for ENHANCE-1 in the first quarter of 2023. With the COVID-19 pandemic and government and other measures continuing to impact a number of clinical trial activities, including contractor staffing issues and disruptions to supply chains globally, we continue to closely monitor these timelines.</w:t>
      </w:r>
    </w:p>
    <w:p>
      <w:pPr>
        <w:spacing w:after="0" w:line="70"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In September, 2021, we presented an abstract describing the results of a Phase 1 study assessing the effect of CYP2C9 inhibitor, fluconazole, on the pharmacokinetics of ensifentrine in healthy individuals at the European Respiratory Society International Congress (“ERS”) 2021. Ensifentrine is primarily metabolized via the hepatic route by the cytochrome P450 enzyme, CYP2C9. Results from the study demonstrated co-administration of fluconazole had a less than 2-fold, not clinically relevant, effect on pharmacokinetic measures of the maximum concentration and area under the curve for ensifentrine.</w:t>
      </w:r>
    </w:p>
    <w:p>
      <w:pPr>
        <w:spacing w:after="0" w:line="48"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In December 2021, we expect to report results from a 32-patient thorough QT study to evaluate the effect of ensifentrine on measures of cardiac conduction, which we are carrying out in support of a potential NDA submission.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update</w:t>
      </w:r>
    </w:p>
    <w:p>
      <w:pPr>
        <w:spacing w:after="0" w:line="202"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In mid-November, Caroline Diaz will join Verona Pharma as Senior Vice President of Regulatory Affairs, bringing more than 18 years of experience in both large and small pharmaceutical companies across key regions. Ms. Diaz has served at ReViral as Vice President, Regulatory Affairs, and, previously, as Vice President, Regulatory and Quality at Dova Pharmaceuticals where she built the regulatory function from the ground up and led regulatory strategy development and implementation efforts resulting in the first marketing approvals for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impact</w:t>
      </w:r>
    </w:p>
    <w:p>
      <w:pPr>
        <w:spacing w:after="0" w:line="202"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We are closely monitoring the potential impact of the COVID-19 pandemic on our operations and clinical trials, in particular the timelines and costs of our Phase 3 clinical program. The pandemic and associated government and other measures in response continue to impact a number of clinical trial activities and we will provide an update if we become aware of any meaningful disruption caused by the pandemic to our clinical trials.</w:t>
      </w:r>
    </w:p>
    <w:p>
      <w:pPr>
        <w:spacing w:after="0" w:line="57"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To help protect the health and safety of the patients, caregivers and healthcare professionals involved in our clinical trials, as well as our employees and independent contractors, we continue to follow guidance from the FDA and other health regulatory authorities regarding the conduct of clinical trials during the COVID-19 pandemic to ensure the safety of study participants, minimize risks to study integrity, and maintain compliance with good clinical practice.</w:t>
      </w:r>
    </w:p>
    <w:p>
      <w:pPr>
        <w:spacing w:after="0" w:line="67"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COVID-19 pandemic is disrupting supply chains, and employee retention and recruitment, globally and we are closely monitoring this situation and will provide an update if we become aware of any meaningful disruption caused by the pandemic to the supply of ensifentrine and drug-related products, equipment and services for our clinical trials.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agreements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Ligand agreement</w:t>
      </w:r>
    </w:p>
    <w:p>
      <w:pPr>
        <w:spacing w:after="0" w:line="9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In 2006 we acquired Rhinopharma and assumed contingent liabilities owed to Ligand UK Development Limited (“Ligand”) (formerly Vernalis Development Limited). We refer to the assignment and license agreement as the Ligand Agreement.</w:t>
      </w:r>
    </w:p>
    <w:p>
      <w:pPr>
        <w:spacing w:after="0" w:line="62"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Ligand assigned to us all of its rights to certain patents and patent applications relating to ensifentrine and related compounds (the “Ligand Patents”) and an exclusive, worldwide, royalty-bearing license under certain Ligand know-how to develop, manufacture and commercialize products (the ”Ligand Licensed Products”) developed using Ligand Patents, Ligand know-how and the physical stock of certain compounds.</w:t>
      </w:r>
    </w:p>
    <w:p>
      <w:pPr>
        <w:spacing w:after="0" w:line="67"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contingent liability comprises a milestone payment on obtaining the first approval of any regulatory authority for the commercialization of a Ligand Licensed Product, low single digit royalties based on the future sales performance of all Ligand Licensed Products and a portion equal to a mid-twenty percent of any consideration received from any sub-licensees for the Ligand Patents and for Ligand know-how.</w:t>
      </w:r>
    </w:p>
    <w:p>
      <w:pPr>
        <w:spacing w:after="0" w:line="67"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At time of the acquisition the contingent liability was not recognized as part of the acquisition accounting as it was immaterial. We will therefore record as a research and development expense the milestone payment or royalties when they are probable.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Nuance agreement</w:t>
      </w:r>
    </w:p>
    <w:p>
      <w:pPr>
        <w:spacing w:after="0" w:line="90"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We entered into a collaboration and license agreement (the “Nuance Agreement”) with Nuance Pharma Limited (“Nuance Pharma”) effective June 9, 2021 (the “Effective Date”) under which we granted Nuance Pharma the exclusive rights to develop and commercialize ensifentrine in Greater China (China, Taiwan, Hong Kong and Macau). In return, we received an unconditional right to consideration aggregating $40 million consisting of $25.0 million in cash and an equity interest valued at $15.0 million as of the Effective Date in Nuance Biotech, the parent company of Nuance Pharma. We are eligible to receive future milestone payments of up to $179 million, triggered upon achievement of certain clinical, regulatory, and commercial milestones as well as tiered double-digit royalties on net sales in Greater China.</w:t>
      </w:r>
    </w:p>
    <w:p>
      <w:pPr>
        <w:spacing w:after="0" w:line="67"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As of September 30, 2021, the $25.0 million cash payment and $15.0 million equity interest had been received and the holding in Nuance Biotech was recorded as Equity Interest on the Condensed Consolidated Balance Sheet, included elsewhere in this Quarterly Report on Form 10-Q. The equity interest is recorded at the fair value indicated by the last observable transaction in Nuance Biotech’s stock, which was a fund raising in November, 2020, subject to impairment. As of September 30, 2021, there had been no other observable transactions to indicate any price changes in the value of Nuance Biotech’s stock, nor had there been any indications of impairment. The equity interest is therefore recorded at a value of $15.0 million.</w:t>
      </w:r>
    </w:p>
    <w:p>
      <w:pPr>
        <w:spacing w:after="0" w:line="53"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Nuance Pharma will be responsible for all costs related to clinical development and commercialization of ensifentrine in Greater China. A joint steering committee has been established between us and Nuance Pharma to oversee and coordinate the overall conduct of such clinical development and commercialization. We intend to use the joint steering committee to help ensure the clinical development of ensifentrine in Greater China aligns with our overall global development and commercialization strategy.</w:t>
      </w:r>
    </w:p>
    <w:p>
      <w:pPr>
        <w:spacing w:after="0" w:line="67"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auto"/>
        </w:rPr>
        <w:t>Under the terms of the Nuance Agreement, at any time until three months prior to the expected submission of the first New Drug Application in Greater China, if (i) a third party is interested in partnering with us, either globally or in territory covering at least the United States or Europe, for the development and/or commercialization of ensifentrine or (ii) we undergo a change of control, we will have an exclusive option right to buy back the license granted to Nuance Pharma and all related assets. The price is agreed to be equal to the aggregate of (i) all prior amounts paid by Nuance Pharma to us in cash under the agreement and (ii) all development and regulatory costs incurred and paid by Nuance Pharma in connection with the development and commercialization of the ensifentrine under the Nuance Agreement multiplied by a single-digit factor range dependent upon achievement of certain milestones, subject to a specified maximum amount.</w:t>
      </w:r>
    </w:p>
    <w:p>
      <w:pPr>
        <w:spacing w:after="0" w:line="73"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The Nuance Agreement will continue on a jurisdiction-by-jurisdiction and product-by-product basis until the expiration of royalty payment obligations with respect to such product in such jurisdiction unless earlier terminated by the parties. Either party may terminate the Nuance Agreement for an uncured material breach or bankruptcy of the other party. Nuance Pharma may also terminate the Nuance Agreement at will upon 90 days' prior written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184"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reviewed the buy-back option and determined that because it is conditional on a third party we do not have the practical ability to exercise it and, accordingly, the contract is accounted for under ASC 606.</w:t>
      </w:r>
    </w:p>
    <w:p>
      <w:pPr>
        <w:spacing w:after="0" w:line="62"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transaction price at the Effective Date of the Nuance Agreement was $40.0 million consisting of the $25.0 million upfront cash payment and $15.0 million equity interest. Developmental and regulatory milestones, and the manufacture and supply of ensifentrine drug product, were not included in the transaction price as we determined that it is not probable that a significant reversal in the amount of cumulative revenue recognized will not occur. Commercial milestones and sales royalties were also excluded and will be recognized when the milestones are achieved or the sales occur in Greater China.</w:t>
      </w:r>
    </w:p>
    <w:p>
      <w:pPr>
        <w:spacing w:after="0" w:line="48" w:lineRule="exact"/>
        <w:rPr>
          <w:sz w:val="20"/>
          <w:szCs w:val="20"/>
          <w:color w:val="auto"/>
        </w:rPr>
      </w:pPr>
    </w:p>
    <w:p>
      <w:pPr>
        <w:jc w:val="both"/>
        <w:spacing w:after="0" w:line="307" w:lineRule="auto"/>
        <w:rPr>
          <w:sz w:val="20"/>
          <w:szCs w:val="20"/>
          <w:color w:val="auto"/>
        </w:rPr>
      </w:pPr>
      <w:r>
        <w:rPr>
          <w:rFonts w:ascii="Arial" w:cs="Arial" w:eastAsia="Arial" w:hAnsi="Arial"/>
          <w:sz w:val="16"/>
          <w:szCs w:val="16"/>
          <w:color w:val="auto"/>
        </w:rPr>
        <w:t>The performance obligations in the Nuance Agreement include the grant of the license (including the right to commercialize ensifentrine until the end of the term, the sharing of certain know how, and the sharing of certain clinical and regulatory data), and manufacture and supply of ensifentrine drug product.</w:t>
      </w:r>
    </w:p>
    <w:p>
      <w:pPr>
        <w:spacing w:after="0" w:line="15"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We have determined that the license and the know how shared with Nuance Pharma constitutes functional intellectual property and that revenue relating to this should be recognized at a point in time. Consequently, we have determined that we fulfilled our obligations to Nuance Pharma when we delivered the know how that will allow Nuance Pharma to file an investigational new drug application in Greater China. We delivered this know how in the three months ended September 30, 2021, and the $40.0 million revenue was therefore recognized as revenue in this period. Revenue relating to the manufacture and supply obligations will be recognized when the drug product is delivered.</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We reviewed the two performance obligations in the Nuance Agreement and have determined that these were priced at fair value.</w:t>
      </w:r>
    </w:p>
    <w:p>
      <w:pPr>
        <w:spacing w:after="0" w:line="9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On the Effective Date, $4.0 million of costs of obtaining the contract were recorded as a contract asset. As of September 30, 2021, the entire cost had been recognized in the Condensed Statement of Operations, in line with recognition of the revenue relating to the contract.</w:t>
      </w:r>
    </w:p>
    <w:p>
      <w:pPr>
        <w:spacing w:after="0" w:line="62"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Subsequent to the Effective Date, Ligand notified us that it believes that Nuance Pharma is a sub-licensee under the Ligand Agreement and that we are therefore under an obligation to make a sublicense payment to Ligand equal to 25% of the $40.0 million upfront transaction price. We do not believe we have granted a sublicense of or otherwise transferred to Nuance Pharma any Ligand intellectual property or know how and therefore we believe that we are not under any obligation to pay the requested sum to Ligand.</w:t>
      </w:r>
    </w:p>
    <w:p>
      <w:pPr>
        <w:spacing w:after="0" w:line="67"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For additional information regarding the Nuance Agreement, see Note 8 to our unaudited condensed consolidated financial statements and related notes included elsewhere in this Quarterly Report on Form 10-Q.</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Warrants</w:t>
      </w:r>
    </w:p>
    <w:p>
      <w:pPr>
        <w:spacing w:after="0" w:line="90"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On July 29, 2016, as part of a private placement we issued warrants to investors. The warrant holders can subscribe for an ordinary share at a per share exercise price of £1.7238. They can also opt for a cashless exercise of their warrants whereby they can choose to exchange the warrants held for a reduced number of warrants exercisable at nil consideration.</w:t>
      </w:r>
    </w:p>
    <w:p>
      <w:pPr>
        <w:spacing w:after="0" w:line="6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If, after a transaction, should the warrants be exercisable for unlisted securities, the warrant holders may demand a cash payment instead of the delivery of the underlying securities. Accordingly, they are accounted for as a liability under ASC 480 “Distinguishing Liabilities from Equity” and recorded at fair value using the Black-Scholes valuation methodology, on recognition and at each reporting date. The warrants are currently exercisable and may be exercised by the holders until April 2022 when the warrant instruments may either be exercised, cashlessly exercised, or expire.</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 and security agreement</w:t>
      </w:r>
    </w:p>
    <w:p>
      <w:pPr>
        <w:spacing w:after="0" w:line="90"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In November 2020 we and Verona Pharma Inc. entered into a term loan facility of up to $30.0 million with Silicon Valley Bank (the “Term Loan”). See “Indebtedness”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202" w:lineRule="exact"/>
        <w:rPr>
          <w:sz w:val="20"/>
          <w:szCs w:val="20"/>
          <w:color w:val="auto"/>
        </w:rPr>
      </w:pPr>
    </w:p>
    <w:p>
      <w:pPr>
        <w:jc w:val="both"/>
        <w:spacing w:after="0" w:line="237" w:lineRule="auto"/>
        <w:rPr>
          <w:sz w:val="20"/>
          <w:szCs w:val="20"/>
          <w:color w:val="auto"/>
        </w:rPr>
      </w:pPr>
      <w:r>
        <w:rPr>
          <w:rFonts w:ascii="Arial" w:cs="Arial" w:eastAsia="Arial" w:hAnsi="Arial"/>
          <w:sz w:val="17"/>
          <w:szCs w:val="17"/>
          <w:color w:val="auto"/>
        </w:rPr>
        <w:t>The preparation of consolidated financial statements in conformity with accounting principles generally accepted in the U.S. (“U.S. GAAP”) requires management to make estimates and assumptions that affect the reported amounts of assets, liabilities, the disclosure of contingent assets and liabilities at the date of the financial statements and the reported amounts of expenses during the reporting periods. Significant estimates and assumptions reflected in these consolidated financial statements include, but are not limited to, the recognition of revenue, the accrual and prepayment of research and development expenses, the fair value of share-based compensation, the value of the equity interest and the fair value of warrants. Estimates are periodically reviewed in light of changes in circumstances, facts and experience. Changes in estimates are recorded in the period in which they become known. Actual results could differ from our estimates. The accounting policies considered to be critical to the judgments and estimates used in the preparation of our financial statements are disclosed in the Management’s Discussion and Analysis of Financial Condition and Results of Operations included in our 2020 Form 10-K. Except as described below there have been no material changes to that information disclosed in our 2020 Form 10-K during the nine months ended September 30, 2021.</w:t>
      </w:r>
    </w:p>
    <w:p>
      <w:pPr>
        <w:spacing w:after="0" w:line="6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Critically, management are required to identify the promises in the Nuance Agreement, determine whether these promises are distinct and determine when we have satisfied these obligations. Our consideration of these issues is discussed in Note 8 to our unaudited condensed consolidated financial statements and related notes included elsewhere in this Quarterly Report on Form 10-Q.</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90"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Our revenue arises from the Nuance Agreement. The terms of the Nuance Agreement include non-refundable upfront fees, payments based upon achievement of developmental and regulatory milestones, commercial milestones, royalties payable on sales, and manufacturing and supply. These payments are viewed as both fixed and variable consideration. Non-refundable upfront fees are considered fixed, while milestone payments and revenue from the commercialized product are identified as variable consideration. We follow the five-step model in ASC 606 “Revenue from Contracts with Customers”: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Step 1: Identify the contract(s) with a customer.</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Step 2: Identify the performance obligations in the contract.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Step 3: Determine the transaction price.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Step 4: Allocate the transaction price to the performance obligations in the contract.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Step 5: Recognize revenue when (or as) the entity satisfies a performance obligation.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All of our revenue is derived from contracts with customers.</w:t>
      </w:r>
    </w:p>
    <w:p>
      <w:pPr>
        <w:spacing w:after="0" w:line="90"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A performance obligation is a promise in a contract to transfer a distinct good or service to the customer and is the unit of account in ASC Topic 606. Our performance obligations include intellectual property rights, (which include the license, patents and developmental and regulatory data) and manufacturing and supply. Management are required to judge when performance obligations are satisfied and consequently when revenue is recognized.</w:t>
      </w:r>
    </w:p>
    <w:p>
      <w:pPr>
        <w:spacing w:after="0" w:line="40"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If the right to the our intellectual property is determined to be distinct from the other performance obligations identified in the arrangement, we recognize revenue from non-refundable, upfront fees allocated to the right when the right is transferred to the customer, and the customer can use and benefit from the right.</w:t>
      </w:r>
    </w:p>
    <w:p>
      <w:pPr>
        <w:spacing w:after="0" w:line="6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If an arrangement includes development and regulatory milestone payments, we evaluate whether the milestones are considered probable of being reached and estimate the amount to be included in the transaction price using the most likely amount method. If it is probable that a significant revenue reversal would not occur, the associated milestone value is included in the transaction price. Milestone payments that are not within our control or the licensee’s control, such as regulatory approvals, are generally not considered probable of being achieved until those approvals are received.</w:t>
      </w:r>
    </w:p>
    <w:p>
      <w:pPr>
        <w:spacing w:after="0" w:line="48"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For arrangements with licenses of intellectual property that include sales-based royalties, including milestone payments based on the level of sales, and the license is deemed to be the predominant item to which the royalties relate, we recognize royalty revenue and sales-based milestones at the later of (i) when the related sales occur, or (ii) when the performance obligation to which the royalty has been allocated has been satisfied.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Contract assets</w:t>
      </w:r>
    </w:p>
    <w:p>
      <w:pPr>
        <w:spacing w:after="0" w:line="90"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recognize incremental costs of obtaining a contract such as commission costs as an asset and amortize the asset on a basis that is consistent with the satisfaction of the performance obligations to which the asset relates. Consideration receivable that is in excess of the value of satisfied, or part satisfied, performance obligations is recognized as a deferred revenue liability.</w:t>
      </w:r>
    </w:p>
    <w:p>
      <w:pPr>
        <w:spacing w:after="0" w:line="6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Trade receivable</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Accounts receivable relate to amounts billed to customers. Management determine the likelihood of uncollectible accounts and provide for this accordingly.</w:t>
      </w:r>
    </w:p>
    <w:p>
      <w:pPr>
        <w:spacing w:after="0" w:line="11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Equity interest</w:t>
      </w:r>
    </w:p>
    <w:p>
      <w:pPr>
        <w:spacing w:after="0" w:line="90"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As of June 30, 2021, as part of the Nuance Agreement, we recorded a $15.0 million equity receivable, relating to an equity interest in Nuance Biotech, the parent company of Nuance Pharma. This equity interest was received in the three months ended September 30, 2021. As Nuance Biotech is not publicly listed the equity interest’s fair value is not readily determinable. We therefore use the fair value measurement alternative and measure the securities at cost, which is deemed to be the value indicated by the last observable transaction in Nuance Biotech's stock, subject to impairment. The valuation will be adjusted for any observable price changes in orderly transactions for an identical or similar investment in Nuance Biotech, or if there is an indicator of impairment.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We anticipate that our expenses will increase substantially if and as we:</w:t>
      </w:r>
    </w:p>
    <w:p>
      <w:pPr>
        <w:spacing w:after="0" w:line="90" w:lineRule="exact"/>
        <w:rPr>
          <w:sz w:val="20"/>
          <w:szCs w:val="20"/>
          <w:color w:val="auto"/>
        </w:rPr>
      </w:pPr>
    </w:p>
    <w:p>
      <w:pPr>
        <w:ind w:left="320" w:hanging="312"/>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conduct our ongoing Phase 3 clinical trials for ensifentrine for the maintenance treatment of COPD;</w:t>
      </w:r>
    </w:p>
    <w:p>
      <w:pPr>
        <w:spacing w:after="0" w:line="90" w:lineRule="exact"/>
        <w:rPr>
          <w:rFonts w:ascii="Arial" w:cs="Arial" w:eastAsia="Arial" w:hAnsi="Arial"/>
          <w:sz w:val="18"/>
          <w:szCs w:val="18"/>
          <w:color w:val="auto"/>
        </w:rPr>
      </w:pPr>
    </w:p>
    <w:p>
      <w:pPr>
        <w:ind w:left="320" w:hanging="312"/>
        <w:spacing w:after="0"/>
        <w:tabs>
          <w:tab w:leader="none" w:pos="320" w:val="left"/>
        </w:tabs>
        <w:numPr>
          <w:ilvl w:val="0"/>
          <w:numId w:val="5"/>
        </w:numPr>
        <w:rPr>
          <w:rFonts w:ascii="Arial" w:cs="Arial" w:eastAsia="Arial" w:hAnsi="Arial"/>
          <w:sz w:val="17"/>
          <w:szCs w:val="17"/>
          <w:color w:val="auto"/>
        </w:rPr>
      </w:pPr>
      <w:r>
        <w:rPr>
          <w:rFonts w:ascii="Arial" w:cs="Arial" w:eastAsia="Arial" w:hAnsi="Arial"/>
          <w:sz w:val="17"/>
          <w:szCs w:val="17"/>
          <w:color w:val="auto"/>
        </w:rPr>
        <w:t>continue the clinical development of our DPI and pMDI formulations of ensifentrine and research and develop other formulations of ensifentrine;</w:t>
      </w:r>
    </w:p>
    <w:p>
      <w:pPr>
        <w:spacing w:after="0" w:line="101" w:lineRule="exact"/>
        <w:rPr>
          <w:rFonts w:ascii="Arial" w:cs="Arial" w:eastAsia="Arial" w:hAnsi="Arial"/>
          <w:sz w:val="17"/>
          <w:szCs w:val="17"/>
          <w:color w:val="auto"/>
        </w:rPr>
      </w:pPr>
    </w:p>
    <w:p>
      <w:pPr>
        <w:ind w:left="320" w:hanging="312"/>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initiate and conduct further clinical trials for ensifentrine for the treatment of acute COPD, CF or any other indication;</w:t>
      </w:r>
    </w:p>
    <w:p>
      <w:pPr>
        <w:spacing w:after="0" w:line="90" w:lineRule="exact"/>
        <w:rPr>
          <w:rFonts w:ascii="Arial" w:cs="Arial" w:eastAsia="Arial" w:hAnsi="Arial"/>
          <w:sz w:val="18"/>
          <w:szCs w:val="18"/>
          <w:color w:val="auto"/>
        </w:rPr>
      </w:pPr>
    </w:p>
    <w:p>
      <w:pPr>
        <w:ind w:left="320" w:hanging="312"/>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initiate and progress pre-clinical studies relating to other potential indications of ensifentrine;</w:t>
      </w:r>
    </w:p>
    <w:p>
      <w:pPr>
        <w:spacing w:after="0" w:line="90" w:lineRule="exact"/>
        <w:rPr>
          <w:rFonts w:ascii="Arial" w:cs="Arial" w:eastAsia="Arial" w:hAnsi="Arial"/>
          <w:sz w:val="18"/>
          <w:szCs w:val="18"/>
          <w:color w:val="auto"/>
        </w:rPr>
      </w:pPr>
    </w:p>
    <w:p>
      <w:pPr>
        <w:ind w:left="320" w:hanging="312"/>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seek to discover and develop additional product candidates;</w:t>
      </w:r>
    </w:p>
    <w:p>
      <w:pPr>
        <w:spacing w:after="0" w:line="90" w:lineRule="exact"/>
        <w:rPr>
          <w:rFonts w:ascii="Arial" w:cs="Arial" w:eastAsia="Arial" w:hAnsi="Arial"/>
          <w:sz w:val="18"/>
          <w:szCs w:val="18"/>
          <w:color w:val="auto"/>
        </w:rPr>
      </w:pPr>
    </w:p>
    <w:p>
      <w:pPr>
        <w:ind w:left="320" w:hanging="312"/>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seek regulatory approvals for any of our product candidates that successfully complete clinical trials;</w:t>
      </w:r>
    </w:p>
    <w:p>
      <w:pPr>
        <w:spacing w:after="0" w:line="90" w:lineRule="exact"/>
        <w:rPr>
          <w:rFonts w:ascii="Arial" w:cs="Arial" w:eastAsia="Arial" w:hAnsi="Arial"/>
          <w:sz w:val="18"/>
          <w:szCs w:val="18"/>
          <w:color w:val="auto"/>
        </w:rPr>
      </w:pPr>
    </w:p>
    <w:p>
      <w:pPr>
        <w:ind w:left="340" w:hanging="332"/>
        <w:spacing w:after="0" w:line="246" w:lineRule="auto"/>
        <w:tabs>
          <w:tab w:leader="none" w:pos="335" w:val="left"/>
        </w:tabs>
        <w:numPr>
          <w:ilvl w:val="0"/>
          <w:numId w:val="5"/>
        </w:numPr>
        <w:rPr>
          <w:rFonts w:ascii="Arial" w:cs="Arial" w:eastAsia="Arial" w:hAnsi="Arial"/>
          <w:sz w:val="18"/>
          <w:szCs w:val="18"/>
          <w:color w:val="auto"/>
        </w:rPr>
      </w:pPr>
      <w:r>
        <w:rPr>
          <w:rFonts w:ascii="Arial" w:cs="Arial" w:eastAsia="Arial" w:hAnsi="Arial"/>
          <w:sz w:val="18"/>
          <w:szCs w:val="18"/>
          <w:color w:val="auto"/>
        </w:rPr>
        <w:t>potentially establish a sales, marketing and distribution infrastructure and scale-up manufacturing capabilities to commercialize any products for which we may obtain regulatory approval;</w:t>
      </w:r>
    </w:p>
    <w:p>
      <w:pPr>
        <w:spacing w:after="0" w:line="61" w:lineRule="exact"/>
        <w:rPr>
          <w:rFonts w:ascii="Arial" w:cs="Arial" w:eastAsia="Arial" w:hAnsi="Arial"/>
          <w:sz w:val="18"/>
          <w:szCs w:val="18"/>
          <w:color w:val="auto"/>
        </w:rPr>
      </w:pPr>
    </w:p>
    <w:p>
      <w:pPr>
        <w:ind w:left="320" w:hanging="312"/>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90" w:lineRule="exact"/>
        <w:rPr>
          <w:rFonts w:ascii="Arial" w:cs="Arial" w:eastAsia="Arial" w:hAnsi="Arial"/>
          <w:sz w:val="18"/>
          <w:szCs w:val="18"/>
          <w:color w:val="auto"/>
        </w:rPr>
      </w:pPr>
    </w:p>
    <w:p>
      <w:pPr>
        <w:ind w:left="340" w:hanging="332"/>
        <w:spacing w:after="0" w:line="274" w:lineRule="auto"/>
        <w:tabs>
          <w:tab w:leader="none" w:pos="335" w:val="left"/>
        </w:tabs>
        <w:numPr>
          <w:ilvl w:val="0"/>
          <w:numId w:val="5"/>
        </w:numPr>
        <w:rPr>
          <w:rFonts w:ascii="Arial" w:cs="Arial" w:eastAsia="Arial" w:hAnsi="Arial"/>
          <w:sz w:val="17"/>
          <w:szCs w:val="17"/>
          <w:color w:val="auto"/>
        </w:rPr>
      </w:pPr>
      <w:r>
        <w:rPr>
          <w:rFonts w:ascii="Arial" w:cs="Arial" w:eastAsia="Arial" w:hAnsi="Arial"/>
          <w:sz w:val="17"/>
          <w:szCs w:val="17"/>
          <w:color w:val="auto"/>
        </w:rPr>
        <w:t>add clinical, scientific, operational, financial and management information systems and personnel, including personnel to support our product development and potential future commercialization efforts and to support our continuing operations as a U.S. public company; or</w:t>
      </w:r>
    </w:p>
    <w:p>
      <w:pPr>
        <w:spacing w:after="0" w:line="39" w:lineRule="exact"/>
        <w:rPr>
          <w:rFonts w:ascii="Arial" w:cs="Arial" w:eastAsia="Arial" w:hAnsi="Arial"/>
          <w:sz w:val="17"/>
          <w:szCs w:val="17"/>
          <w:color w:val="auto"/>
        </w:rPr>
      </w:pPr>
    </w:p>
    <w:p>
      <w:pPr>
        <w:ind w:left="340" w:hanging="332"/>
        <w:spacing w:after="0" w:line="246" w:lineRule="auto"/>
        <w:tabs>
          <w:tab w:leader="none" w:pos="335"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experience any delays or encounter any issues from any of the above, including but not limited to failed studies, complex results, safety issues or other regulatory challenges.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202"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Revenue relates to the Nuance Agreement. We have recognized the $40.0 million upfront consideration in the three months ended September 30, 2021. We expect that we will generate revenue from the manufacturing and supply agreement and potentially from the milestone payments defined in the Nuance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costs</w:t>
      </w:r>
    </w:p>
    <w:p>
      <w:pPr>
        <w:spacing w:after="0" w:line="90"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Research and development costs consist of salary and personnel related costs and third party costs for our research and development activities for ensifentrine. Personnel related costs include a share-based compensation charge relating to our stock option plan. The largest component of third party costs is for clinical trials, as well as manufacturing for clinical supplies and associated development, and pre-clinical studies. Research and development costs are expensed as incurred.</w:t>
      </w:r>
    </w:p>
    <w:p>
      <w:pPr>
        <w:spacing w:after="0" w:line="67"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We expect our research and development costs to increase through at least the first quarter of 2022 as we progress our ENHANCE program. Unless we add new compounds or develop ensifentrine further in other delivery methods or indications, we expect our research and development costs to begin to decrease in mid-2022. Due to the nature of research and development, the expected costs are inherently uncertain and may vary significantly from our current expectations.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costs</w:t>
      </w:r>
    </w:p>
    <w:p>
      <w:pPr>
        <w:spacing w:after="0" w:line="90"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Selling, general and administrative costs consist of salary and personnel related costs, including share-based compensation, expenses relating to operating as a public company, including professional fees, insurance and commercial related costs, as well as other operating expenses.</w:t>
      </w:r>
    </w:p>
    <w:p>
      <w:pPr>
        <w:spacing w:after="0" w:line="40"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expect commercial costs to increase as we continue to develop our potential commercial operations and, in the event of successful regulatory approval, we expect to incur sales force, marketing and other launch related costs. As we develop our knowledge of the market and refine our commercialization plans, expected costs may vary significantly from our current expectations.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income/(expense)</w:t>
      </w:r>
    </w:p>
    <w:p>
      <w:pPr>
        <w:spacing w:after="0" w:line="9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Other income/(expense) are driven by interest income and expense, the fair value movement of the warrant liability, foreign exchange movements on cash and cash equivalents and taxes receivable, and the U.K. research and development tax credits.</w:t>
      </w:r>
    </w:p>
    <w:p>
      <w:pPr>
        <w:spacing w:after="0" w:line="62"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are entitled to participate in the U.K. Small and Medium Enterprises research and development tax relief program. The tax credits are calculated as a percentage of qualifying research and development expenditure and are payable in cash by the U.K. government to us. Credits recorded in the 2021 financial year are expected to be received in the 2022 financial year.</w:t>
      </w:r>
    </w:p>
    <w:p>
      <w:pPr>
        <w:spacing w:after="0" w:line="67"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Effective January 1, 2022, this tax credit will be subject to a cap equal to a multiple of employment taxes the entity pays in the year in question. We are currently reviewing the impact these changes could have on our tax credit for the 2022 financial year, payable in 2023.</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Taxation</w:t>
      </w:r>
    </w:p>
    <w:p>
      <w:pPr>
        <w:spacing w:after="0" w:line="90"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We are subject to corporate taxation in the United States and the United Kingdom. We have generated losses since inception and have therefore not paid United Kingdom corporation tax. The income taxes presented in our consolidated statements of operations and comprehensive loss represents the tax impact from our operating activities in the United States, which generates taxable income based on intercompany service arrangements.</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United Kingdom losses may be carried forward indefinitely to be offset against future taxable profits, subject to various utilization criteria and restrictions.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The amount that can be offset each year is limited to £5.0 million plus an incremental 50% of U.K. taxable profits.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three months ended September 30, 2021 and 2020</w:t>
      </w:r>
    </w:p>
    <w:p>
      <w:pPr>
        <w:spacing w:after="0" w:line="202"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In prior periods we prepared our financial information in accordance with International Financial Reporting Standards as issued by the International Accounting Standards Board (“IFRS”), in pounds sterling, until July 1, 2020, when our functional and presentational currency changed to U.S. dollars. As a consequence of becoming a U.S. domestic issuer as of January 1, 2021, we are required to present our financial information in accordance with U.S. GAAP. The below financial information has been prepared in accordance with U.S. GAAP. The financial information should not be expected to correspond to figures we have previously presented under IFRS, in pounds sterling or in U.S. dollars.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our statements of operations for the three months ended September 30, 2021 and 2020,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8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6"/>
        </w:trPr>
        <w:tc>
          <w:tcPr>
            <w:tcW w:w="68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4"/>
        </w:trPr>
        <w:tc>
          <w:tcPr>
            <w:tcW w:w="6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jc w:val="right"/>
              <w:ind w:right="472"/>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ind w:right="45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jc w:val="right"/>
              <w:ind w:right="371"/>
              <w:spacing w:after="0"/>
              <w:rPr>
                <w:sz w:val="20"/>
                <w:szCs w:val="20"/>
                <w:color w:val="auto"/>
              </w:rPr>
            </w:pPr>
            <w:r>
              <w:rPr>
                <w:rFonts w:ascii="Arial" w:cs="Arial" w:eastAsia="Arial" w:hAnsi="Arial"/>
                <w:sz w:val="14"/>
                <w:szCs w:val="14"/>
                <w:b w:val="1"/>
                <w:bCs w:val="1"/>
                <w:color w:val="auto"/>
              </w:rPr>
              <w:t>Change</w:t>
            </w:r>
          </w:p>
        </w:tc>
      </w:tr>
      <w:tr>
        <w:trPr>
          <w:trHeight w:val="26"/>
        </w:trPr>
        <w:tc>
          <w:tcPr>
            <w:tcW w:w="68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3"/>
        </w:trPr>
        <w:tc>
          <w:tcPr>
            <w:tcW w:w="68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r>
      <w:tr>
        <w:trPr>
          <w:trHeight w:val="229"/>
        </w:trPr>
        <w:tc>
          <w:tcPr>
            <w:tcW w:w="682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68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22,560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12,820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9,740</w:t>
            </w:r>
          </w:p>
        </w:tc>
      </w:tr>
      <w:tr>
        <w:trPr>
          <w:trHeight w:val="229"/>
        </w:trPr>
        <w:tc>
          <w:tcPr>
            <w:tcW w:w="68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10,883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8,284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2,599</w:t>
            </w:r>
          </w:p>
        </w:tc>
      </w:tr>
      <w:tr>
        <w:trPr>
          <w:trHeight w:val="223"/>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operating expenses</w:t>
            </w: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33,443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21,104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12,339</w:t>
            </w:r>
          </w:p>
        </w:tc>
      </w:tr>
      <w:tr>
        <w:trPr>
          <w:trHeight w:val="223"/>
        </w:trPr>
        <w:tc>
          <w:tcPr>
            <w:tcW w:w="6820" w:type="dxa"/>
            <w:vAlign w:val="bottom"/>
          </w:tcPr>
          <w:p>
            <w:pPr>
              <w:ind w:left="20"/>
              <w:spacing w:after="0"/>
              <w:rPr>
                <w:sz w:val="20"/>
                <w:szCs w:val="20"/>
                <w:color w:val="auto"/>
              </w:rPr>
            </w:pPr>
            <w:r>
              <w:rPr>
                <w:rFonts w:ascii="Arial" w:cs="Arial" w:eastAsia="Arial" w:hAnsi="Arial"/>
                <w:sz w:val="18"/>
                <w:szCs w:val="18"/>
                <w:b w:val="1"/>
                <w:bCs w:val="1"/>
                <w:color w:val="auto"/>
              </w:rPr>
              <w:t>Operating profit/(loss)</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6,557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(21,104)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27,661</w:t>
            </w:r>
          </w:p>
        </w:tc>
      </w:tr>
      <w:tr>
        <w:trPr>
          <w:trHeight w:val="230"/>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income/(expense)</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6820" w:type="dxa"/>
            <w:vAlign w:val="bottom"/>
          </w:tcPr>
          <w:p>
            <w:pPr>
              <w:ind w:left="240"/>
              <w:spacing w:after="0"/>
              <w:rPr>
                <w:sz w:val="20"/>
                <w:szCs w:val="20"/>
                <w:color w:val="auto"/>
              </w:rPr>
            </w:pPr>
            <w:r>
              <w:rPr>
                <w:rFonts w:ascii="Arial" w:cs="Arial" w:eastAsia="Arial" w:hAnsi="Arial"/>
                <w:sz w:val="18"/>
                <w:szCs w:val="18"/>
                <w:color w:val="auto"/>
              </w:rPr>
              <w:t>Research and development tax credit</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4,749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2,338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2,411</w:t>
            </w:r>
          </w:p>
        </w:tc>
      </w:tr>
      <w:tr>
        <w:trPr>
          <w:trHeight w:val="229"/>
        </w:trPr>
        <w:tc>
          <w:tcPr>
            <w:tcW w:w="68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income</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682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29"/>
        </w:trPr>
        <w:tc>
          <w:tcPr>
            <w:tcW w:w="68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Fair value movement on warrants</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w:t>
            </w:r>
          </w:p>
        </w:tc>
      </w:tr>
      <w:tr>
        <w:trPr>
          <w:trHeight w:val="230"/>
        </w:trPr>
        <w:tc>
          <w:tcPr>
            <w:tcW w:w="68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Foreign exchange (loss)/gain</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(930)</w:t>
            </w:r>
          </w:p>
        </w:tc>
      </w:tr>
      <w:tr>
        <w:trPr>
          <w:trHeight w:val="223"/>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other income, net</w:t>
            </w: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4,621</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2,217</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2,404</w:t>
            </w:r>
          </w:p>
        </w:tc>
      </w:tr>
      <w:tr>
        <w:trPr>
          <w:trHeight w:val="223"/>
        </w:trPr>
        <w:tc>
          <w:tcPr>
            <w:tcW w:w="6820" w:type="dxa"/>
            <w:vAlign w:val="bottom"/>
          </w:tcPr>
          <w:p>
            <w:pPr>
              <w:ind w:left="20"/>
              <w:spacing w:after="0"/>
              <w:rPr>
                <w:sz w:val="20"/>
                <w:szCs w:val="20"/>
                <w:color w:val="auto"/>
              </w:rPr>
            </w:pPr>
            <w:r>
              <w:rPr>
                <w:rFonts w:ascii="Arial" w:cs="Arial" w:eastAsia="Arial" w:hAnsi="Arial"/>
                <w:sz w:val="18"/>
                <w:szCs w:val="18"/>
                <w:b w:val="1"/>
                <w:bCs w:val="1"/>
                <w:color w:val="auto"/>
              </w:rPr>
              <w:t>Profit/(loss) before income taxes</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11,178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(18,887)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30,065</w:t>
            </w:r>
          </w:p>
        </w:tc>
      </w:tr>
      <w:tr>
        <w:trPr>
          <w:trHeight w:val="229"/>
        </w:trPr>
        <w:tc>
          <w:tcPr>
            <w:tcW w:w="68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Income tax expense</w:t>
            </w: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r>
      <w:tr>
        <w:trPr>
          <w:trHeight w:val="223"/>
        </w:trPr>
        <w:tc>
          <w:tcPr>
            <w:tcW w:w="6820" w:type="dxa"/>
            <w:vAlign w:val="bottom"/>
          </w:tcPr>
          <w:p>
            <w:pPr>
              <w:ind w:left="20"/>
              <w:spacing w:after="0"/>
              <w:rPr>
                <w:sz w:val="20"/>
                <w:szCs w:val="20"/>
                <w:color w:val="auto"/>
              </w:rPr>
            </w:pPr>
            <w:r>
              <w:rPr>
                <w:rFonts w:ascii="Arial" w:cs="Arial" w:eastAsia="Arial" w:hAnsi="Arial"/>
                <w:sz w:val="18"/>
                <w:szCs w:val="18"/>
                <w:b w:val="1"/>
                <w:bCs w:val="1"/>
                <w:color w:val="auto"/>
              </w:rPr>
              <w:t>Net profit/(loss)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11,051</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(18,931)</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29,982</w:t>
            </w:r>
          </w:p>
        </w:tc>
      </w:tr>
      <w:tr>
        <w:trPr>
          <w:trHeight w:val="21"/>
        </w:trPr>
        <w:tc>
          <w:tcPr>
            <w:tcW w:w="6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9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Revenue of $40.0 million for the three months ended September 30, 2021 is related to upfront consideration received under the Nuance Agreement. There was no revenue for the three months ended September 30, 2020.</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costs</w:t>
      </w:r>
    </w:p>
    <w:p>
      <w:pPr>
        <w:spacing w:after="0" w:line="90"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Research and development costs were $22.6 million for the three months ended September 30, 2021, compared to $12.8 million for the three months ended September 30, 2020, an increase of $9.8 million. This increase was primarily due to an $11.0 million increase in clinical trial and other development costs, as we progressed our Phase 3 ENHANCE program, partially offset by a $1.3 million decrease in share-based compensation.</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costs</w:t>
      </w:r>
    </w:p>
    <w:p>
      <w:pPr>
        <w:spacing w:after="0" w:line="90"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Selling, general and administrative costs were $10.9 million for the three months ended September 30, 2021, compared to $8.3 million for the three months ended September 30, 2020, an increase of $2.6 million. This increase was driven primarily by professional fees associated with the Nuance Agreement, partially offset by non-recurring costs relating to the $200 million PIPE financing in July 2020.</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income/(expense)</w:t>
      </w:r>
    </w:p>
    <w:p>
      <w:pPr>
        <w:spacing w:after="0" w:line="90"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The research and development tax credit for the three months ended September 30, 2021 was $4.7 million compared to $2.3 million for the three months ended September 30, 2020, an increase of $2.4 million. This increase is attributable to our higher qualifying research and development expenditures in the three months ended September 30, 2021, compared to the comparative 2020 period, as we treated more patients in our ENHANCE trials.</w:t>
      </w:r>
    </w:p>
    <w:p>
      <w:pPr>
        <w:spacing w:after="0" w:line="40"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We recorded income of $40 thousand in the three months ended September 30, 2021, compared to a loss of $1.0 million in the comparative period relating to the fair value movements of the warrants. The income recorded in the three months ended September 30, 2021 was driven by the fall of our share price, as well as lower volatility and a shorter term of the warrants. In the three months ended September 30, 2020, the loss was driven by a rise in the share price in that period as well as greater volatility.</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profit/(loss)</w:t>
      </w:r>
    </w:p>
    <w:p>
      <w:pPr>
        <w:spacing w:after="0" w:line="9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Net profit was $11.1 million for the three months ended September 30, 2021, compared to a net loss of $18.9 million for the three months ended September 30, 2020, because of the factors outlined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nine months ended September 30, 2021 and 2020</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our statements of operations for the nine months ended September 30, 2021 and 2020,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60" w:type="dxa"/>
            <w:vAlign w:val="bottom"/>
            <w:gridSpan w:val="5"/>
          </w:tcPr>
          <w:p>
            <w:pPr>
              <w:ind w:left="140"/>
              <w:spacing w:after="0"/>
              <w:rPr>
                <w:sz w:val="20"/>
                <w:szCs w:val="20"/>
                <w:color w:val="auto"/>
              </w:rPr>
            </w:pPr>
            <w:r>
              <w:rPr>
                <w:rFonts w:ascii="Arial" w:cs="Arial" w:eastAsia="Arial" w:hAnsi="Arial"/>
                <w:sz w:val="14"/>
                <w:szCs w:val="14"/>
                <w:b w:val="1"/>
                <w:bCs w:val="1"/>
                <w:color w:val="auto"/>
              </w:rPr>
              <w:t>Nine months ended September 30,</w:t>
            </w: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6"/>
        </w:trPr>
        <w:tc>
          <w:tcPr>
            <w:tcW w:w="68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4"/>
        </w:trPr>
        <w:tc>
          <w:tcPr>
            <w:tcW w:w="6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jc w:val="right"/>
              <w:ind w:right="472"/>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ind w:right="45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jc w:val="right"/>
              <w:ind w:right="371"/>
              <w:spacing w:after="0"/>
              <w:rPr>
                <w:sz w:val="20"/>
                <w:szCs w:val="20"/>
                <w:color w:val="auto"/>
              </w:rPr>
            </w:pPr>
            <w:r>
              <w:rPr>
                <w:rFonts w:ascii="Arial" w:cs="Arial" w:eastAsia="Arial" w:hAnsi="Arial"/>
                <w:sz w:val="14"/>
                <w:szCs w:val="14"/>
                <w:b w:val="1"/>
                <w:bCs w:val="1"/>
                <w:color w:val="auto"/>
              </w:rPr>
              <w:t>Change</w:t>
            </w:r>
          </w:p>
        </w:tc>
      </w:tr>
      <w:tr>
        <w:trPr>
          <w:trHeight w:val="26"/>
        </w:trPr>
        <w:tc>
          <w:tcPr>
            <w:tcW w:w="68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3"/>
        </w:trPr>
        <w:tc>
          <w:tcPr>
            <w:tcW w:w="68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Revenue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r>
      <w:tr>
        <w:trPr>
          <w:trHeight w:val="229"/>
        </w:trPr>
        <w:tc>
          <w:tcPr>
            <w:tcW w:w="682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68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56,697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28,259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28,438</w:t>
            </w:r>
          </w:p>
        </w:tc>
      </w:tr>
      <w:tr>
        <w:trPr>
          <w:trHeight w:val="230"/>
        </w:trPr>
        <w:tc>
          <w:tcPr>
            <w:tcW w:w="68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28,150</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18,318</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9,832</w:t>
            </w:r>
          </w:p>
        </w:tc>
      </w:tr>
      <w:tr>
        <w:trPr>
          <w:trHeight w:val="223"/>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operating expenses</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84,847</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46,577</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38,270</w:t>
            </w:r>
          </w:p>
        </w:tc>
      </w:tr>
      <w:tr>
        <w:trPr>
          <w:trHeight w:val="223"/>
        </w:trPr>
        <w:tc>
          <w:tcPr>
            <w:tcW w:w="6820" w:type="dxa"/>
            <w:vAlign w:val="bottom"/>
          </w:tcPr>
          <w:p>
            <w:pPr>
              <w:ind w:left="20"/>
              <w:spacing w:after="0"/>
              <w:rPr>
                <w:sz w:val="20"/>
                <w:szCs w:val="20"/>
                <w:color w:val="auto"/>
              </w:rPr>
            </w:pPr>
            <w:r>
              <w:rPr>
                <w:rFonts w:ascii="Arial" w:cs="Arial" w:eastAsia="Arial" w:hAnsi="Arial"/>
                <w:sz w:val="18"/>
                <w:szCs w:val="18"/>
                <w:b w:val="1"/>
                <w:bCs w:val="1"/>
                <w:color w:val="auto"/>
              </w:rPr>
              <w:t>Operating loss</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(44,847)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(46,577)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1,730</w:t>
            </w:r>
          </w:p>
        </w:tc>
      </w:tr>
      <w:tr>
        <w:trPr>
          <w:trHeight w:val="229"/>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income/(expense)</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6820" w:type="dxa"/>
            <w:vAlign w:val="bottom"/>
          </w:tcPr>
          <w:p>
            <w:pPr>
              <w:ind w:left="240"/>
              <w:spacing w:after="0"/>
              <w:rPr>
                <w:sz w:val="20"/>
                <w:szCs w:val="20"/>
                <w:color w:val="auto"/>
              </w:rPr>
            </w:pPr>
            <w:r>
              <w:rPr>
                <w:rFonts w:ascii="Arial" w:cs="Arial" w:eastAsia="Arial" w:hAnsi="Arial"/>
                <w:sz w:val="18"/>
                <w:szCs w:val="18"/>
                <w:color w:val="auto"/>
              </w:rPr>
              <w:t>Research and development tax credit</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10,655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5,809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4,846</w:t>
            </w:r>
          </w:p>
        </w:tc>
      </w:tr>
      <w:tr>
        <w:trPr>
          <w:trHeight w:val="229"/>
        </w:trPr>
        <w:tc>
          <w:tcPr>
            <w:tcW w:w="68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income</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r>
      <w:tr>
        <w:trPr>
          <w:trHeight w:val="229"/>
        </w:trPr>
        <w:tc>
          <w:tcPr>
            <w:tcW w:w="682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(255)</w:t>
            </w:r>
          </w:p>
        </w:tc>
      </w:tr>
      <w:tr>
        <w:trPr>
          <w:trHeight w:val="230"/>
        </w:trPr>
        <w:tc>
          <w:tcPr>
            <w:tcW w:w="68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Fair value movement on warrants</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2,991</w:t>
            </w:r>
          </w:p>
        </w:tc>
      </w:tr>
      <w:tr>
        <w:trPr>
          <w:trHeight w:val="229"/>
        </w:trPr>
        <w:tc>
          <w:tcPr>
            <w:tcW w:w="68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Foreign exchange (loss)/gain</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1,188</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(1,071)</w:t>
            </w:r>
          </w:p>
        </w:tc>
      </w:tr>
      <w:tr>
        <w:trPr>
          <w:trHeight w:val="223"/>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other income, net</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12,772</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6,366</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6,406</w:t>
            </w:r>
          </w:p>
        </w:tc>
      </w:tr>
      <w:tr>
        <w:trPr>
          <w:trHeight w:val="223"/>
        </w:trPr>
        <w:tc>
          <w:tcPr>
            <w:tcW w:w="6820" w:type="dxa"/>
            <w:vAlign w:val="bottom"/>
          </w:tcPr>
          <w:p>
            <w:pPr>
              <w:ind w:left="20"/>
              <w:spacing w:after="0"/>
              <w:rPr>
                <w:sz w:val="20"/>
                <w:szCs w:val="20"/>
                <w:color w:val="auto"/>
              </w:rPr>
            </w:pPr>
            <w:r>
              <w:rPr>
                <w:rFonts w:ascii="Arial" w:cs="Arial" w:eastAsia="Arial" w:hAnsi="Arial"/>
                <w:sz w:val="18"/>
                <w:szCs w:val="18"/>
                <w:b w:val="1"/>
                <w:bCs w:val="1"/>
                <w:color w:val="auto"/>
              </w:rPr>
              <w:t>Loss before income taxes</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(32,075)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(40,211)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8,136</w:t>
            </w:r>
          </w:p>
        </w:tc>
      </w:tr>
      <w:tr>
        <w:trPr>
          <w:trHeight w:val="230"/>
        </w:trPr>
        <w:tc>
          <w:tcPr>
            <w:tcW w:w="68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Income tax expense</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r>
      <w:tr>
        <w:trPr>
          <w:trHeight w:val="223"/>
        </w:trPr>
        <w:tc>
          <w:tcPr>
            <w:tcW w:w="6820" w:type="dxa"/>
            <w:vAlign w:val="bottom"/>
          </w:tcPr>
          <w:p>
            <w:pPr>
              <w:ind w:left="20"/>
              <w:spacing w:after="0"/>
              <w:rPr>
                <w:sz w:val="20"/>
                <w:szCs w:val="20"/>
                <w:color w:val="auto"/>
              </w:rPr>
            </w:pPr>
            <w:r>
              <w:rPr>
                <w:rFonts w:ascii="Arial" w:cs="Arial" w:eastAsia="Arial" w:hAnsi="Arial"/>
                <w:sz w:val="18"/>
                <w:szCs w:val="18"/>
                <w:b w:val="1"/>
                <w:bCs w:val="1"/>
                <w:color w:val="auto"/>
              </w:rPr>
              <w:t>Net loss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(32,307)</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(40,321)</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8,014</w:t>
            </w:r>
          </w:p>
        </w:tc>
      </w:tr>
      <w:tr>
        <w:trPr>
          <w:trHeight w:val="20"/>
        </w:trPr>
        <w:tc>
          <w:tcPr>
            <w:tcW w:w="6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9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Revenue of $40.0 million for the nine months ended September 30, 2021 is related to upfront consideration received under the Nuance Agreement. There was no revenue for the nine months ended September 30, 2020.</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costs</w:t>
      </w:r>
    </w:p>
    <w:p>
      <w:pPr>
        <w:spacing w:after="0" w:line="90"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Research and development costs were $56.7 million for the nine months ended September 30, 2021, compared to $28.3 million for the nine months ended September 30, 2020, an increase of $28.4 million. This increase was primarily due to a $24.6 million increase in clinical trial and other development costs, as we progressed our Phase 3 ENHANCE program, as well as a $4.4 million increase in share-based compensation charges.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costs</w:t>
      </w:r>
    </w:p>
    <w:p>
      <w:pPr>
        <w:spacing w:after="0" w:line="90"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Selling, general and administrative costs were $28.2 million for the nine months ended September 30, 2021 compared to $18.3 million for the nine months ended September 30, 2020, an increase of $9.9 million. This increase was driven primarily by a $7.5 million increase in share-based compensation charges and professional fees associated with the Nuance Agreement, partially offset by severance, executive change costs and non-recurring costs relating to the $200.2 million PIPE financing in July 2020.</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income/(expense)</w:t>
      </w:r>
    </w:p>
    <w:p>
      <w:pPr>
        <w:spacing w:after="0" w:line="90"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The research and development tax credit for the nine months ended September 30, 2021 was $10.7 million compared to $5.8 million for the nine months ended September 30, 2020, an increase of $4.9 million. This increase was attributable to our higher qualifying research and development expenditures in the nine months ended September 30, 2021, compared to the comparative 2020 period, as we enrolled more patients in our Phase 3 trials.</w:t>
      </w:r>
    </w:p>
    <w:p>
      <w:pPr>
        <w:spacing w:after="0" w:line="40"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We recorded income of $2.2 million in the nine months ended September 30, 2021, compared to a charge of $0.7 million in the comparative period relating to the fair value movements of the warrants. The income recorded in the nine months ended September 30, 2021, is driven by the fall of our share price, as well as lower volatility and a shorter term of the warrants. In the nine months ended September 30, 2020, there was a loss due to a rise in the share price in that period and greater volatility.</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9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Net loss was $32.3 million for the nine months ended September 30, 2021, compared to $40.3 million for the nine months ended September 30, 2020, because of the factors outlined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the nine months ended September 30, 2021 and 2020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60" w:type="dxa"/>
            <w:vAlign w:val="bottom"/>
            <w:gridSpan w:val="5"/>
          </w:tcPr>
          <w:p>
            <w:pPr>
              <w:ind w:left="140"/>
              <w:spacing w:after="0"/>
              <w:rPr>
                <w:sz w:val="20"/>
                <w:szCs w:val="20"/>
                <w:color w:val="auto"/>
              </w:rPr>
            </w:pPr>
            <w:r>
              <w:rPr>
                <w:rFonts w:ascii="Arial" w:cs="Arial" w:eastAsia="Arial" w:hAnsi="Arial"/>
                <w:sz w:val="14"/>
                <w:szCs w:val="14"/>
                <w:b w:val="1"/>
                <w:bCs w:val="1"/>
                <w:color w:val="auto"/>
              </w:rPr>
              <w:t>Nine months ended September 30,</w:t>
            </w: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8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4"/>
        </w:trPr>
        <w:tc>
          <w:tcPr>
            <w:tcW w:w="6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jc w:val="right"/>
              <w:ind w:right="475"/>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ind w:right="453"/>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8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and cash equivalents at beginning of the period</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187,986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30,428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157,558</w:t>
            </w:r>
          </w:p>
        </w:tc>
        <w:tc>
          <w:tcPr>
            <w:tcW w:w="0" w:type="dxa"/>
            <w:vAlign w:val="bottom"/>
          </w:tcPr>
          <w:p>
            <w:pPr>
              <w:spacing w:after="0"/>
              <w:rPr>
                <w:sz w:val="1"/>
                <w:szCs w:val="1"/>
                <w:color w:val="auto"/>
              </w:rPr>
            </w:pPr>
          </w:p>
        </w:tc>
      </w:tr>
      <w:tr>
        <w:trPr>
          <w:trHeight w:val="229"/>
        </w:trPr>
        <w:tc>
          <w:tcPr>
            <w:tcW w:w="6820" w:type="dxa"/>
            <w:vAlign w:val="bottom"/>
          </w:tcPr>
          <w:p>
            <w:pPr>
              <w:ind w:left="240"/>
              <w:spacing w:after="0"/>
              <w:rPr>
                <w:sz w:val="20"/>
                <w:szCs w:val="20"/>
                <w:color w:val="auto"/>
              </w:rPr>
            </w:pPr>
            <w:r>
              <w:rPr>
                <w:rFonts w:ascii="Arial" w:cs="Arial" w:eastAsia="Arial" w:hAnsi="Arial"/>
                <w:sz w:val="18"/>
                <w:szCs w:val="18"/>
                <w:color w:val="auto"/>
              </w:rPr>
              <w:t>Net cash used in operating activities</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(15,931)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(26,281)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10,350</w:t>
            </w:r>
          </w:p>
        </w:tc>
        <w:tc>
          <w:tcPr>
            <w:tcW w:w="0" w:type="dxa"/>
            <w:vAlign w:val="bottom"/>
          </w:tcPr>
          <w:p>
            <w:pPr>
              <w:spacing w:after="0"/>
              <w:rPr>
                <w:sz w:val="1"/>
                <w:szCs w:val="1"/>
                <w:color w:val="auto"/>
              </w:rPr>
            </w:pPr>
          </w:p>
        </w:tc>
      </w:tr>
      <w:tr>
        <w:trPr>
          <w:trHeight w:val="229"/>
        </w:trPr>
        <w:tc>
          <w:tcPr>
            <w:tcW w:w="68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cash (used in)/provided by investing activities</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(9,730)</w:t>
            </w:r>
          </w:p>
        </w:tc>
        <w:tc>
          <w:tcPr>
            <w:tcW w:w="0" w:type="dxa"/>
            <w:vAlign w:val="bottom"/>
          </w:tcPr>
          <w:p>
            <w:pPr>
              <w:spacing w:after="0"/>
              <w:rPr>
                <w:sz w:val="1"/>
                <w:szCs w:val="1"/>
                <w:color w:val="auto"/>
              </w:rPr>
            </w:pPr>
          </w:p>
        </w:tc>
      </w:tr>
      <w:tr>
        <w:trPr>
          <w:trHeight w:val="230"/>
        </w:trPr>
        <w:tc>
          <w:tcPr>
            <w:tcW w:w="6820" w:type="dxa"/>
            <w:vAlign w:val="bottom"/>
          </w:tcPr>
          <w:p>
            <w:pPr>
              <w:ind w:left="240"/>
              <w:spacing w:after="0"/>
              <w:rPr>
                <w:sz w:val="20"/>
                <w:szCs w:val="20"/>
                <w:color w:val="auto"/>
              </w:rPr>
            </w:pPr>
            <w:r>
              <w:rPr>
                <w:rFonts w:ascii="Arial" w:cs="Arial" w:eastAsia="Arial" w:hAnsi="Arial"/>
                <w:sz w:val="18"/>
                <w:szCs w:val="18"/>
                <w:color w:val="auto"/>
              </w:rPr>
              <w:t>Net cash (used in)/provided by financing activities</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(5,216)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188,393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(193,609)</w:t>
            </w:r>
          </w:p>
        </w:tc>
        <w:tc>
          <w:tcPr>
            <w:tcW w:w="0" w:type="dxa"/>
            <w:vAlign w:val="bottom"/>
          </w:tcPr>
          <w:p>
            <w:pPr>
              <w:spacing w:after="0"/>
              <w:rPr>
                <w:sz w:val="1"/>
                <w:szCs w:val="1"/>
                <w:color w:val="auto"/>
              </w:rPr>
            </w:pPr>
          </w:p>
        </w:tc>
      </w:tr>
      <w:tr>
        <w:trPr>
          <w:trHeight w:val="229"/>
        </w:trPr>
        <w:tc>
          <w:tcPr>
            <w:tcW w:w="68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Effect of exchange rate changes on cash and cash equivalents</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6820" w:type="dxa"/>
            <w:vAlign w:val="bottom"/>
          </w:tcPr>
          <w:p>
            <w:pPr>
              <w:ind w:left="20"/>
              <w:spacing w:after="0"/>
              <w:rPr>
                <w:sz w:val="20"/>
                <w:szCs w:val="20"/>
                <w:color w:val="auto"/>
              </w:rPr>
            </w:pPr>
            <w:r>
              <w:rPr>
                <w:rFonts w:ascii="Arial" w:cs="Arial" w:eastAsia="Arial" w:hAnsi="Arial"/>
                <w:sz w:val="18"/>
                <w:szCs w:val="18"/>
                <w:b w:val="1"/>
                <w:bCs w:val="1"/>
                <w:color w:val="auto"/>
              </w:rPr>
              <w:t>Cash and cash equivalents at end of the period</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166,547</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201,968</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(35,421)</w:t>
            </w: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90"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Net cash used in operating activities was $15.9 million in the nine months ended September 30, 2021, compared to $26.3 million during the nine months ended September 30, 2020, a decrease of $10.4 million. The $25.0 million upfront payment related to the Nuance Agreement and $11.8 million related to timing of supplier payments offset a $26.4 million increase in cash based operating expenses.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90"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Net cash used in investing activities was $11 thousand in the nine months ended September 30, 2021 compared to $9.7 million provided in the nine months ended September 30, 2020. In the prior period all funds that were held on deposit, classified as short-term investments, were transferred to money market mutual funds that are classified as cash equivalents.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90"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Net cash used in financing activities was $5.2 million in the nine months ended September 30, 2021, compared to $188.4 million provided in the nine months ended September 30, 2020. This consisted of $5.9 million for payment of withholding taxes due on the net-settling of certain employees’ RSU awards, partially offset by $0.7 million generated from the issuance of ADSs under the ATM Program. The $188.4 million provided in the nine months ended September 30, 2020, related to net funds received from the $200.2 million PIPE financing in July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02"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do not currently have any approved products and have never generated any revenue from product sales. To date, we have financed our operations primarily through the issuances of our equity securities, including warrants, from borrowings under the Term Loan and upfront payments from the Nuance Agreement. See “Significant Agreements” and “Indebtedness” for additional information.</w:t>
      </w:r>
    </w:p>
    <w:p>
      <w:pPr>
        <w:spacing w:after="0" w:line="67"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have incurred recurring losses since inception, including net losses of $32.3 million for the nine months ended September 30, 2021, and $65.1 million for the year ended December 31, 2020. As of September 30, 2021, we had an accumulated deficit of $240.3 million. We expect to continue to generate operating losses for the foreseeable future.</w:t>
      </w:r>
    </w:p>
    <w:p>
      <w:pPr>
        <w:spacing w:after="0" w:line="67"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have no ongoing material financing commitments, such as lines of credit or guarantees, that are expected to affect our liquidity over the next five years, other than leases and the Term Loan with Silicon Valley Bank.</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Open market sale agreement</w:t>
      </w:r>
    </w:p>
    <w:p>
      <w:pPr>
        <w:spacing w:after="0" w:line="90"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In March, 2021, we entered into an open market sale agreement with Jefferies LLC (“Jefferies”) to sell shares of our ordinary shares, in the form of ADSs, with aggregate gross sales proceeds of up to $100.0 million, from time to time, through an “at the market” equity offering program under which Jefferies will act as sales agent (the “ATM Program”).</w:t>
      </w:r>
    </w:p>
    <w:p>
      <w:pPr>
        <w:spacing w:after="0" w:line="67"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During the nine months ended September 30, 2021, we sold 873,104 ordinary shares (equivalent to 109,138 ADSs) under the ATM Program, at an average price of approximately $0.86 per share (equivalent to $6.91 per ADS), raising aggregate net proceeds of approximately $0.7 million after deducting issuance costs. As of September 30, 2021, $99.2 million of ordinary shares, in the form of ADSs, remained available for sale under the ATM Program.</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Indebtedness</w:t>
      </w:r>
    </w:p>
    <w:p>
      <w:pPr>
        <w:spacing w:after="0" w:line="198"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In November, 2020, we and Verona Pharma, Inc. entered into a term loan facility of up to $30.0 million with Silicon Valley Bank, which we refer to as the Term Loan, consisting of term loan advances in an aggregate amount of $5.0 million funded at closing, a term loan advance of an aggregate amount of $10.0 million available subject to certain terms and conditions and the achievement of a specific clinical milestone, and a term loan advance of an aggregate amount of $15.0 million contingent upon achievement of a specific clinical development milestone and other specified conditions. As of September 30, 2021, the Company had $5.0 million principal outstanding under the Term Loan. Additional detail surrounding the Term Loan is included under the caption “Management’s Discussion and Analysis of Financial Condition and Results of Operations” in our 2020 Form 10-K. There have been no material changes to that information disclosed in our 2020 Form 10-K during the nine months ended September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Funding requirements</w:t>
      </w:r>
    </w:p>
    <w:p>
      <w:pPr>
        <w:spacing w:after="0" w:line="202"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We believe that our cash and cash equivalents as of September 30, 2021, expected cash receipts from U.K. tax credits and funding expected to become available under the Term Loan, will enable us to fund our planned operating expenses and capital expenditure requirements through at least the end of 2023. The Term Loan advances are contingent upon achievement of certain clinical development milestones and other specified conditions.</w:t>
      </w:r>
    </w:p>
    <w:p>
      <w:pPr>
        <w:spacing w:after="0" w:line="148"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We will require significant additional capital to further advance clinical and regulatory activities, to fund prelaunch and launch related costs and to create an effective sales and marketing organization to commercialize ensifentrine. We will need to seek additional funding through public or private financings, debt financing, collaboration or licensing agreements and other arrangements. However, there is no guarantee that we will be successful in securing additional finance on acceptable terms, or at all.</w:t>
      </w:r>
    </w:p>
    <w:p>
      <w:pPr>
        <w:spacing w:after="0" w:line="67"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To the extent that we raise additional capital through the sale of equity or convertible debt securities, the ownership interest of our shareholders and ADS holders will be diluted, and the terms of these securities may include liquidation or other preferences that adversely affect such holders’ rights as a shareholder or ADS holder. Any future debt financing or preferred equity financing, if available, may involve agreements that include covenants limiting or restricting our ability to take specific actions, such as incurring additional debt, making capital expenditures or declaring dividends and may require the issuance of warrants, which could potentially dilute our security holders’ ownership interests.</w:t>
      </w:r>
    </w:p>
    <w:p>
      <w:pPr>
        <w:spacing w:after="0" w:line="200" w:lineRule="exact"/>
        <w:rPr>
          <w:sz w:val="20"/>
          <w:szCs w:val="20"/>
          <w:color w:val="auto"/>
        </w:rPr>
      </w:pPr>
    </w:p>
    <w:p>
      <w:pPr>
        <w:spacing w:after="0" w:line="218"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If we raise additional funds through collaborations, strategic alliances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when needed, we may be required to delay, limit, reduce or terminate our product development programs or any future commercialization efforts or grant rights to develop and market product candidates that we would otherwise prefer to develop and market ourselves.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Our future capital requirements for ensifentrine or any future product candidates will depend on many factors, including:</w:t>
      </w:r>
    </w:p>
    <w:p>
      <w:pPr>
        <w:spacing w:after="0" w:line="90" w:lineRule="exact"/>
        <w:rPr>
          <w:sz w:val="20"/>
          <w:szCs w:val="20"/>
          <w:color w:val="auto"/>
        </w:rPr>
      </w:pPr>
    </w:p>
    <w:p>
      <w:pPr>
        <w:ind w:left="340" w:hanging="332"/>
        <w:spacing w:after="0" w:line="246" w:lineRule="auto"/>
        <w:tabs>
          <w:tab w:leader="none" w:pos="33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progress, timing and completion of pre-clinical testing and clinical trials for ensifentrine or any future product candidates and the potential that we may be required to conduct additional clinical trials for ensifentrine;</w:t>
      </w:r>
    </w:p>
    <w:p>
      <w:pPr>
        <w:spacing w:after="0" w:line="61" w:lineRule="exact"/>
        <w:rPr>
          <w:rFonts w:ascii="Arial" w:cs="Arial" w:eastAsia="Arial" w:hAnsi="Arial"/>
          <w:sz w:val="18"/>
          <w:szCs w:val="18"/>
          <w:color w:val="auto"/>
        </w:rPr>
      </w:pPr>
    </w:p>
    <w:p>
      <w:pPr>
        <w:ind w:left="320" w:hanging="312"/>
        <w:spacing w:after="0"/>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number of potential new product candidates we decide to in-license and develop;</w:t>
      </w:r>
    </w:p>
    <w:p>
      <w:pPr>
        <w:spacing w:after="0" w:line="90" w:lineRule="exact"/>
        <w:rPr>
          <w:rFonts w:ascii="Arial" w:cs="Arial" w:eastAsia="Arial" w:hAnsi="Arial"/>
          <w:sz w:val="18"/>
          <w:szCs w:val="18"/>
          <w:color w:val="auto"/>
        </w:rPr>
      </w:pPr>
    </w:p>
    <w:p>
      <w:pPr>
        <w:ind w:left="340" w:hanging="332"/>
        <w:spacing w:after="0" w:line="246" w:lineRule="auto"/>
        <w:tabs>
          <w:tab w:leader="none" w:pos="33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costs involved in growing our organization to the size needed to allow for the research, development and potential commercialization of ensifentrine or any future product candidates;</w:t>
      </w:r>
    </w:p>
    <w:p>
      <w:pPr>
        <w:spacing w:after="0" w:line="61" w:lineRule="exact"/>
        <w:rPr>
          <w:rFonts w:ascii="Arial" w:cs="Arial" w:eastAsia="Arial" w:hAnsi="Arial"/>
          <w:sz w:val="18"/>
          <w:szCs w:val="18"/>
          <w:color w:val="auto"/>
        </w:rPr>
      </w:pPr>
    </w:p>
    <w:p>
      <w:pPr>
        <w:ind w:left="340" w:hanging="332"/>
        <w:spacing w:after="0" w:line="246" w:lineRule="auto"/>
        <w:tabs>
          <w:tab w:leader="none" w:pos="33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costs involved in filing patent applications and maintaining and enforcing patents or defending against claims or infringements raised by third parties;</w:t>
      </w:r>
    </w:p>
    <w:p>
      <w:pPr>
        <w:spacing w:after="0" w:line="61" w:lineRule="exact"/>
        <w:rPr>
          <w:rFonts w:ascii="Arial" w:cs="Arial" w:eastAsia="Arial" w:hAnsi="Arial"/>
          <w:sz w:val="18"/>
          <w:szCs w:val="18"/>
          <w:color w:val="auto"/>
        </w:rPr>
      </w:pPr>
    </w:p>
    <w:p>
      <w:pPr>
        <w:ind w:left="340" w:hanging="332"/>
        <w:spacing w:after="0" w:line="274" w:lineRule="auto"/>
        <w:tabs>
          <w:tab w:leader="none" w:pos="335"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time and costs involved in obtaining regulatory approvals for ensifentrine or any future product candidate we develop and any delays we may encounter as a result of evolving regulatory requirements or adverse results with respect to ensifentrine or any future product candidates;</w:t>
      </w:r>
    </w:p>
    <w:p>
      <w:pPr>
        <w:spacing w:after="0" w:line="39" w:lineRule="exact"/>
        <w:rPr>
          <w:rFonts w:ascii="Arial" w:cs="Arial" w:eastAsia="Arial" w:hAnsi="Arial"/>
          <w:sz w:val="17"/>
          <w:szCs w:val="17"/>
          <w:color w:val="auto"/>
        </w:rPr>
      </w:pPr>
    </w:p>
    <w:p>
      <w:pPr>
        <w:ind w:left="320" w:hanging="312"/>
        <w:spacing w:after="0"/>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licensing or milestone fees we might have to pay during future development of ensifentrine or any future product candidates;</w:t>
      </w:r>
    </w:p>
    <w:p>
      <w:pPr>
        <w:spacing w:after="0" w:line="90" w:lineRule="exact"/>
        <w:rPr>
          <w:rFonts w:ascii="Arial" w:cs="Arial" w:eastAsia="Arial" w:hAnsi="Arial"/>
          <w:sz w:val="18"/>
          <w:szCs w:val="18"/>
          <w:color w:val="auto"/>
        </w:rPr>
      </w:pPr>
    </w:p>
    <w:p>
      <w:pPr>
        <w:ind w:left="340" w:hanging="332"/>
        <w:spacing w:after="0" w:line="246" w:lineRule="auto"/>
        <w:tabs>
          <w:tab w:leader="none" w:pos="335" w:val="left"/>
        </w:tabs>
        <w:numPr>
          <w:ilvl w:val="0"/>
          <w:numId w:val="6"/>
        </w:numPr>
        <w:rPr>
          <w:rFonts w:ascii="Arial" w:cs="Arial" w:eastAsia="Arial" w:hAnsi="Arial"/>
          <w:sz w:val="18"/>
          <w:szCs w:val="18"/>
          <w:color w:val="auto"/>
        </w:rPr>
      </w:pPr>
      <w:r>
        <w:rPr>
          <w:rFonts w:ascii="Arial" w:cs="Arial" w:eastAsia="Arial" w:hAnsi="Arial"/>
          <w:sz w:val="18"/>
          <w:szCs w:val="18"/>
          <w:color w:val="auto"/>
        </w:rPr>
        <w:t>selling and marketing activities undertaken in connection with the anticipated commercialization of ensifentrine or any future product candidates, if approved, and costs involved in the creation of an effective sales and marketing organization; and</w:t>
      </w:r>
    </w:p>
    <w:p>
      <w:pPr>
        <w:spacing w:after="0" w:line="61" w:lineRule="exact"/>
        <w:rPr>
          <w:rFonts w:ascii="Arial" w:cs="Arial" w:eastAsia="Arial" w:hAnsi="Arial"/>
          <w:sz w:val="18"/>
          <w:szCs w:val="18"/>
          <w:color w:val="auto"/>
        </w:rPr>
      </w:pPr>
    </w:p>
    <w:p>
      <w:pPr>
        <w:ind w:left="340" w:right="20" w:hanging="332"/>
        <w:spacing w:after="0" w:line="246" w:lineRule="auto"/>
        <w:tabs>
          <w:tab w:leader="none" w:pos="33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amount of revenues, if any, we may derive either directly or in the form of royalty payments from future sales of ensifentrine or any future product candidates, if approved.</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Our commercial revenues, if any, will be derived from sales of products that we do not expect to be commercially available for many years, if ever.</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Accordingly, we will need to obtain substantial additional funds to achieve our business objective.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02"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We do not have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 We do not engage in off-balance sheet financing arrangements. In addition, we do not engage in trading activities involving non-exchange traded contracts. We therefore believe that we are not materially exposed to any financing, liquidity, market or credit risk that could arise if we had engaged in these relationships.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0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For a discussion of pending and recently adopted accounting pronouncements, see Note 2 to our consolidated financial statements included in the 2020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28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0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are a smaller reporting company as defined in Rule 12b-2 of the Exchange Act and are not required to provide the information otherwise required under this Item 3.</w:t>
      </w:r>
    </w:p>
    <w:p>
      <w:pPr>
        <w:spacing w:after="0" w:line="16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Effectiveness of Controls and Procedures</w:t>
      </w:r>
    </w:p>
    <w:p>
      <w:pPr>
        <w:spacing w:after="0" w:line="90" w:lineRule="exact"/>
        <w:rPr>
          <w:sz w:val="20"/>
          <w:szCs w:val="20"/>
          <w:color w:val="auto"/>
        </w:rPr>
      </w:pPr>
    </w:p>
    <w:p>
      <w:pPr>
        <w:jc w:val="both"/>
        <w:ind w:right="20"/>
        <w:spacing w:after="0" w:line="231" w:lineRule="auto"/>
        <w:rPr>
          <w:sz w:val="20"/>
          <w:szCs w:val="20"/>
          <w:color w:val="auto"/>
        </w:rPr>
      </w:pPr>
      <w:r>
        <w:rPr>
          <w:rFonts w:ascii="Arial" w:cs="Arial" w:eastAsia="Arial" w:hAnsi="Arial"/>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90"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has evaluated the effectiveness of our disclosure controls and procedures (as defined in Rules 13a-15(e) and 15d-15(e)) under the Exchange Act as of the end of the period covered by this Quarterly Report on Form 10-Q. Based on such evaluation, our principal executive officer and principal financial officer have concluded that, as of September 30, 2021, our disclosure controls and procedures were effective at the reasonable assurance level.</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90"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In June 2021, we entered into the Nuance Agreement. Consequently we are implementing certain controls over financial reporting in the year ending December 31, 2021, with regards to obligations to supply drug product to Nuance, and other related accounting matters. Apart from the foregoing changes no change in our internal control over financial reporting (as defined in Rules 13a-15(f) and 15d-15(f) under the Exchange Act) occurred during the quarter ended September 30, 2021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 II - OTHER INFORMATION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We are not currently subject to any material legal proceedings.</w:t>
      </w:r>
    </w:p>
    <w:p>
      <w:pPr>
        <w:spacing w:after="0" w:line="194"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02"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Our business is subject to risks and events that, if they occur, could adversely affect our financial condition and results of operations and the trading price of our securities. Except as set forth below, our risk factors have not changed materially from those described in Part I, Item 1A of the 2020 Form 10-K under the heading “Risk Factors”.</w:t>
      </w:r>
    </w:p>
    <w:p>
      <w:pPr>
        <w:spacing w:after="0" w:line="67" w:lineRule="exact"/>
        <w:rPr>
          <w:sz w:val="20"/>
          <w:szCs w:val="20"/>
          <w:color w:val="auto"/>
        </w:rPr>
      </w:pPr>
    </w:p>
    <w:p>
      <w:pPr>
        <w:jc w:val="both"/>
        <w:spacing w:after="0" w:line="235" w:lineRule="auto"/>
        <w:rPr>
          <w:sz w:val="20"/>
          <w:szCs w:val="20"/>
          <w:color w:val="auto"/>
        </w:rPr>
      </w:pPr>
      <w:r>
        <w:rPr>
          <w:rFonts w:ascii="Arial" w:cs="Arial" w:eastAsia="Arial" w:hAnsi="Arial"/>
          <w:sz w:val="18"/>
          <w:szCs w:val="18"/>
          <w:b w:val="1"/>
          <w:bCs w:val="1"/>
          <w:i w:val="1"/>
          <w:iCs w:val="1"/>
          <w:color w:val="auto"/>
        </w:rPr>
        <w:t>The collaboration and license agreement with Nuance Pharma is important to our business. If Nuance Pharma is unable to develop and commercialize products containing ensifentrine in Greater China, if we or Nuance Pharma fail to adequately perform under the Nuance Agreement, or if we or Nuance Pharma terminate the Nuance Agreement, our business would be adversely affected.</w:t>
      </w:r>
    </w:p>
    <w:p>
      <w:pPr>
        <w:spacing w:after="0" w:line="67"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entered into a collaboration and license agreement with Nuance Pharma Limited (“Nuance Pharma”) effective June 9, 2021 (the “Nuance Agreement”) under which we granted Nuance Pharma the exclusive rights to develop and commercialize products containing ensifentrine (the “Nuance Licensed Products”) in Greater China (China, Taiwan, Hong Kong and Macau).</w:t>
      </w:r>
    </w:p>
    <w:p>
      <w:pPr>
        <w:spacing w:after="0" w:line="67"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The Nuance Agreement will continue on a jurisdiction-by-jurisdiction and product-by-product basis until the expiration of royalty payment obligations with respect to such product in such jurisdiction unless earlier terminated by the parties. Either party may terminate the Nuance Agreement for an uncured material breach or bankruptcy of the other party. Nuance Pharma may also terminate the Nuance Agreement at will upon 90 days' prior written notice.</w:t>
      </w:r>
    </w:p>
    <w:p>
      <w:pPr>
        <w:spacing w:after="0" w:line="40" w:lineRule="exact"/>
        <w:rPr>
          <w:sz w:val="20"/>
          <w:szCs w:val="20"/>
          <w:color w:val="auto"/>
        </w:rPr>
      </w:pPr>
    </w:p>
    <w:p>
      <w:pPr>
        <w:jc w:val="both"/>
        <w:spacing w:after="0"/>
        <w:rPr>
          <w:sz w:val="20"/>
          <w:szCs w:val="20"/>
          <w:color w:val="auto"/>
        </w:rPr>
      </w:pPr>
      <w:r>
        <w:rPr>
          <w:rFonts w:ascii="Arial" w:cs="Arial" w:eastAsia="Arial" w:hAnsi="Arial"/>
          <w:sz w:val="17"/>
          <w:szCs w:val="17"/>
          <w:color w:val="auto"/>
        </w:rPr>
        <w:t>Termination of the Nuance Agreement could cause significant setbacks in our ability to develop and commercialize the Nuance Licensed Products in Greater China. Any suitable alternative collaboration or license agreement would take considerable time to negotiate and could also be on less favorable terms to us. In addition, under the Nuance Agreement, Nuance Pharma agreed to assume all costs related to clinical development and commercialization of the Nuance Licensed Products in Greater China. If the Nuance Agreement were to be terminated, and whether or not we identify another suitable collaborator, we may need to seek additional financing to support the clinical development and commercialization of the Nuance Licensed Products in Greater China, which could have a material adverse effect on our business.</w:t>
      </w:r>
    </w:p>
    <w:p>
      <w:pPr>
        <w:spacing w:after="0" w:line="69"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Under the Nuance Agreement, we are dependent upon Nuance Pharma to successfully develop and commercialize Nuance Licensed Products. Although we have formed a joint steering committee with Nuance Pharma to oversee and coordinate the overall conduct of the clinical development and commercialization of the Nuance Licensed Products in Greater China, we do not control all aspects of Nuance Pharma’s development and commercialization or the resources it allocates to the development of the Nuance Licensed Products identified under the Nuance Agreement. Our interests and Nuance Pharma’s interests may differ or conflict from time to time, or we may disagree with Nuance Pharma’s level of effort or resource allocation. Nuance Pharma may internally prioritize programs under development within the collaboration differently than we would, or it may not allocate sufficient resources to effectively or optimally develop or commercialize the Nuance Licensed Products. If these events were to occur, our ability to receive revenue from the commercialization of the Nuance Licensed Products would be reduced, and our business would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line="184" w:lineRule="exact"/>
        <w:rPr>
          <w:sz w:val="20"/>
          <w:szCs w:val="20"/>
          <w:color w:val="auto"/>
        </w:rPr>
      </w:pPr>
    </w:p>
    <w:p>
      <w:pPr>
        <w:jc w:val="both"/>
        <w:spacing w:after="0" w:line="246" w:lineRule="auto"/>
        <w:rPr>
          <w:sz w:val="20"/>
          <w:szCs w:val="20"/>
          <w:color w:val="auto"/>
        </w:rPr>
      </w:pPr>
      <w:r>
        <w:rPr>
          <w:rFonts w:ascii="Arial" w:cs="Arial" w:eastAsia="Arial" w:hAnsi="Arial"/>
          <w:sz w:val="18"/>
          <w:szCs w:val="18"/>
          <w:b w:val="1"/>
          <w:bCs w:val="1"/>
          <w:i w:val="1"/>
          <w:iCs w:val="1"/>
          <w:color w:val="auto"/>
        </w:rPr>
        <w:t>If we fail to enter into new strategic relationships for ensifentrine, our business, research and development and commercialization prospects could be adversely affected.</w:t>
      </w:r>
    </w:p>
    <w:p>
      <w:pPr>
        <w:spacing w:after="0" w:line="62"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Our development program for ensifentrine and the potential commercialization of ensifentrine will require substantial additional cash to fund expenses. Therefore, we may decide to enter into collaborations with pharmaceutical or biopharmaceutical companies for the development and potential commercialization of ensifentrine. For example, we may seek a collaborator for development of our DPI or MDI formulation of ensifentrine for the maintenance treatment of COPD and potentially asthma and other respiratory diseases.</w:t>
      </w:r>
    </w:p>
    <w:p>
      <w:pPr>
        <w:spacing w:after="0" w:line="67"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We face significant competition in seeking appropriate collaborators. Collaborations are complex and time consuming to negotiate and document. We may also be restricted under existing and future collaboration agreements from entering into agreements on certain terms with other potential collaborators. We may not be able to negotiate collaborations on acceptable terms, or at all. If that were to occur, we may have to curtail the development of ensifentrine, reduce or delay its development program, delay its potential commercialization or reduce the scope of our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will not be able to bring ensifentrine to market and generate product revenue. If we do enter into a collaboration agreement, we could be subject to the following risks, among others, any of which could adversely affect our ability to develop and commercialize ensifentrine:</w:t>
      </w:r>
    </w:p>
    <w:p>
      <w:pPr>
        <w:spacing w:after="0" w:line="70"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not be able to control the amount and timing of resources that the collaborator devotes to the development of ensifentrine;</w:t>
      </w:r>
    </w:p>
    <w:p>
      <w:pPr>
        <w:spacing w:after="0" w:line="90" w:lineRule="exact"/>
        <w:rPr>
          <w:rFonts w:ascii="Arial" w:cs="Arial" w:eastAsia="Arial" w:hAnsi="Arial"/>
          <w:sz w:val="18"/>
          <w:szCs w:val="18"/>
          <w:color w:val="auto"/>
        </w:rPr>
      </w:pPr>
    </w:p>
    <w:p>
      <w:pPr>
        <w:ind w:left="660" w:hanging="65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collaborator may experience financial difficulties;</w:t>
      </w:r>
    </w:p>
    <w:p>
      <w:pPr>
        <w:spacing w:after="0" w:line="90" w:lineRule="exact"/>
        <w:rPr>
          <w:rFonts w:ascii="Arial" w:cs="Arial" w:eastAsia="Arial" w:hAnsi="Arial"/>
          <w:sz w:val="18"/>
          <w:szCs w:val="18"/>
          <w:color w:val="auto"/>
        </w:rPr>
      </w:pPr>
    </w:p>
    <w:p>
      <w:pPr>
        <w:ind w:left="660" w:hanging="65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be required to relinquish important rights such as marketing, distribution and intellectual property rights;</w:t>
      </w:r>
    </w:p>
    <w:p>
      <w:pPr>
        <w:spacing w:after="0" w:line="90" w:lineRule="exact"/>
        <w:rPr>
          <w:rFonts w:ascii="Arial" w:cs="Arial" w:eastAsia="Arial" w:hAnsi="Arial"/>
          <w:sz w:val="18"/>
          <w:szCs w:val="18"/>
          <w:color w:val="auto"/>
        </w:rPr>
      </w:pPr>
    </w:p>
    <w:p>
      <w:pPr>
        <w:ind w:firstLine="8"/>
        <w:spacing w:after="0" w:line="246" w:lineRule="auto"/>
        <w:tabs>
          <w:tab w:leader="none" w:pos="643" w:val="left"/>
        </w:tabs>
        <w:numPr>
          <w:ilvl w:val="0"/>
          <w:numId w:val="7"/>
        </w:numPr>
        <w:rPr>
          <w:rFonts w:ascii="Arial" w:cs="Arial" w:eastAsia="Arial" w:hAnsi="Arial"/>
          <w:sz w:val="18"/>
          <w:szCs w:val="18"/>
          <w:color w:val="auto"/>
        </w:rPr>
      </w:pPr>
      <w:r>
        <w:rPr>
          <w:rFonts w:ascii="Arial" w:cs="Arial" w:eastAsia="Arial" w:hAnsi="Arial"/>
          <w:sz w:val="18"/>
          <w:szCs w:val="18"/>
          <w:color w:val="auto"/>
        </w:rPr>
        <w:t>a collaborator could move forward with a competing product developed either independently or in collaboration with third parties, including our competitors;</w:t>
      </w:r>
    </w:p>
    <w:p>
      <w:pPr>
        <w:spacing w:after="0" w:line="61" w:lineRule="exact"/>
        <w:rPr>
          <w:rFonts w:ascii="Arial" w:cs="Arial" w:eastAsia="Arial" w:hAnsi="Arial"/>
          <w:sz w:val="18"/>
          <w:szCs w:val="18"/>
          <w:color w:val="auto"/>
        </w:rPr>
      </w:pPr>
    </w:p>
    <w:p>
      <w:pPr>
        <w:ind w:firstLine="8"/>
        <w:spacing w:after="0" w:line="246" w:lineRule="auto"/>
        <w:tabs>
          <w:tab w:leader="none" w:pos="643" w:val="left"/>
        </w:tabs>
        <w:numPr>
          <w:ilvl w:val="0"/>
          <w:numId w:val="7"/>
        </w:numPr>
        <w:rPr>
          <w:rFonts w:ascii="Arial" w:cs="Arial" w:eastAsia="Arial" w:hAnsi="Arial"/>
          <w:sz w:val="18"/>
          <w:szCs w:val="18"/>
          <w:color w:val="auto"/>
        </w:rPr>
      </w:pPr>
      <w:r>
        <w:rPr>
          <w:rFonts w:ascii="Arial" w:cs="Arial" w:eastAsia="Arial" w:hAnsi="Arial"/>
          <w:sz w:val="18"/>
          <w:szCs w:val="18"/>
          <w:color w:val="auto"/>
        </w:rPr>
        <w:t>safety and/or efficacy data from a collaborator’s clinical development activities may conflict with our data and could potentially impact our global clinical development activities;</w:t>
      </w:r>
    </w:p>
    <w:p>
      <w:pPr>
        <w:spacing w:after="0" w:line="61" w:lineRule="exact"/>
        <w:rPr>
          <w:rFonts w:ascii="Arial" w:cs="Arial" w:eastAsia="Arial" w:hAnsi="Arial"/>
          <w:sz w:val="18"/>
          <w:szCs w:val="18"/>
          <w:color w:val="auto"/>
        </w:rPr>
      </w:pPr>
    </w:p>
    <w:p>
      <w:pPr>
        <w:ind w:left="660" w:hanging="65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collaborator may unlawfully use or disclose confidential information and materials in breach of confidentiality obligations to us;</w:t>
      </w:r>
    </w:p>
    <w:p>
      <w:pPr>
        <w:spacing w:after="0" w:line="90" w:lineRule="exact"/>
        <w:rPr>
          <w:rFonts w:ascii="Arial" w:cs="Arial" w:eastAsia="Arial" w:hAnsi="Arial"/>
          <w:sz w:val="18"/>
          <w:szCs w:val="18"/>
          <w:color w:val="auto"/>
        </w:rPr>
      </w:pPr>
    </w:p>
    <w:p>
      <w:pPr>
        <w:ind w:right="20" w:firstLine="8"/>
        <w:spacing w:after="0" w:line="246" w:lineRule="auto"/>
        <w:tabs>
          <w:tab w:leader="none" w:pos="643" w:val="left"/>
        </w:tabs>
        <w:numPr>
          <w:ilvl w:val="0"/>
          <w:numId w:val="7"/>
        </w:numPr>
        <w:rPr>
          <w:rFonts w:ascii="Arial" w:cs="Arial" w:eastAsia="Arial" w:hAnsi="Arial"/>
          <w:sz w:val="18"/>
          <w:szCs w:val="18"/>
          <w:color w:val="auto"/>
        </w:rPr>
      </w:pPr>
      <w:r>
        <w:rPr>
          <w:rFonts w:ascii="Arial" w:cs="Arial" w:eastAsia="Arial" w:hAnsi="Arial"/>
          <w:sz w:val="18"/>
          <w:szCs w:val="18"/>
          <w:color w:val="auto"/>
        </w:rPr>
        <w:t>business combinations or significant changes in a collaborator’s business strategy may adversely affect our willingness to complete our obligations under any arrangement;</w:t>
      </w:r>
    </w:p>
    <w:p>
      <w:pPr>
        <w:spacing w:after="0" w:line="61" w:lineRule="exact"/>
        <w:rPr>
          <w:rFonts w:ascii="Arial" w:cs="Arial" w:eastAsia="Arial" w:hAnsi="Arial"/>
          <w:sz w:val="18"/>
          <w:szCs w:val="18"/>
          <w:color w:val="auto"/>
        </w:rPr>
      </w:pPr>
    </w:p>
    <w:p>
      <w:pPr>
        <w:ind w:left="660" w:hanging="652"/>
        <w:spacing w:after="0"/>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we or a collaborator could fail to adequately perform our obligations under the agreement and/or the agreement could fall into dispute;</w:t>
      </w:r>
    </w:p>
    <w:p>
      <w:pPr>
        <w:spacing w:after="0" w:line="101" w:lineRule="exact"/>
        <w:rPr>
          <w:rFonts w:ascii="Arial" w:cs="Arial" w:eastAsia="Arial" w:hAnsi="Arial"/>
          <w:sz w:val="17"/>
          <w:szCs w:val="17"/>
          <w:color w:val="auto"/>
        </w:rPr>
      </w:pPr>
    </w:p>
    <w:p>
      <w:pPr>
        <w:ind w:firstLine="8"/>
        <w:spacing w:after="0" w:line="246" w:lineRule="auto"/>
        <w:tabs>
          <w:tab w:leader="none" w:pos="643"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be involved in lawsuits to protect or enforce patents covering ensifentrine, or relating to the terms of our collaborations, which could be expensive, time consuming and unsuccessful; or</w:t>
      </w:r>
    </w:p>
    <w:p>
      <w:pPr>
        <w:spacing w:after="0" w:line="61" w:lineRule="exact"/>
        <w:rPr>
          <w:rFonts w:ascii="Arial" w:cs="Arial" w:eastAsia="Arial" w:hAnsi="Arial"/>
          <w:sz w:val="18"/>
          <w:szCs w:val="18"/>
          <w:color w:val="auto"/>
        </w:rPr>
      </w:pPr>
    </w:p>
    <w:p>
      <w:pPr>
        <w:ind w:left="700" w:hanging="692"/>
        <w:spacing w:after="0"/>
        <w:tabs>
          <w:tab w:leader="none" w:pos="70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collaboration may not provide sufficient funds to be profitable for us after we fulfill any payment liabilities under the Ligand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line="2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Unregistered Sales of Equity Securities and Use of Proceeds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9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36" w:name="page37"/>
    <w:bookmarkEnd w:id="36"/>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100" w:type="dxa"/>
            <w:vAlign w:val="bottom"/>
            <w:gridSpan w:val="3"/>
          </w:tcPr>
          <w:p>
            <w:pPr>
              <w:spacing w:after="0"/>
              <w:rPr>
                <w:sz w:val="20"/>
                <w:szCs w:val="20"/>
                <w:color w:val="auto"/>
              </w:rPr>
            </w:pPr>
            <w:r>
              <w:rPr>
                <w:rFonts w:ascii="Arial" w:cs="Arial" w:eastAsia="Arial" w:hAnsi="Arial"/>
                <w:sz w:val="18"/>
                <w:szCs w:val="18"/>
                <w:color w:val="auto"/>
              </w:rPr>
              <w:t>Exhibit</w:t>
            </w:r>
          </w:p>
        </w:tc>
        <w:tc>
          <w:tcPr>
            <w:tcW w:w="4480" w:type="dxa"/>
            <w:vAlign w:val="bottom"/>
            <w:gridSpan w:val="7"/>
            <w:vMerge w:val="restart"/>
          </w:tcPr>
          <w:p>
            <w:pPr>
              <w:spacing w:after="0"/>
              <w:rPr>
                <w:sz w:val="20"/>
                <w:szCs w:val="20"/>
                <w:color w:val="auto"/>
              </w:rPr>
            </w:pPr>
            <w:r>
              <w:rPr>
                <w:rFonts w:ascii="Arial" w:cs="Arial" w:eastAsia="Arial" w:hAnsi="Arial"/>
                <w:sz w:val="18"/>
                <w:szCs w:val="18"/>
                <w:color w:val="auto"/>
              </w:rPr>
              <w:t>Exhibit Description</w:t>
            </w:r>
          </w:p>
        </w:tc>
        <w:tc>
          <w:tcPr>
            <w:tcW w:w="0" w:type="dxa"/>
            <w:vAlign w:val="bottom"/>
          </w:tcPr>
          <w:p>
            <w:pPr>
              <w:spacing w:after="0"/>
              <w:rPr>
                <w:sz w:val="1"/>
                <w:szCs w:val="1"/>
                <w:color w:val="auto"/>
              </w:rPr>
            </w:pPr>
          </w:p>
        </w:tc>
      </w:tr>
      <w:tr>
        <w:trPr>
          <w:trHeight w:val="230"/>
        </w:trPr>
        <w:tc>
          <w:tcPr>
            <w:tcW w:w="1100" w:type="dxa"/>
            <w:vAlign w:val="bottom"/>
            <w:gridSpan w:val="3"/>
          </w:tcPr>
          <w:p>
            <w:pPr>
              <w:spacing w:after="0"/>
              <w:rPr>
                <w:sz w:val="20"/>
                <w:szCs w:val="20"/>
                <w:color w:val="auto"/>
              </w:rPr>
            </w:pPr>
            <w:r>
              <w:rPr>
                <w:rFonts w:ascii="Arial" w:cs="Arial" w:eastAsia="Arial" w:hAnsi="Arial"/>
                <w:sz w:val="18"/>
                <w:szCs w:val="18"/>
                <w:color w:val="auto"/>
              </w:rPr>
              <w:t>Number</w:t>
            </w:r>
          </w:p>
        </w:tc>
        <w:tc>
          <w:tcPr>
            <w:tcW w:w="4480" w:type="dxa"/>
            <w:vAlign w:val="bottom"/>
            <w:gridSpan w:val="7"/>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96"/>
        </w:trPr>
        <w:tc>
          <w:tcPr>
            <w:tcW w:w="240" w:type="dxa"/>
            <w:vAlign w:val="bottom"/>
          </w:tcPr>
          <w:p>
            <w:pPr>
              <w:spacing w:after="0"/>
              <w:rPr>
                <w:rFonts w:ascii="Arial" w:cs="Arial" w:eastAsia="Arial" w:hAnsi="Arial"/>
                <w:sz w:val="18"/>
                <w:szCs w:val="18"/>
                <w:color w:val="0000FF"/>
                <w:w w:val="87"/>
              </w:rPr>
            </w:pPr>
            <w:hyperlink r:id="rId43">
              <w:r>
                <w:rPr>
                  <w:rFonts w:ascii="Arial" w:cs="Arial" w:eastAsia="Arial" w:hAnsi="Arial"/>
                  <w:sz w:val="18"/>
                  <w:szCs w:val="18"/>
                  <w:color w:val="0000FF"/>
                  <w:w w:val="87"/>
                </w:rPr>
                <w:t>3.</w:t>
              </w:r>
              <w:r>
                <w:rPr>
                  <w:rFonts w:ascii="Arial" w:cs="Arial" w:eastAsia="Arial" w:hAnsi="Arial"/>
                  <w:sz w:val="18"/>
                  <w:szCs w:val="18"/>
                  <w:u w:val="single" w:color="auto"/>
                  <w:color w:val="0000FF"/>
                  <w:w w:val="87"/>
                </w:rPr>
                <w:t>1</w:t>
              </w:r>
            </w:hyperlink>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80" w:type="dxa"/>
            <w:vAlign w:val="bottom"/>
            <w:gridSpan w:val="7"/>
          </w:tcPr>
          <w:p>
            <w:pPr>
              <w:spacing w:after="0"/>
              <w:rPr>
                <w:rFonts w:ascii="Arial" w:cs="Arial" w:eastAsia="Arial" w:hAnsi="Arial"/>
                <w:sz w:val="18"/>
                <w:szCs w:val="18"/>
                <w:color w:val="0000FF"/>
                <w:w w:val="91"/>
              </w:rPr>
            </w:pPr>
            <w:hyperlink r:id="rId43">
              <w:r>
                <w:rPr>
                  <w:rFonts w:ascii="Arial" w:cs="Arial" w:eastAsia="Arial" w:hAnsi="Arial"/>
                  <w:sz w:val="18"/>
                  <w:szCs w:val="18"/>
                  <w:color w:val="0000FF"/>
                  <w:w w:val="91"/>
                </w:rPr>
                <w:t>Articles of Association, as amended and as currently in effect</w:t>
              </w:r>
            </w:hyperlink>
          </w:p>
        </w:tc>
        <w:tc>
          <w:tcPr>
            <w:tcW w:w="0" w:type="dxa"/>
            <w:vAlign w:val="bottom"/>
          </w:tcPr>
          <w:p>
            <w:pPr>
              <w:spacing w:after="0"/>
              <w:rPr>
                <w:sz w:val="1"/>
                <w:szCs w:val="1"/>
                <w:color w:val="auto"/>
              </w:rPr>
            </w:pPr>
          </w:p>
        </w:tc>
      </w:tr>
      <w:tr>
        <w:trPr>
          <w:trHeight w:val="20"/>
        </w:trPr>
        <w:tc>
          <w:tcPr>
            <w:tcW w:w="2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20" w:type="dxa"/>
            <w:vAlign w:val="bottom"/>
            <w:gridSpan w:val="2"/>
            <w:vMerge w:val="restart"/>
          </w:tcPr>
          <w:p>
            <w:pPr>
              <w:spacing w:after="0"/>
              <w:rPr>
                <w:rFonts w:ascii="Arial" w:cs="Arial" w:eastAsia="Arial" w:hAnsi="Arial"/>
                <w:sz w:val="18"/>
                <w:szCs w:val="18"/>
                <w:color w:val="0000FF"/>
                <w:w w:val="85"/>
              </w:rPr>
            </w:pPr>
            <w:hyperlink w:anchor="page39">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1</w:t>
              </w:r>
            </w:hyperlink>
          </w:p>
        </w:tc>
        <w:tc>
          <w:tcPr>
            <w:tcW w:w="780" w:type="dxa"/>
            <w:vAlign w:val="bottom"/>
          </w:tcPr>
          <w:p>
            <w:pPr>
              <w:spacing w:after="0"/>
              <w:rPr>
                <w:sz w:val="24"/>
                <w:szCs w:val="24"/>
                <w:color w:val="auto"/>
              </w:rPr>
            </w:pPr>
          </w:p>
        </w:tc>
        <w:tc>
          <w:tcPr>
            <w:tcW w:w="4480" w:type="dxa"/>
            <w:vAlign w:val="bottom"/>
            <w:gridSpan w:val="7"/>
          </w:tcPr>
          <w:p>
            <w:pPr>
              <w:spacing w:after="0"/>
              <w:rPr>
                <w:rFonts w:ascii="Arial" w:cs="Arial" w:eastAsia="Arial" w:hAnsi="Arial"/>
                <w:sz w:val="18"/>
                <w:szCs w:val="18"/>
                <w:color w:val="0000FF"/>
                <w:w w:val="98"/>
              </w:rPr>
            </w:pPr>
            <w:hyperlink w:anchor="page39">
              <w:r>
                <w:rPr>
                  <w:rFonts w:ascii="Arial" w:cs="Arial" w:eastAsia="Arial" w:hAnsi="Arial"/>
                  <w:sz w:val="18"/>
                  <w:szCs w:val="18"/>
                  <w:color w:val="0000FF"/>
                  <w:w w:val="98"/>
                </w:rPr>
                <w:t>Rule 13a-14(a)/15d-14(a) Certification of Chief Executive</w:t>
              </w:r>
            </w:hyperlink>
          </w:p>
        </w:tc>
        <w:tc>
          <w:tcPr>
            <w:tcW w:w="0" w:type="dxa"/>
            <w:vAlign w:val="bottom"/>
          </w:tcPr>
          <w:p>
            <w:pPr>
              <w:spacing w:after="0"/>
              <w:rPr>
                <w:sz w:val="1"/>
                <w:szCs w:val="1"/>
                <w:color w:val="auto"/>
              </w:rPr>
            </w:pPr>
          </w:p>
        </w:tc>
      </w:tr>
      <w:tr>
        <w:trPr>
          <w:trHeight w:val="156"/>
        </w:trPr>
        <w:tc>
          <w:tcPr>
            <w:tcW w:w="320" w:type="dxa"/>
            <w:vAlign w:val="bottom"/>
            <w:tcBorders>
              <w:bottom w:val="single" w:sz="8" w:color="0000FF"/>
            </w:tcBorders>
            <w:gridSpan w:val="2"/>
            <w:vMerge w:val="continue"/>
          </w:tcPr>
          <w:p>
            <w:pPr>
              <w:spacing w:after="0"/>
              <w:rPr>
                <w:sz w:val="13"/>
                <w:szCs w:val="13"/>
                <w:color w:val="auto"/>
              </w:rPr>
            </w:pPr>
          </w:p>
        </w:tc>
        <w:tc>
          <w:tcPr>
            <w:tcW w:w="780" w:type="dxa"/>
            <w:vAlign w:val="bottom"/>
          </w:tcPr>
          <w:p>
            <w:pPr>
              <w:spacing w:after="0"/>
              <w:rPr>
                <w:sz w:val="13"/>
                <w:szCs w:val="13"/>
                <w:color w:val="auto"/>
              </w:rPr>
            </w:pPr>
          </w:p>
        </w:tc>
        <w:tc>
          <w:tcPr>
            <w:tcW w:w="52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4"/>
              </w:rPr>
            </w:pPr>
            <w:hyperlink w:anchor="page39">
              <w:r>
                <w:rPr>
                  <w:rFonts w:ascii="Arial" w:cs="Arial" w:eastAsia="Arial" w:hAnsi="Arial"/>
                  <w:sz w:val="18"/>
                  <w:szCs w:val="18"/>
                  <w:color w:val="0000FF"/>
                  <w:w w:val="94"/>
                </w:rPr>
                <w:t>Officer</w:t>
              </w:r>
            </w:hyperlink>
          </w:p>
        </w:tc>
        <w:tc>
          <w:tcPr>
            <w:tcW w:w="3680" w:type="dxa"/>
            <w:vAlign w:val="bottom"/>
            <w:tcBorders>
              <w:top w:val="single" w:sz="8" w:color="0000FF"/>
            </w:tcBorders>
            <w:gridSpan w:val="4"/>
          </w:tcPr>
          <w:p>
            <w:pPr>
              <w:spacing w:after="0"/>
              <w:rPr>
                <w:sz w:val="13"/>
                <w:szCs w:val="13"/>
                <w:color w:val="auto"/>
              </w:rPr>
            </w:pPr>
          </w:p>
        </w:tc>
        <w:tc>
          <w:tcPr>
            <w:tcW w:w="2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426"/>
        </w:trPr>
        <w:tc>
          <w:tcPr>
            <w:tcW w:w="320" w:type="dxa"/>
            <w:vAlign w:val="bottom"/>
            <w:gridSpan w:val="2"/>
            <w:vMerge w:val="restart"/>
          </w:tcPr>
          <w:p>
            <w:pPr>
              <w:spacing w:after="0"/>
              <w:rPr>
                <w:rFonts w:ascii="Arial" w:cs="Arial" w:eastAsia="Arial" w:hAnsi="Arial"/>
                <w:sz w:val="18"/>
                <w:szCs w:val="18"/>
                <w:color w:val="0000FF"/>
                <w:w w:val="85"/>
              </w:rPr>
            </w:pPr>
            <w:hyperlink w:anchor="page40">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2</w:t>
              </w:r>
            </w:hyperlink>
          </w:p>
        </w:tc>
        <w:tc>
          <w:tcPr>
            <w:tcW w:w="780" w:type="dxa"/>
            <w:vAlign w:val="bottom"/>
          </w:tcPr>
          <w:p>
            <w:pPr>
              <w:spacing w:after="0"/>
              <w:rPr>
                <w:sz w:val="24"/>
                <w:szCs w:val="24"/>
                <w:color w:val="auto"/>
              </w:rPr>
            </w:pPr>
          </w:p>
        </w:tc>
        <w:tc>
          <w:tcPr>
            <w:tcW w:w="4480" w:type="dxa"/>
            <w:vAlign w:val="bottom"/>
            <w:gridSpan w:val="7"/>
          </w:tcPr>
          <w:p>
            <w:pPr>
              <w:spacing w:after="0"/>
              <w:rPr>
                <w:rFonts w:ascii="Arial" w:cs="Arial" w:eastAsia="Arial" w:hAnsi="Arial"/>
                <w:sz w:val="18"/>
                <w:szCs w:val="18"/>
                <w:color w:val="0000FF"/>
                <w:w w:val="99"/>
              </w:rPr>
            </w:pPr>
            <w:hyperlink w:anchor="page40">
              <w:r>
                <w:rPr>
                  <w:rFonts w:ascii="Arial" w:cs="Arial" w:eastAsia="Arial" w:hAnsi="Arial"/>
                  <w:sz w:val="18"/>
                  <w:szCs w:val="18"/>
                  <w:color w:val="0000FF"/>
                  <w:w w:val="99"/>
                </w:rPr>
                <w:t>Rule 13a-14(a)/15d-14(a) Certification of Chief Financial</w:t>
              </w:r>
            </w:hyperlink>
          </w:p>
        </w:tc>
        <w:tc>
          <w:tcPr>
            <w:tcW w:w="0" w:type="dxa"/>
            <w:vAlign w:val="bottom"/>
          </w:tcPr>
          <w:p>
            <w:pPr>
              <w:spacing w:after="0"/>
              <w:rPr>
                <w:sz w:val="1"/>
                <w:szCs w:val="1"/>
                <w:color w:val="auto"/>
              </w:rPr>
            </w:pPr>
          </w:p>
        </w:tc>
      </w:tr>
      <w:tr>
        <w:trPr>
          <w:trHeight w:val="155"/>
        </w:trPr>
        <w:tc>
          <w:tcPr>
            <w:tcW w:w="320" w:type="dxa"/>
            <w:vAlign w:val="bottom"/>
            <w:tcBorders>
              <w:bottom w:val="single" w:sz="8" w:color="0000FF"/>
            </w:tcBorders>
            <w:gridSpan w:val="2"/>
            <w:vMerge w:val="continue"/>
          </w:tcPr>
          <w:p>
            <w:pPr>
              <w:spacing w:after="0"/>
              <w:rPr>
                <w:sz w:val="13"/>
                <w:szCs w:val="13"/>
                <w:color w:val="auto"/>
              </w:rPr>
            </w:pPr>
          </w:p>
        </w:tc>
        <w:tc>
          <w:tcPr>
            <w:tcW w:w="780" w:type="dxa"/>
            <w:vAlign w:val="bottom"/>
          </w:tcPr>
          <w:p>
            <w:pPr>
              <w:spacing w:after="0"/>
              <w:rPr>
                <w:sz w:val="13"/>
                <w:szCs w:val="13"/>
                <w:color w:val="auto"/>
              </w:rPr>
            </w:pPr>
          </w:p>
        </w:tc>
        <w:tc>
          <w:tcPr>
            <w:tcW w:w="52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4"/>
              </w:rPr>
            </w:pPr>
            <w:hyperlink w:anchor="page40">
              <w:r>
                <w:rPr>
                  <w:rFonts w:ascii="Arial" w:cs="Arial" w:eastAsia="Arial" w:hAnsi="Arial"/>
                  <w:sz w:val="18"/>
                  <w:szCs w:val="18"/>
                  <w:color w:val="0000FF"/>
                  <w:w w:val="94"/>
                </w:rPr>
                <w:t>Officer</w:t>
              </w:r>
            </w:hyperlink>
          </w:p>
        </w:tc>
        <w:tc>
          <w:tcPr>
            <w:tcW w:w="3640" w:type="dxa"/>
            <w:vAlign w:val="bottom"/>
            <w:tcBorders>
              <w:top w:val="single" w:sz="8" w:color="0000FF"/>
            </w:tcBorders>
            <w:gridSpan w:val="3"/>
          </w:tcPr>
          <w:p>
            <w:pPr>
              <w:spacing w:after="0"/>
              <w:rPr>
                <w:sz w:val="13"/>
                <w:szCs w:val="13"/>
                <w:color w:val="auto"/>
              </w:rPr>
            </w:pPr>
          </w:p>
        </w:tc>
        <w:tc>
          <w:tcPr>
            <w:tcW w:w="32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426"/>
        </w:trPr>
        <w:tc>
          <w:tcPr>
            <w:tcW w:w="320" w:type="dxa"/>
            <w:vAlign w:val="bottom"/>
            <w:gridSpan w:val="2"/>
          </w:tcPr>
          <w:p>
            <w:pPr>
              <w:spacing w:after="0"/>
              <w:rPr>
                <w:rFonts w:ascii="Arial" w:cs="Arial" w:eastAsia="Arial" w:hAnsi="Arial"/>
                <w:sz w:val="18"/>
                <w:szCs w:val="18"/>
                <w:color w:val="0000FF"/>
                <w:w w:val="85"/>
              </w:rPr>
            </w:pPr>
            <w:hyperlink w:anchor="page41">
              <w:r>
                <w:rPr>
                  <w:rFonts w:ascii="Arial" w:cs="Arial" w:eastAsia="Arial" w:hAnsi="Arial"/>
                  <w:sz w:val="18"/>
                  <w:szCs w:val="18"/>
                  <w:color w:val="0000FF"/>
                  <w:w w:val="85"/>
                </w:rPr>
                <w:t>32.</w:t>
              </w:r>
              <w:r>
                <w:rPr>
                  <w:rFonts w:ascii="Arial" w:cs="Arial" w:eastAsia="Arial" w:hAnsi="Arial"/>
                  <w:sz w:val="18"/>
                  <w:szCs w:val="18"/>
                  <w:u w:val="single" w:color="auto"/>
                  <w:color w:val="0000FF"/>
                  <w:w w:val="85"/>
                </w:rPr>
                <w:t>1</w:t>
              </w:r>
            </w:hyperlink>
          </w:p>
        </w:tc>
        <w:tc>
          <w:tcPr>
            <w:tcW w:w="780" w:type="dxa"/>
            <w:vAlign w:val="bottom"/>
          </w:tcPr>
          <w:p>
            <w:pPr>
              <w:spacing w:after="0"/>
              <w:rPr>
                <w:sz w:val="24"/>
                <w:szCs w:val="24"/>
                <w:color w:val="auto"/>
              </w:rPr>
            </w:pPr>
          </w:p>
        </w:tc>
        <w:tc>
          <w:tcPr>
            <w:tcW w:w="4480" w:type="dxa"/>
            <w:vAlign w:val="bottom"/>
            <w:gridSpan w:val="7"/>
          </w:tcPr>
          <w:p>
            <w:pPr>
              <w:spacing w:after="0"/>
              <w:rPr>
                <w:rFonts w:ascii="Arial" w:cs="Arial" w:eastAsia="Arial" w:hAnsi="Arial"/>
                <w:sz w:val="18"/>
                <w:szCs w:val="18"/>
                <w:color w:val="0000FF"/>
              </w:rPr>
            </w:pPr>
            <w:hyperlink w:anchor="page41">
              <w:r>
                <w:rPr>
                  <w:rFonts w:ascii="Arial" w:cs="Arial" w:eastAsia="Arial" w:hAnsi="Arial"/>
                  <w:sz w:val="18"/>
                  <w:szCs w:val="18"/>
                  <w:color w:val="0000FF"/>
                </w:rPr>
                <w:t>Section 1350 Certification of Chief Executive Officer</w:t>
              </w:r>
            </w:hyperlink>
          </w:p>
        </w:tc>
        <w:tc>
          <w:tcPr>
            <w:tcW w:w="0" w:type="dxa"/>
            <w:vAlign w:val="bottom"/>
          </w:tcPr>
          <w:p>
            <w:pPr>
              <w:spacing w:after="0"/>
              <w:rPr>
                <w:sz w:val="1"/>
                <w:szCs w:val="1"/>
                <w:color w:val="auto"/>
              </w:rPr>
            </w:pPr>
          </w:p>
        </w:tc>
      </w:tr>
      <w:tr>
        <w:trPr>
          <w:trHeight w:val="425"/>
        </w:trPr>
        <w:tc>
          <w:tcPr>
            <w:tcW w:w="320" w:type="dxa"/>
            <w:vAlign w:val="bottom"/>
            <w:tcBorders>
              <w:top w:val="single" w:sz="8" w:color="0000FF"/>
              <w:bottom w:val="single" w:sz="8" w:color="0000FF"/>
            </w:tcBorders>
            <w:gridSpan w:val="2"/>
          </w:tcPr>
          <w:p>
            <w:pPr>
              <w:spacing w:after="0"/>
              <w:rPr>
                <w:rFonts w:ascii="Arial" w:cs="Arial" w:eastAsia="Arial" w:hAnsi="Arial"/>
                <w:sz w:val="18"/>
                <w:szCs w:val="18"/>
                <w:color w:val="0000FF"/>
                <w:w w:val="85"/>
              </w:rPr>
            </w:pPr>
            <w:hyperlink w:anchor="page42">
              <w:r>
                <w:rPr>
                  <w:rFonts w:ascii="Arial" w:cs="Arial" w:eastAsia="Arial" w:hAnsi="Arial"/>
                  <w:sz w:val="18"/>
                  <w:szCs w:val="18"/>
                  <w:color w:val="0000FF"/>
                  <w:w w:val="85"/>
                </w:rPr>
                <w:t>32.</w:t>
              </w:r>
              <w:r>
                <w:rPr>
                  <w:rFonts w:ascii="Arial" w:cs="Arial" w:eastAsia="Arial" w:hAnsi="Arial"/>
                  <w:sz w:val="18"/>
                  <w:szCs w:val="18"/>
                  <w:u w:val="single" w:color="auto"/>
                  <w:color w:val="0000FF"/>
                  <w:w w:val="85"/>
                </w:rPr>
                <w:t>2</w:t>
              </w:r>
            </w:hyperlink>
          </w:p>
        </w:tc>
        <w:tc>
          <w:tcPr>
            <w:tcW w:w="780" w:type="dxa"/>
            <w:vAlign w:val="bottom"/>
          </w:tcPr>
          <w:p>
            <w:pPr>
              <w:spacing w:after="0"/>
              <w:rPr>
                <w:sz w:val="24"/>
                <w:szCs w:val="24"/>
                <w:color w:val="auto"/>
              </w:rPr>
            </w:pPr>
          </w:p>
        </w:tc>
        <w:tc>
          <w:tcPr>
            <w:tcW w:w="3820" w:type="dxa"/>
            <w:vAlign w:val="bottom"/>
            <w:tcBorders>
              <w:top w:val="single" w:sz="8" w:color="0000FF"/>
              <w:bottom w:val="single" w:sz="8" w:color="0000FF"/>
            </w:tcBorders>
            <w:gridSpan w:val="2"/>
          </w:tcPr>
          <w:p>
            <w:pPr>
              <w:spacing w:after="0"/>
              <w:rPr>
                <w:rFonts w:ascii="Arial" w:cs="Arial" w:eastAsia="Arial" w:hAnsi="Arial"/>
                <w:sz w:val="18"/>
                <w:szCs w:val="18"/>
                <w:color w:val="0000FF"/>
                <w:w w:val="93"/>
              </w:rPr>
            </w:pPr>
            <w:hyperlink w:anchor="page42">
              <w:r>
                <w:rPr>
                  <w:rFonts w:ascii="Arial" w:cs="Arial" w:eastAsia="Arial" w:hAnsi="Arial"/>
                  <w:sz w:val="18"/>
                  <w:szCs w:val="18"/>
                  <w:color w:val="0000FF"/>
                  <w:w w:val="93"/>
                </w:rPr>
                <w:t>Section 1350 Certification of Chief Financial Officer</w:t>
              </w:r>
            </w:hyperlink>
          </w:p>
        </w:tc>
        <w:tc>
          <w:tcPr>
            <w:tcW w:w="40" w:type="dxa"/>
            <w:vAlign w:val="bottom"/>
            <w:tcBorders>
              <w:top w:val="single" w:sz="8" w:color="0000FF"/>
            </w:tcBorders>
          </w:tcPr>
          <w:p>
            <w:pPr>
              <w:spacing w:after="0"/>
              <w:rPr>
                <w:sz w:val="24"/>
                <w:szCs w:val="24"/>
                <w:color w:val="auto"/>
              </w:rPr>
            </w:pPr>
          </w:p>
        </w:tc>
        <w:tc>
          <w:tcPr>
            <w:tcW w:w="62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357"/>
        </w:trPr>
        <w:tc>
          <w:tcPr>
            <w:tcW w:w="1100" w:type="dxa"/>
            <w:vAlign w:val="bottom"/>
            <w:gridSpan w:val="3"/>
          </w:tcPr>
          <w:p>
            <w:pPr>
              <w:spacing w:after="0"/>
              <w:rPr>
                <w:sz w:val="20"/>
                <w:szCs w:val="20"/>
                <w:color w:val="auto"/>
              </w:rPr>
            </w:pPr>
            <w:r>
              <w:rPr>
                <w:rFonts w:ascii="Arial" w:cs="Arial" w:eastAsia="Arial" w:hAnsi="Arial"/>
                <w:sz w:val="18"/>
                <w:szCs w:val="18"/>
                <w:color w:val="auto"/>
              </w:rPr>
              <w:t>101.INS</w:t>
            </w:r>
          </w:p>
        </w:tc>
        <w:tc>
          <w:tcPr>
            <w:tcW w:w="4480" w:type="dxa"/>
            <w:vAlign w:val="bottom"/>
            <w:gridSpan w:val="7"/>
          </w:tcPr>
          <w:p>
            <w:pPr>
              <w:spacing w:after="0"/>
              <w:rPr>
                <w:sz w:val="20"/>
                <w:szCs w:val="20"/>
                <w:color w:val="auto"/>
              </w:rPr>
            </w:pPr>
            <w:r>
              <w:rPr>
                <w:rFonts w:ascii="Arial" w:cs="Arial" w:eastAsia="Arial" w:hAnsi="Arial"/>
                <w:sz w:val="18"/>
                <w:szCs w:val="18"/>
                <w:color w:val="auto"/>
              </w:rPr>
              <w:t>Inline XBRL Instance Document</w:t>
            </w:r>
          </w:p>
        </w:tc>
        <w:tc>
          <w:tcPr>
            <w:tcW w:w="0" w:type="dxa"/>
            <w:vAlign w:val="bottom"/>
          </w:tcPr>
          <w:p>
            <w:pPr>
              <w:spacing w:after="0"/>
              <w:rPr>
                <w:sz w:val="1"/>
                <w:szCs w:val="1"/>
                <w:color w:val="auto"/>
              </w:rPr>
            </w:pPr>
          </w:p>
        </w:tc>
      </w:tr>
      <w:tr>
        <w:trPr>
          <w:trHeight w:val="229"/>
        </w:trPr>
        <w:tc>
          <w:tcPr>
            <w:tcW w:w="1100" w:type="dxa"/>
            <w:vAlign w:val="bottom"/>
            <w:gridSpan w:val="3"/>
          </w:tcPr>
          <w:p>
            <w:pPr>
              <w:spacing w:after="0"/>
              <w:rPr>
                <w:sz w:val="20"/>
                <w:szCs w:val="20"/>
                <w:color w:val="auto"/>
              </w:rPr>
            </w:pPr>
            <w:r>
              <w:rPr>
                <w:rFonts w:ascii="Arial" w:cs="Arial" w:eastAsia="Arial" w:hAnsi="Arial"/>
                <w:sz w:val="18"/>
                <w:szCs w:val="18"/>
                <w:color w:val="auto"/>
              </w:rPr>
              <w:t>101.SCH</w:t>
            </w:r>
          </w:p>
        </w:tc>
        <w:tc>
          <w:tcPr>
            <w:tcW w:w="4480" w:type="dxa"/>
            <w:vAlign w:val="bottom"/>
            <w:gridSpan w:val="7"/>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176"/>
        </w:trPr>
        <w:tc>
          <w:tcPr>
            <w:tcW w:w="1100" w:type="dxa"/>
            <w:vAlign w:val="bottom"/>
            <w:gridSpan w:val="3"/>
            <w:vMerge w:val="restart"/>
          </w:tcPr>
          <w:p>
            <w:pPr>
              <w:spacing w:after="0"/>
              <w:rPr>
                <w:sz w:val="20"/>
                <w:szCs w:val="20"/>
                <w:color w:val="auto"/>
              </w:rPr>
            </w:pPr>
            <w:r>
              <w:rPr>
                <w:rFonts w:ascii="Arial" w:cs="Arial" w:eastAsia="Arial" w:hAnsi="Arial"/>
                <w:sz w:val="18"/>
                <w:szCs w:val="18"/>
                <w:color w:val="auto"/>
              </w:rPr>
              <w:t>101.CAL</w:t>
            </w:r>
          </w:p>
        </w:tc>
        <w:tc>
          <w:tcPr>
            <w:tcW w:w="4480" w:type="dxa"/>
            <w:vAlign w:val="bottom"/>
            <w:gridSpan w:val="7"/>
          </w:tcPr>
          <w:p>
            <w:pPr>
              <w:spacing w:after="0" w:line="176" w:lineRule="exact"/>
              <w:rPr>
                <w:sz w:val="20"/>
                <w:szCs w:val="20"/>
                <w:color w:val="auto"/>
              </w:rPr>
            </w:pPr>
            <w:r>
              <w:rPr>
                <w:rFonts w:ascii="Arial" w:cs="Arial" w:eastAsia="Arial" w:hAnsi="Arial"/>
                <w:sz w:val="18"/>
                <w:szCs w:val="18"/>
                <w:color w:val="auto"/>
              </w:rPr>
              <w:t>Inline XBRL Taxonomy Extension Calculation Linkbase</w:t>
            </w:r>
          </w:p>
        </w:tc>
        <w:tc>
          <w:tcPr>
            <w:tcW w:w="0" w:type="dxa"/>
            <w:vAlign w:val="bottom"/>
          </w:tcPr>
          <w:p>
            <w:pPr>
              <w:spacing w:after="0"/>
              <w:rPr>
                <w:sz w:val="1"/>
                <w:szCs w:val="1"/>
                <w:color w:val="auto"/>
              </w:rPr>
            </w:pPr>
          </w:p>
        </w:tc>
      </w:tr>
      <w:tr>
        <w:trPr>
          <w:trHeight w:val="229"/>
        </w:trPr>
        <w:tc>
          <w:tcPr>
            <w:tcW w:w="1100" w:type="dxa"/>
            <w:vAlign w:val="bottom"/>
            <w:gridSpan w:val="3"/>
            <w:vMerge w:val="continue"/>
          </w:tcPr>
          <w:p>
            <w:pPr>
              <w:spacing w:after="0"/>
              <w:rPr>
                <w:sz w:val="19"/>
                <w:szCs w:val="19"/>
                <w:color w:val="auto"/>
              </w:rPr>
            </w:pPr>
          </w:p>
        </w:tc>
        <w:tc>
          <w:tcPr>
            <w:tcW w:w="4480" w:type="dxa"/>
            <w:vAlign w:val="bottom"/>
            <w:gridSpan w:val="7"/>
          </w:tcPr>
          <w:p>
            <w:pPr>
              <w:spacing w:after="0"/>
              <w:rPr>
                <w:sz w:val="20"/>
                <w:szCs w:val="20"/>
                <w:color w:val="auto"/>
              </w:rPr>
            </w:pPr>
            <w:r>
              <w:rPr>
                <w:rFonts w:ascii="Arial" w:cs="Arial" w:eastAsia="Arial" w:hAnsi="Arial"/>
                <w:sz w:val="18"/>
                <w:szCs w:val="18"/>
                <w:color w:val="auto"/>
              </w:rPr>
              <w:t>Document</w:t>
            </w:r>
          </w:p>
        </w:tc>
        <w:tc>
          <w:tcPr>
            <w:tcW w:w="0" w:type="dxa"/>
            <w:vAlign w:val="bottom"/>
          </w:tcPr>
          <w:p>
            <w:pPr>
              <w:spacing w:after="0"/>
              <w:rPr>
                <w:sz w:val="1"/>
                <w:szCs w:val="1"/>
                <w:color w:val="auto"/>
              </w:rPr>
            </w:pPr>
          </w:p>
        </w:tc>
      </w:tr>
      <w:tr>
        <w:trPr>
          <w:trHeight w:val="230"/>
        </w:trPr>
        <w:tc>
          <w:tcPr>
            <w:tcW w:w="1100" w:type="dxa"/>
            <w:vAlign w:val="bottom"/>
            <w:gridSpan w:val="3"/>
          </w:tcPr>
          <w:p>
            <w:pPr>
              <w:spacing w:after="0"/>
              <w:rPr>
                <w:sz w:val="20"/>
                <w:szCs w:val="20"/>
                <w:color w:val="auto"/>
              </w:rPr>
            </w:pPr>
            <w:r>
              <w:rPr>
                <w:rFonts w:ascii="Arial" w:cs="Arial" w:eastAsia="Arial" w:hAnsi="Arial"/>
                <w:sz w:val="18"/>
                <w:szCs w:val="18"/>
                <w:color w:val="auto"/>
              </w:rPr>
              <w:t>101.LAB</w:t>
            </w:r>
          </w:p>
        </w:tc>
        <w:tc>
          <w:tcPr>
            <w:tcW w:w="4480" w:type="dxa"/>
            <w:vAlign w:val="bottom"/>
            <w:gridSpan w:val="7"/>
          </w:tcPr>
          <w:p>
            <w:pPr>
              <w:spacing w:after="0"/>
              <w:rPr>
                <w:sz w:val="20"/>
                <w:szCs w:val="20"/>
                <w:color w:val="auto"/>
              </w:rPr>
            </w:pPr>
            <w:r>
              <w:rPr>
                <w:rFonts w:ascii="Arial" w:cs="Arial" w:eastAsia="Arial" w:hAnsi="Arial"/>
                <w:sz w:val="18"/>
                <w:szCs w:val="18"/>
                <w:color w:val="auto"/>
                <w:w w:val="92"/>
              </w:rPr>
              <w:t>Inline XBRL Taxonomy Extension Label Linkbase Document</w:t>
            </w:r>
          </w:p>
        </w:tc>
        <w:tc>
          <w:tcPr>
            <w:tcW w:w="0" w:type="dxa"/>
            <w:vAlign w:val="bottom"/>
          </w:tcPr>
          <w:p>
            <w:pPr>
              <w:spacing w:after="0"/>
              <w:rPr>
                <w:sz w:val="1"/>
                <w:szCs w:val="1"/>
                <w:color w:val="auto"/>
              </w:rPr>
            </w:pPr>
          </w:p>
        </w:tc>
      </w:tr>
      <w:tr>
        <w:trPr>
          <w:trHeight w:val="176"/>
        </w:trPr>
        <w:tc>
          <w:tcPr>
            <w:tcW w:w="1100" w:type="dxa"/>
            <w:vAlign w:val="bottom"/>
            <w:gridSpan w:val="3"/>
            <w:vMerge w:val="restart"/>
          </w:tcPr>
          <w:p>
            <w:pPr>
              <w:spacing w:after="0"/>
              <w:rPr>
                <w:sz w:val="20"/>
                <w:szCs w:val="20"/>
                <w:color w:val="auto"/>
              </w:rPr>
            </w:pPr>
            <w:r>
              <w:rPr>
                <w:rFonts w:ascii="Arial" w:cs="Arial" w:eastAsia="Arial" w:hAnsi="Arial"/>
                <w:sz w:val="18"/>
                <w:szCs w:val="18"/>
                <w:color w:val="auto"/>
              </w:rPr>
              <w:t>101.PRE</w:t>
            </w:r>
          </w:p>
        </w:tc>
        <w:tc>
          <w:tcPr>
            <w:tcW w:w="4480" w:type="dxa"/>
            <w:vAlign w:val="bottom"/>
            <w:gridSpan w:val="7"/>
          </w:tcPr>
          <w:p>
            <w:pPr>
              <w:spacing w:after="0" w:line="176" w:lineRule="exact"/>
              <w:rPr>
                <w:sz w:val="20"/>
                <w:szCs w:val="20"/>
                <w:color w:val="auto"/>
              </w:rPr>
            </w:pPr>
            <w:r>
              <w:rPr>
                <w:rFonts w:ascii="Arial" w:cs="Arial" w:eastAsia="Arial" w:hAnsi="Arial"/>
                <w:sz w:val="18"/>
                <w:szCs w:val="18"/>
                <w:color w:val="auto"/>
                <w:w w:val="98"/>
              </w:rPr>
              <w:t>Inline XBRL Taxonomy Extension Presentation Linkbase</w:t>
            </w:r>
          </w:p>
        </w:tc>
        <w:tc>
          <w:tcPr>
            <w:tcW w:w="0" w:type="dxa"/>
            <w:vAlign w:val="bottom"/>
          </w:tcPr>
          <w:p>
            <w:pPr>
              <w:spacing w:after="0"/>
              <w:rPr>
                <w:sz w:val="1"/>
                <w:szCs w:val="1"/>
                <w:color w:val="auto"/>
              </w:rPr>
            </w:pPr>
          </w:p>
        </w:tc>
      </w:tr>
      <w:tr>
        <w:trPr>
          <w:trHeight w:val="229"/>
        </w:trPr>
        <w:tc>
          <w:tcPr>
            <w:tcW w:w="1100" w:type="dxa"/>
            <w:vAlign w:val="bottom"/>
            <w:gridSpan w:val="3"/>
            <w:vMerge w:val="continue"/>
          </w:tcPr>
          <w:p>
            <w:pPr>
              <w:spacing w:after="0"/>
              <w:rPr>
                <w:sz w:val="19"/>
                <w:szCs w:val="19"/>
                <w:color w:val="auto"/>
              </w:rPr>
            </w:pPr>
          </w:p>
        </w:tc>
        <w:tc>
          <w:tcPr>
            <w:tcW w:w="4480" w:type="dxa"/>
            <w:vAlign w:val="bottom"/>
            <w:gridSpan w:val="7"/>
          </w:tcPr>
          <w:p>
            <w:pPr>
              <w:spacing w:after="0"/>
              <w:rPr>
                <w:sz w:val="20"/>
                <w:szCs w:val="20"/>
                <w:color w:val="auto"/>
              </w:rPr>
            </w:pPr>
            <w:r>
              <w:rPr>
                <w:rFonts w:ascii="Arial" w:cs="Arial" w:eastAsia="Arial" w:hAnsi="Arial"/>
                <w:sz w:val="18"/>
                <w:szCs w:val="18"/>
                <w:color w:val="auto"/>
              </w:rPr>
              <w:t>Document</w:t>
            </w:r>
          </w:p>
        </w:tc>
        <w:tc>
          <w:tcPr>
            <w:tcW w:w="0" w:type="dxa"/>
            <w:vAlign w:val="bottom"/>
          </w:tcPr>
          <w:p>
            <w:pPr>
              <w:spacing w:after="0"/>
              <w:rPr>
                <w:sz w:val="1"/>
                <w:szCs w:val="1"/>
                <w:color w:val="auto"/>
              </w:rPr>
            </w:pPr>
          </w:p>
        </w:tc>
      </w:tr>
      <w:tr>
        <w:trPr>
          <w:trHeight w:val="176"/>
        </w:trPr>
        <w:tc>
          <w:tcPr>
            <w:tcW w:w="1100" w:type="dxa"/>
            <w:vAlign w:val="bottom"/>
            <w:gridSpan w:val="3"/>
            <w:vMerge w:val="restart"/>
          </w:tcPr>
          <w:p>
            <w:pPr>
              <w:spacing w:after="0"/>
              <w:rPr>
                <w:sz w:val="20"/>
                <w:szCs w:val="20"/>
                <w:color w:val="auto"/>
              </w:rPr>
            </w:pPr>
            <w:r>
              <w:rPr>
                <w:rFonts w:ascii="Arial" w:cs="Arial" w:eastAsia="Arial" w:hAnsi="Arial"/>
                <w:sz w:val="18"/>
                <w:szCs w:val="18"/>
                <w:color w:val="auto"/>
              </w:rPr>
              <w:t>101.DEF</w:t>
            </w:r>
          </w:p>
        </w:tc>
        <w:tc>
          <w:tcPr>
            <w:tcW w:w="4480" w:type="dxa"/>
            <w:vAlign w:val="bottom"/>
            <w:gridSpan w:val="7"/>
          </w:tcPr>
          <w:p>
            <w:pPr>
              <w:spacing w:after="0" w:line="176" w:lineRule="exact"/>
              <w:rPr>
                <w:sz w:val="20"/>
                <w:szCs w:val="20"/>
                <w:color w:val="auto"/>
              </w:rPr>
            </w:pPr>
            <w:r>
              <w:rPr>
                <w:rFonts w:ascii="Arial" w:cs="Arial" w:eastAsia="Arial" w:hAnsi="Arial"/>
                <w:sz w:val="18"/>
                <w:szCs w:val="18"/>
                <w:color w:val="auto"/>
              </w:rPr>
              <w:t>Inline XBRL Taxonomy Extension Definition Linkbase</w:t>
            </w:r>
          </w:p>
        </w:tc>
        <w:tc>
          <w:tcPr>
            <w:tcW w:w="0" w:type="dxa"/>
            <w:vAlign w:val="bottom"/>
          </w:tcPr>
          <w:p>
            <w:pPr>
              <w:spacing w:after="0"/>
              <w:rPr>
                <w:sz w:val="1"/>
                <w:szCs w:val="1"/>
                <w:color w:val="auto"/>
              </w:rPr>
            </w:pPr>
          </w:p>
        </w:tc>
      </w:tr>
      <w:tr>
        <w:trPr>
          <w:trHeight w:val="230"/>
        </w:trPr>
        <w:tc>
          <w:tcPr>
            <w:tcW w:w="1100" w:type="dxa"/>
            <w:vAlign w:val="bottom"/>
            <w:gridSpan w:val="3"/>
            <w:vMerge w:val="continue"/>
          </w:tcPr>
          <w:p>
            <w:pPr>
              <w:spacing w:after="0"/>
              <w:rPr>
                <w:sz w:val="20"/>
                <w:szCs w:val="20"/>
                <w:color w:val="auto"/>
              </w:rPr>
            </w:pPr>
          </w:p>
        </w:tc>
        <w:tc>
          <w:tcPr>
            <w:tcW w:w="4480" w:type="dxa"/>
            <w:vAlign w:val="bottom"/>
            <w:gridSpan w:val="7"/>
          </w:tcPr>
          <w:p>
            <w:pPr>
              <w:spacing w:after="0"/>
              <w:rPr>
                <w:sz w:val="20"/>
                <w:szCs w:val="20"/>
                <w:color w:val="auto"/>
              </w:rPr>
            </w:pPr>
            <w:r>
              <w:rPr>
                <w:rFonts w:ascii="Arial" w:cs="Arial" w:eastAsia="Arial" w:hAnsi="Arial"/>
                <w:sz w:val="18"/>
                <w:szCs w:val="18"/>
                <w:color w:val="auto"/>
              </w:rPr>
              <w:t>Document</w:t>
            </w:r>
          </w:p>
        </w:tc>
        <w:tc>
          <w:tcPr>
            <w:tcW w:w="0" w:type="dxa"/>
            <w:vAlign w:val="bottom"/>
          </w:tcPr>
          <w:p>
            <w:pPr>
              <w:spacing w:after="0"/>
              <w:rPr>
                <w:sz w:val="1"/>
                <w:szCs w:val="1"/>
                <w:color w:val="auto"/>
              </w:rPr>
            </w:pPr>
          </w:p>
        </w:tc>
      </w:tr>
    </w:tbl>
    <w:p>
      <w:pPr>
        <w:ind w:left="1120"/>
        <w:spacing w:after="0" w:line="233" w:lineRule="auto"/>
        <w:rPr>
          <w:sz w:val="20"/>
          <w:szCs w:val="20"/>
          <w:color w:val="auto"/>
        </w:rPr>
      </w:pPr>
      <w:r>
        <w:rPr>
          <w:rFonts w:ascii="Arial" w:cs="Arial" w:eastAsia="Arial" w:hAnsi="Arial"/>
          <w:sz w:val="17"/>
          <w:szCs w:val="17"/>
          <w:color w:val="auto"/>
        </w:rPr>
        <w:t>Cover Page Interactive Data File (formatted as Inline XBRL</w:t>
      </w:r>
    </w:p>
    <w:p>
      <w:pPr>
        <w:ind w:right="2460" w:firstLine="26"/>
        <w:spacing w:after="0" w:line="397" w:lineRule="auto"/>
        <w:tabs>
          <w:tab w:leader="none" w:pos="1111" w:val="left"/>
        </w:tabs>
        <w:numPr>
          <w:ilvl w:val="1"/>
          <w:numId w:val="8"/>
        </w:numPr>
        <w:rPr>
          <w:rFonts w:ascii="Arial" w:cs="Arial" w:eastAsia="Arial" w:hAnsi="Arial"/>
          <w:sz w:val="18"/>
          <w:szCs w:val="18"/>
          <w:color w:val="auto"/>
        </w:rPr>
      </w:pPr>
      <w:r>
        <w:rPr>
          <w:rFonts w:ascii="Arial" w:cs="Arial" w:eastAsia="Arial" w:hAnsi="Arial"/>
          <w:sz w:val="18"/>
          <w:szCs w:val="18"/>
          <w:color w:val="auto"/>
        </w:rPr>
        <w:t>and contained in Exhibit 101) * Filed herewith.</w:t>
      </w:r>
    </w:p>
    <w:p>
      <w:pPr>
        <w:spacing w:after="0" w:line="1" w:lineRule="exact"/>
        <w:rPr>
          <w:rFonts w:ascii="Arial" w:cs="Arial" w:eastAsia="Arial" w:hAnsi="Arial"/>
          <w:sz w:val="18"/>
          <w:szCs w:val="18"/>
          <w:color w:val="auto"/>
        </w:rPr>
      </w:pPr>
    </w:p>
    <w:p>
      <w:pPr>
        <w:ind w:left="360" w:hanging="352"/>
        <w:spacing w:after="0"/>
        <w:tabs>
          <w:tab w:leader="none" w:pos="3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400" w:type="dxa"/>
            <w:vAlign w:val="bottom"/>
          </w:tcPr>
          <w:p>
            <w:pPr>
              <w:spacing w:after="0"/>
              <w:rPr>
                <w:sz w:val="20"/>
                <w:szCs w:val="20"/>
                <w:color w:val="auto"/>
              </w:rPr>
            </w:pPr>
          </w:p>
        </w:tc>
        <w:tc>
          <w:tcPr>
            <w:tcW w:w="4820" w:type="dxa"/>
            <w:vAlign w:val="bottom"/>
            <w:tcBorders>
              <w:bottom w:val="single" w:sz="8" w:color="auto"/>
            </w:tcBorders>
            <w:gridSpan w:val="4"/>
          </w:tcPr>
          <w:p>
            <w:pPr>
              <w:jc w:val="right"/>
              <w:ind w:right="630"/>
              <w:spacing w:after="0"/>
              <w:rPr>
                <w:sz w:val="20"/>
                <w:szCs w:val="20"/>
                <w:color w:val="auto"/>
              </w:rPr>
            </w:pPr>
            <w:r>
              <w:rPr>
                <w:rFonts w:ascii="Arial" w:cs="Arial" w:eastAsia="Arial" w:hAnsi="Arial"/>
                <w:sz w:val="18"/>
                <w:szCs w:val="18"/>
                <w:color w:val="auto"/>
              </w:rPr>
              <w:t>Incorporated by Reference to Filings Indicated</w:t>
            </w:r>
          </w:p>
        </w:tc>
        <w:tc>
          <w:tcPr>
            <w:tcW w:w="0" w:type="dxa"/>
            <w:vAlign w:val="bottom"/>
          </w:tcPr>
          <w:p>
            <w:pPr>
              <w:spacing w:after="0"/>
              <w:rPr>
                <w:sz w:val="1"/>
                <w:szCs w:val="1"/>
                <w:color w:val="auto"/>
              </w:rPr>
            </w:pPr>
          </w:p>
        </w:tc>
      </w:tr>
      <w:tr>
        <w:trPr>
          <w:trHeight w:val="412"/>
        </w:trPr>
        <w:tc>
          <w:tcPr>
            <w:tcW w:w="400" w:type="dxa"/>
            <w:vAlign w:val="bottom"/>
            <w:vMerge w:val="restart"/>
          </w:tcPr>
          <w:p>
            <w:pPr>
              <w:jc w:val="right"/>
              <w:spacing w:after="0"/>
              <w:rPr>
                <w:sz w:val="20"/>
                <w:szCs w:val="20"/>
                <w:color w:val="auto"/>
              </w:rPr>
            </w:pPr>
            <w:r>
              <w:rPr>
                <w:rFonts w:ascii="Arial" w:cs="Arial" w:eastAsia="Arial" w:hAnsi="Arial"/>
                <w:sz w:val="18"/>
                <w:szCs w:val="18"/>
                <w:color w:val="auto"/>
                <w:w w:val="85"/>
              </w:rPr>
              <w:t>Form</w:t>
            </w:r>
          </w:p>
        </w:tc>
        <w:tc>
          <w:tcPr>
            <w:tcW w:w="2600" w:type="dxa"/>
            <w:vAlign w:val="bottom"/>
            <w:gridSpan w:val="2"/>
            <w:vMerge w:val="restart"/>
          </w:tcPr>
          <w:p>
            <w:pPr>
              <w:jc w:val="right"/>
              <w:ind w:right="130"/>
              <w:spacing w:after="0"/>
              <w:rPr>
                <w:sz w:val="20"/>
                <w:szCs w:val="20"/>
                <w:color w:val="auto"/>
              </w:rPr>
            </w:pPr>
            <w:r>
              <w:rPr>
                <w:rFonts w:ascii="Arial" w:cs="Arial" w:eastAsia="Arial" w:hAnsi="Arial"/>
                <w:sz w:val="18"/>
                <w:szCs w:val="18"/>
                <w:color w:val="auto"/>
              </w:rPr>
              <w:t>File No.  Exhibit No.</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Filing date</w:t>
            </w:r>
          </w:p>
        </w:tc>
        <w:tc>
          <w:tcPr>
            <w:tcW w:w="1180" w:type="dxa"/>
            <w:vAlign w:val="bottom"/>
          </w:tcPr>
          <w:p>
            <w:pPr>
              <w:jc w:val="right"/>
              <w:spacing w:after="0"/>
              <w:rPr>
                <w:sz w:val="20"/>
                <w:szCs w:val="20"/>
                <w:color w:val="auto"/>
              </w:rPr>
            </w:pPr>
            <w:r>
              <w:rPr>
                <w:rFonts w:ascii="Arial" w:cs="Arial" w:eastAsia="Arial" w:hAnsi="Arial"/>
                <w:sz w:val="18"/>
                <w:szCs w:val="18"/>
                <w:color w:val="auto"/>
                <w:w w:val="91"/>
              </w:rPr>
              <w:t>Filed/Furnished</w:t>
            </w:r>
          </w:p>
        </w:tc>
        <w:tc>
          <w:tcPr>
            <w:tcW w:w="0" w:type="dxa"/>
            <w:vAlign w:val="bottom"/>
          </w:tcPr>
          <w:p>
            <w:pPr>
              <w:spacing w:after="0"/>
              <w:rPr>
                <w:sz w:val="1"/>
                <w:szCs w:val="1"/>
                <w:color w:val="auto"/>
              </w:rPr>
            </w:pPr>
          </w:p>
        </w:tc>
      </w:tr>
      <w:tr>
        <w:trPr>
          <w:trHeight w:val="230"/>
        </w:trPr>
        <w:tc>
          <w:tcPr>
            <w:tcW w:w="400" w:type="dxa"/>
            <w:vAlign w:val="bottom"/>
            <w:vMerge w:val="continue"/>
          </w:tcPr>
          <w:p>
            <w:pPr>
              <w:spacing w:after="0"/>
              <w:rPr>
                <w:sz w:val="20"/>
                <w:szCs w:val="20"/>
                <w:color w:val="auto"/>
              </w:rPr>
            </w:pPr>
          </w:p>
        </w:tc>
        <w:tc>
          <w:tcPr>
            <w:tcW w:w="2600" w:type="dxa"/>
            <w:vAlign w:val="bottom"/>
            <w:gridSpan w:val="2"/>
            <w:vMerge w:val="continue"/>
          </w:tcPr>
          <w:p>
            <w:pPr>
              <w:spacing w:after="0"/>
              <w:rPr>
                <w:sz w:val="20"/>
                <w:szCs w:val="20"/>
                <w:color w:val="auto"/>
              </w:rPr>
            </w:pPr>
          </w:p>
        </w:tc>
        <w:tc>
          <w:tcPr>
            <w:tcW w:w="1040" w:type="dxa"/>
            <w:vAlign w:val="bottom"/>
            <w:vMerge w:val="continue"/>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Herewith</w:t>
            </w:r>
          </w:p>
        </w:tc>
        <w:tc>
          <w:tcPr>
            <w:tcW w:w="0" w:type="dxa"/>
            <w:vAlign w:val="bottom"/>
          </w:tcPr>
          <w:p>
            <w:pPr>
              <w:spacing w:after="0"/>
              <w:rPr>
                <w:sz w:val="1"/>
                <w:szCs w:val="1"/>
                <w:color w:val="auto"/>
              </w:rPr>
            </w:pPr>
          </w:p>
        </w:tc>
      </w:tr>
      <w:tr>
        <w:trPr>
          <w:trHeight w:val="445"/>
        </w:trPr>
        <w:tc>
          <w:tcPr>
            <w:tcW w:w="400" w:type="dxa"/>
            <w:vAlign w:val="bottom"/>
          </w:tcPr>
          <w:p>
            <w:pPr>
              <w:jc w:val="right"/>
              <w:spacing w:after="0"/>
              <w:rPr>
                <w:sz w:val="20"/>
                <w:szCs w:val="20"/>
                <w:color w:val="auto"/>
              </w:rPr>
            </w:pPr>
            <w:r>
              <w:rPr>
                <w:rFonts w:ascii="Arial" w:cs="Arial" w:eastAsia="Arial" w:hAnsi="Arial"/>
                <w:sz w:val="18"/>
                <w:szCs w:val="18"/>
                <w:color w:val="auto"/>
              </w:rPr>
              <w:t>6-K</w:t>
            </w:r>
          </w:p>
        </w:tc>
        <w:tc>
          <w:tcPr>
            <w:tcW w:w="1860" w:type="dxa"/>
            <w:vAlign w:val="bottom"/>
          </w:tcPr>
          <w:p>
            <w:pPr>
              <w:jc w:val="right"/>
              <w:ind w:right="350"/>
              <w:spacing w:after="0"/>
              <w:rPr>
                <w:sz w:val="20"/>
                <w:szCs w:val="20"/>
                <w:color w:val="auto"/>
              </w:rPr>
            </w:pPr>
            <w:r>
              <w:rPr>
                <w:rFonts w:ascii="Arial" w:cs="Arial" w:eastAsia="Arial" w:hAnsi="Arial"/>
                <w:sz w:val="18"/>
                <w:szCs w:val="18"/>
                <w:color w:val="auto"/>
              </w:rPr>
              <w:t>001-38067</w:t>
            </w:r>
          </w:p>
        </w:tc>
        <w:tc>
          <w:tcPr>
            <w:tcW w:w="740" w:type="dxa"/>
            <w:vAlign w:val="bottom"/>
          </w:tcPr>
          <w:p>
            <w:pPr>
              <w:jc w:val="right"/>
              <w:ind w:right="130"/>
              <w:spacing w:after="0"/>
              <w:rPr>
                <w:sz w:val="20"/>
                <w:szCs w:val="20"/>
                <w:color w:val="auto"/>
              </w:rPr>
            </w:pPr>
            <w:r>
              <w:rPr>
                <w:rFonts w:ascii="Arial" w:cs="Arial" w:eastAsia="Arial" w:hAnsi="Arial"/>
                <w:sz w:val="18"/>
                <w:szCs w:val="18"/>
                <w:color w:val="auto"/>
              </w:rPr>
              <w:t>1</w:t>
            </w:r>
          </w:p>
        </w:tc>
        <w:tc>
          <w:tcPr>
            <w:tcW w:w="1040" w:type="dxa"/>
            <w:vAlign w:val="bottom"/>
          </w:tcPr>
          <w:p>
            <w:pPr>
              <w:jc w:val="right"/>
              <w:spacing w:after="0"/>
              <w:rPr>
                <w:sz w:val="20"/>
                <w:szCs w:val="20"/>
                <w:color w:val="auto"/>
              </w:rPr>
            </w:pPr>
            <w:r>
              <w:rPr>
                <w:rFonts w:ascii="Arial" w:cs="Arial" w:eastAsia="Arial" w:hAnsi="Arial"/>
                <w:sz w:val="18"/>
                <w:szCs w:val="18"/>
                <w:color w:val="auto"/>
              </w:rPr>
              <w:t>12/30/2020</w:t>
            </w: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91"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14"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w:t>
      </w:r>
    </w:p>
    <w:p>
      <w:pPr>
        <w:spacing w:after="0" w:line="23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w:t>
      </w:r>
    </w:p>
    <w:p>
      <w:pPr>
        <w:spacing w:after="0" w:line="23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w:t>
      </w:r>
    </w:p>
    <w:p>
      <w:pPr>
        <w:spacing w:after="0" w:line="197"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w:t>
      </w:r>
    </w:p>
    <w:p>
      <w:pPr>
        <w:spacing w:after="0" w:line="197"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w:t>
      </w:r>
    </w:p>
    <w:p>
      <w:pPr>
        <w:spacing w:after="0" w:line="198"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w:t>
      </w:r>
    </w:p>
    <w:p>
      <w:pPr>
        <w:spacing w:after="0" w:line="198"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w:t>
      </w:r>
    </w:p>
    <w:p>
      <w:pPr>
        <w:sectPr>
          <w:pgSz w:w="11900" w:h="16838" w:orient="portrait"/>
          <w:cols w:equalWidth="0" w:num="2">
            <w:col w:w="5720" w:space="300"/>
            <w:col w:w="5220"/>
          </w:cols>
          <w:pgMar w:left="320" w:top="1440" w:right="339" w:bottom="1440" w:gutter="0" w:footer="0" w:header="0"/>
        </w:sectPr>
      </w:pPr>
    </w:p>
    <w:bookmarkStart w:id="37" w:name="page38"/>
    <w:bookmarkEnd w:id="37"/>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SIGNATURES</w:t>
      </w:r>
    </w:p>
    <w:p>
      <w:pPr>
        <w:spacing w:after="0" w:line="98"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80"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p>
        </w:tc>
        <w:tc>
          <w:tcPr>
            <w:tcW w:w="4540" w:type="dxa"/>
            <w:vAlign w:val="bottom"/>
          </w:tcPr>
          <w:p>
            <w:pPr>
              <w:ind w:left="1820"/>
              <w:spacing w:after="0"/>
              <w:rPr>
                <w:sz w:val="20"/>
                <w:szCs w:val="20"/>
                <w:color w:val="auto"/>
              </w:rPr>
            </w:pPr>
            <w:r>
              <w:rPr>
                <w:rFonts w:ascii="Arial" w:cs="Arial" w:eastAsia="Arial" w:hAnsi="Arial"/>
                <w:sz w:val="18"/>
                <w:szCs w:val="18"/>
                <w:color w:val="auto"/>
              </w:rPr>
              <w:t>VERONA PHARMA PLC</w:t>
            </w:r>
          </w:p>
        </w:tc>
        <w:tc>
          <w:tcPr>
            <w:tcW w:w="3020" w:type="dxa"/>
            <w:vAlign w:val="bottom"/>
          </w:tcPr>
          <w:p>
            <w:pPr>
              <w:spacing w:after="0"/>
              <w:rPr>
                <w:sz w:val="20"/>
                <w:szCs w:val="20"/>
                <w:color w:val="auto"/>
              </w:rPr>
            </w:pPr>
          </w:p>
        </w:tc>
      </w:tr>
      <w:tr>
        <w:trPr>
          <w:trHeight w:val="533"/>
        </w:trPr>
        <w:tc>
          <w:tcPr>
            <w:tcW w:w="3660" w:type="dxa"/>
            <w:vAlign w:val="bottom"/>
          </w:tcPr>
          <w:p>
            <w:pPr>
              <w:spacing w:after="0"/>
              <w:rPr>
                <w:sz w:val="20"/>
                <w:szCs w:val="20"/>
                <w:color w:val="auto"/>
              </w:rPr>
            </w:pPr>
            <w:r>
              <w:rPr>
                <w:rFonts w:ascii="Arial" w:cs="Arial" w:eastAsia="Arial" w:hAnsi="Arial"/>
                <w:sz w:val="18"/>
                <w:szCs w:val="18"/>
                <w:color w:val="auto"/>
              </w:rPr>
              <w:t>Date: November 9 , 2021</w:t>
            </w:r>
          </w:p>
        </w:tc>
        <w:tc>
          <w:tcPr>
            <w:tcW w:w="4540" w:type="dxa"/>
            <w:vAlign w:val="bottom"/>
          </w:tcPr>
          <w:p>
            <w:pPr>
              <w:ind w:left="1820"/>
              <w:spacing w:after="0"/>
              <w:rPr>
                <w:sz w:val="20"/>
                <w:szCs w:val="20"/>
                <w:color w:val="auto"/>
              </w:rPr>
            </w:pPr>
            <w:r>
              <w:rPr>
                <w:rFonts w:ascii="Arial" w:cs="Arial" w:eastAsia="Arial" w:hAnsi="Arial"/>
                <w:sz w:val="18"/>
                <w:szCs w:val="18"/>
                <w:color w:val="auto"/>
              </w:rPr>
              <w:t>By:</w:t>
            </w:r>
          </w:p>
        </w:tc>
        <w:tc>
          <w:tcPr>
            <w:tcW w:w="30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David Zaccardelli</w:t>
            </w:r>
          </w:p>
        </w:tc>
      </w:tr>
      <w:tr>
        <w:trPr>
          <w:trHeight w:val="243"/>
        </w:trPr>
        <w:tc>
          <w:tcPr>
            <w:tcW w:w="3660" w:type="dxa"/>
            <w:vAlign w:val="bottom"/>
          </w:tcPr>
          <w:p>
            <w:pPr>
              <w:spacing w:after="0"/>
              <w:rPr>
                <w:sz w:val="21"/>
                <w:szCs w:val="21"/>
                <w:color w:val="auto"/>
              </w:rPr>
            </w:pPr>
          </w:p>
        </w:tc>
        <w:tc>
          <w:tcPr>
            <w:tcW w:w="4540" w:type="dxa"/>
            <w:vAlign w:val="bottom"/>
          </w:tcPr>
          <w:p>
            <w:pPr>
              <w:spacing w:after="0"/>
              <w:rPr>
                <w:sz w:val="21"/>
                <w:szCs w:val="21"/>
                <w:color w:val="auto"/>
              </w:rPr>
            </w:pPr>
          </w:p>
        </w:tc>
        <w:tc>
          <w:tcPr>
            <w:tcW w:w="3020" w:type="dxa"/>
            <w:vAlign w:val="bottom"/>
          </w:tcPr>
          <w:p>
            <w:pPr>
              <w:ind w:left="20"/>
              <w:spacing w:after="0"/>
              <w:rPr>
                <w:sz w:val="20"/>
                <w:szCs w:val="20"/>
                <w:color w:val="auto"/>
              </w:rPr>
            </w:pPr>
            <w:r>
              <w:rPr>
                <w:rFonts w:ascii="Arial" w:cs="Arial" w:eastAsia="Arial" w:hAnsi="Arial"/>
                <w:sz w:val="18"/>
                <w:szCs w:val="18"/>
                <w:color w:val="auto"/>
              </w:rPr>
              <w:t>David Zaccardelli, Pharm. D.</w:t>
            </w:r>
          </w:p>
        </w:tc>
      </w:tr>
      <w:tr>
        <w:trPr>
          <w:trHeight w:val="257"/>
        </w:trPr>
        <w:tc>
          <w:tcPr>
            <w:tcW w:w="3660" w:type="dxa"/>
            <w:vAlign w:val="bottom"/>
          </w:tcPr>
          <w:p>
            <w:pPr>
              <w:spacing w:after="0"/>
              <w:rPr>
                <w:sz w:val="22"/>
                <w:szCs w:val="22"/>
                <w:color w:val="auto"/>
              </w:rPr>
            </w:pPr>
          </w:p>
        </w:tc>
        <w:tc>
          <w:tcPr>
            <w:tcW w:w="4540" w:type="dxa"/>
            <w:vAlign w:val="bottom"/>
          </w:tcPr>
          <w:p>
            <w:pPr>
              <w:spacing w:after="0"/>
              <w:rPr>
                <w:sz w:val="22"/>
                <w:szCs w:val="22"/>
                <w:color w:val="auto"/>
              </w:rPr>
            </w:pPr>
          </w:p>
        </w:tc>
        <w:tc>
          <w:tcPr>
            <w:tcW w:w="3020" w:type="dxa"/>
            <w:vAlign w:val="bottom"/>
          </w:tcPr>
          <w:p>
            <w:pPr>
              <w:ind w:left="20"/>
              <w:spacing w:after="0"/>
              <w:rPr>
                <w:sz w:val="20"/>
                <w:szCs w:val="20"/>
                <w:color w:val="auto"/>
              </w:rPr>
            </w:pPr>
            <w:r>
              <w:rPr>
                <w:rFonts w:ascii="Arial" w:cs="Arial" w:eastAsia="Arial" w:hAnsi="Arial"/>
                <w:sz w:val="18"/>
                <w:szCs w:val="18"/>
                <w:color w:val="auto"/>
                <w:w w:val="99"/>
              </w:rPr>
              <w:t>President and Chief Executive Officer</w:t>
            </w:r>
          </w:p>
        </w:tc>
      </w:tr>
      <w:tr>
        <w:trPr>
          <w:trHeight w:val="912"/>
        </w:trPr>
        <w:tc>
          <w:tcPr>
            <w:tcW w:w="3660" w:type="dxa"/>
            <w:vAlign w:val="bottom"/>
          </w:tcPr>
          <w:p>
            <w:pPr>
              <w:spacing w:after="0"/>
              <w:rPr>
                <w:sz w:val="20"/>
                <w:szCs w:val="20"/>
                <w:color w:val="auto"/>
              </w:rPr>
            </w:pPr>
            <w:r>
              <w:rPr>
                <w:rFonts w:ascii="Arial" w:cs="Arial" w:eastAsia="Arial" w:hAnsi="Arial"/>
                <w:sz w:val="18"/>
                <w:szCs w:val="18"/>
                <w:color w:val="auto"/>
              </w:rPr>
              <w:t>Date: November 9 , 2021</w:t>
            </w:r>
          </w:p>
        </w:tc>
        <w:tc>
          <w:tcPr>
            <w:tcW w:w="4540" w:type="dxa"/>
            <w:vAlign w:val="bottom"/>
          </w:tcPr>
          <w:p>
            <w:pPr>
              <w:ind w:left="1820"/>
              <w:spacing w:after="0"/>
              <w:rPr>
                <w:sz w:val="20"/>
                <w:szCs w:val="20"/>
                <w:color w:val="auto"/>
              </w:rPr>
            </w:pPr>
            <w:r>
              <w:rPr>
                <w:rFonts w:ascii="Arial" w:cs="Arial" w:eastAsia="Arial" w:hAnsi="Arial"/>
                <w:sz w:val="18"/>
                <w:szCs w:val="18"/>
                <w:color w:val="auto"/>
              </w:rPr>
              <w:t>By:</w:t>
            </w:r>
          </w:p>
        </w:tc>
        <w:tc>
          <w:tcPr>
            <w:tcW w:w="30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Mark W. Hahn</w:t>
            </w:r>
          </w:p>
        </w:tc>
      </w:tr>
      <w:tr>
        <w:trPr>
          <w:trHeight w:val="243"/>
        </w:trPr>
        <w:tc>
          <w:tcPr>
            <w:tcW w:w="3660" w:type="dxa"/>
            <w:vAlign w:val="bottom"/>
          </w:tcPr>
          <w:p>
            <w:pPr>
              <w:spacing w:after="0"/>
              <w:rPr>
                <w:sz w:val="21"/>
                <w:szCs w:val="21"/>
                <w:color w:val="auto"/>
              </w:rPr>
            </w:pPr>
          </w:p>
        </w:tc>
        <w:tc>
          <w:tcPr>
            <w:tcW w:w="4540" w:type="dxa"/>
            <w:vAlign w:val="bottom"/>
          </w:tcPr>
          <w:p>
            <w:pPr>
              <w:spacing w:after="0"/>
              <w:rPr>
                <w:sz w:val="21"/>
                <w:szCs w:val="21"/>
                <w:color w:val="auto"/>
              </w:rPr>
            </w:pPr>
          </w:p>
        </w:tc>
        <w:tc>
          <w:tcPr>
            <w:tcW w:w="3020" w:type="dxa"/>
            <w:vAlign w:val="bottom"/>
          </w:tcPr>
          <w:p>
            <w:pPr>
              <w:ind w:left="20"/>
              <w:spacing w:after="0"/>
              <w:rPr>
                <w:sz w:val="20"/>
                <w:szCs w:val="20"/>
                <w:color w:val="auto"/>
              </w:rPr>
            </w:pPr>
            <w:r>
              <w:rPr>
                <w:rFonts w:ascii="Arial" w:cs="Arial" w:eastAsia="Arial" w:hAnsi="Arial"/>
                <w:sz w:val="18"/>
                <w:szCs w:val="18"/>
                <w:color w:val="auto"/>
              </w:rPr>
              <w:t>Mark W. Hahn</w:t>
            </w:r>
          </w:p>
        </w:tc>
      </w:tr>
      <w:tr>
        <w:trPr>
          <w:trHeight w:val="364"/>
        </w:trPr>
        <w:tc>
          <w:tcPr>
            <w:tcW w:w="366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302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1440"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David Zaccardelli, Pharm.D., certify that:</w:t>
      </w:r>
    </w:p>
    <w:p>
      <w:pPr>
        <w:spacing w:after="0" w:line="225" w:lineRule="exact"/>
        <w:rPr>
          <w:sz w:val="20"/>
          <w:szCs w:val="20"/>
          <w:color w:val="auto"/>
        </w:rPr>
      </w:pPr>
    </w:p>
    <w:p>
      <w:pPr>
        <w:ind w:left="180" w:hanging="172"/>
        <w:spacing w:after="0"/>
        <w:tabs>
          <w:tab w:leader="none" w:pos="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Verona Pharma plc;</w:t>
      </w:r>
    </w:p>
    <w:p>
      <w:pPr>
        <w:spacing w:after="0" w:line="225" w:lineRule="exact"/>
        <w:rPr>
          <w:rFonts w:ascii="Arial" w:cs="Arial" w:eastAsia="Arial" w:hAnsi="Arial"/>
          <w:sz w:val="18"/>
          <w:szCs w:val="18"/>
          <w:color w:val="auto"/>
        </w:rPr>
      </w:pPr>
    </w:p>
    <w:p>
      <w:pPr>
        <w:ind w:left="340" w:right="460" w:hanging="332"/>
        <w:spacing w:after="0" w:line="263" w:lineRule="auto"/>
        <w:tabs>
          <w:tab w:leader="none" w:pos="196"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right="540" w:hanging="332"/>
        <w:spacing w:after="0" w:line="308" w:lineRule="auto"/>
        <w:tabs>
          <w:tab w:leader="none" w:pos="196" w:val="left"/>
        </w:tabs>
        <w:numPr>
          <w:ilvl w:val="0"/>
          <w:numId w:val="1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20" w:hanging="332"/>
        <w:spacing w:after="0" w:line="263" w:lineRule="auto"/>
        <w:tabs>
          <w:tab w:leader="none" w:pos="196"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900" w:right="200" w:hanging="451"/>
        <w:spacing w:after="0" w:line="263" w:lineRule="auto"/>
        <w:tabs>
          <w:tab w:leader="none" w:pos="839" w:val="left"/>
        </w:tabs>
        <w:numPr>
          <w:ilvl w:val="2"/>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900" w:right="460" w:hanging="451"/>
        <w:spacing w:after="0" w:line="263" w:lineRule="auto"/>
        <w:tabs>
          <w:tab w:leader="none" w:pos="849" w:val="left"/>
        </w:tabs>
        <w:numPr>
          <w:ilvl w:val="2"/>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900" w:right="620" w:hanging="451"/>
        <w:spacing w:after="0" w:line="342" w:lineRule="auto"/>
        <w:tabs>
          <w:tab w:leader="none" w:pos="839" w:val="left"/>
        </w:tabs>
        <w:numPr>
          <w:ilvl w:val="2"/>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900" w:right="180" w:hanging="451"/>
        <w:spacing w:after="0" w:line="263" w:lineRule="auto"/>
        <w:tabs>
          <w:tab w:leader="none" w:pos="849" w:val="left"/>
        </w:tabs>
        <w:numPr>
          <w:ilvl w:val="2"/>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00" w:right="320" w:hanging="330"/>
        <w:spacing w:after="0" w:line="308" w:lineRule="auto"/>
        <w:tabs>
          <w:tab w:leader="none" w:pos="356" w:val="left"/>
        </w:tabs>
        <w:numPr>
          <w:ilvl w:val="1"/>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00" w:right="120" w:hanging="451"/>
        <w:spacing w:after="0" w:line="308" w:lineRule="auto"/>
        <w:tabs>
          <w:tab w:leader="none" w:pos="829" w:val="left"/>
        </w:tabs>
        <w:numPr>
          <w:ilvl w:val="2"/>
          <w:numId w:val="1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00" w:right="60" w:hanging="451"/>
        <w:spacing w:after="0" w:line="277" w:lineRule="auto"/>
        <w:tabs>
          <w:tab w:leader="none" w:pos="839" w:val="left"/>
        </w:tabs>
        <w:numPr>
          <w:ilvl w:val="2"/>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51" w:lineRule="exact"/>
        <w:rPr>
          <w:sz w:val="20"/>
          <w:szCs w:val="20"/>
          <w:color w:val="auto"/>
        </w:rPr>
      </w:pPr>
    </w:p>
    <w:p>
      <w:pPr>
        <w:ind w:left="20"/>
        <w:spacing w:after="0"/>
        <w:tabs>
          <w:tab w:leader="none" w:pos="4160" w:val="left"/>
          <w:tab w:leader="none" w:pos="6900" w:val="left"/>
        </w:tabs>
        <w:rPr>
          <w:sz w:val="20"/>
          <w:szCs w:val="20"/>
          <w:color w:val="auto"/>
        </w:rPr>
      </w:pPr>
      <w:r>
        <w:rPr>
          <w:rFonts w:ascii="Arial" w:cs="Arial" w:eastAsia="Arial" w:hAnsi="Arial"/>
          <w:sz w:val="18"/>
          <w:szCs w:val="18"/>
          <w:color w:val="auto"/>
        </w:rPr>
        <w:t>Date: November 9,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David Zaccardelli, Pharm.D.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31750</wp:posOffset>
            </wp:positionV>
            <wp:extent cx="391795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3917950" cy="8255"/>
                    </a:xfrm>
                    <a:prstGeom prst="rect">
                      <a:avLst/>
                    </a:prstGeom>
                    <a:noFill/>
                  </pic:spPr>
                </pic:pic>
              </a:graphicData>
            </a:graphic>
          </wp:anchor>
        </w:drawing>
      </w:r>
    </w:p>
    <w:p>
      <w:pPr>
        <w:spacing w:after="0" w:line="57" w:lineRule="exact"/>
        <w:rPr>
          <w:sz w:val="20"/>
          <w:szCs w:val="20"/>
          <w:color w:val="auto"/>
        </w:rPr>
      </w:pPr>
    </w:p>
    <w:p>
      <w:pPr>
        <w:ind w:left="7020"/>
        <w:spacing w:after="0"/>
        <w:rPr>
          <w:sz w:val="20"/>
          <w:szCs w:val="20"/>
          <w:color w:val="auto"/>
        </w:rPr>
      </w:pPr>
      <w:r>
        <w:rPr>
          <w:rFonts w:ascii="Arial" w:cs="Arial" w:eastAsia="Arial" w:hAnsi="Arial"/>
          <w:sz w:val="18"/>
          <w:szCs w:val="18"/>
          <w:color w:val="auto"/>
        </w:rPr>
        <w:t>David Zaccardelli, Pharm.D.</w:t>
      </w:r>
    </w:p>
    <w:p>
      <w:pPr>
        <w:spacing w:after="0" w:line="6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ind w:left="706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1417" w:right="339" w:bottom="1440" w:gutter="0" w:footer="0" w:header="0"/>
        </w:sectPr>
      </w:pPr>
    </w:p>
    <w:bookmarkStart w:id="39" w:name="page40"/>
    <w:bookmarkEnd w:id="39"/>
    <w:p>
      <w:pPr>
        <w:spacing w:after="0" w:line="2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Mark W. Hahn, certify that:</w:t>
      </w:r>
    </w:p>
    <w:p>
      <w:pPr>
        <w:spacing w:after="0" w:line="225" w:lineRule="exact"/>
        <w:rPr>
          <w:sz w:val="20"/>
          <w:szCs w:val="20"/>
          <w:color w:val="auto"/>
        </w:rPr>
      </w:pPr>
    </w:p>
    <w:p>
      <w:pPr>
        <w:ind w:left="520" w:hanging="188"/>
        <w:spacing w:after="0"/>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Verona Pharma plc;</w:t>
      </w:r>
    </w:p>
    <w:p>
      <w:pPr>
        <w:spacing w:after="0" w:line="225" w:lineRule="exact"/>
        <w:rPr>
          <w:rFonts w:ascii="Arial" w:cs="Arial" w:eastAsia="Arial" w:hAnsi="Arial"/>
          <w:sz w:val="18"/>
          <w:szCs w:val="18"/>
          <w:color w:val="auto"/>
        </w:rPr>
      </w:pPr>
    </w:p>
    <w:p>
      <w:pPr>
        <w:ind w:left="660" w:right="140" w:hanging="328"/>
        <w:spacing w:after="0" w:line="263" w:lineRule="auto"/>
        <w:tabs>
          <w:tab w:leader="none" w:pos="516"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220" w:hanging="328"/>
        <w:spacing w:after="0" w:line="308" w:lineRule="auto"/>
        <w:tabs>
          <w:tab w:leader="none" w:pos="516" w:val="left"/>
        </w:tabs>
        <w:numPr>
          <w:ilvl w:val="0"/>
          <w:numId w:val="1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20" w:hanging="188"/>
        <w:spacing w:after="0"/>
        <w:tabs>
          <w:tab w:leader="none" w:pos="5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w:t>
      </w:r>
    </w:p>
    <w:p>
      <w:pPr>
        <w:spacing w:after="0" w:line="35" w:lineRule="exact"/>
        <w:rPr>
          <w:sz w:val="20"/>
          <w:szCs w:val="20"/>
          <w:color w:val="auto"/>
        </w:rPr>
      </w:pPr>
    </w:p>
    <w:p>
      <w:pPr>
        <w:ind w:left="660" w:right="300"/>
        <w:spacing w:after="0" w:line="260" w:lineRule="auto"/>
        <w:rPr>
          <w:sz w:val="20"/>
          <w:szCs w:val="20"/>
          <w:color w:val="auto"/>
        </w:rPr>
      </w:pPr>
      <w:r>
        <w:rPr>
          <w:rFonts w:ascii="Arial" w:cs="Arial" w:eastAsia="Arial" w:hAnsi="Arial"/>
          <w:sz w:val="18"/>
          <w:szCs w:val="18"/>
          <w:color w:val="auto"/>
        </w:rPr>
        <w:t>in Exchange Act Rules 13a-15(e) and 15d-15(e)) and internal control over financial reporting (as defined in Exchange Act Rules 13a-15(f) and 15d-15(f)) for the registrant and have:</w:t>
      </w:r>
    </w:p>
    <w:p>
      <w:pPr>
        <w:spacing w:after="0" w:line="185" w:lineRule="exact"/>
        <w:rPr>
          <w:sz w:val="20"/>
          <w:szCs w:val="20"/>
          <w:color w:val="auto"/>
        </w:rPr>
      </w:pPr>
    </w:p>
    <w:p>
      <w:pPr>
        <w:jc w:val="both"/>
        <w:ind w:left="900" w:right="200" w:hanging="451"/>
        <w:spacing w:after="0" w:line="263" w:lineRule="auto"/>
        <w:tabs>
          <w:tab w:leader="none" w:pos="839"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900" w:right="460" w:hanging="451"/>
        <w:spacing w:after="0" w:line="263" w:lineRule="auto"/>
        <w:tabs>
          <w:tab w:leader="none" w:pos="849"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900" w:right="620" w:hanging="451"/>
        <w:spacing w:after="0" w:line="342" w:lineRule="auto"/>
        <w:tabs>
          <w:tab w:leader="none" w:pos="839"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900" w:right="180" w:hanging="451"/>
        <w:spacing w:after="0" w:line="263" w:lineRule="auto"/>
        <w:tabs>
          <w:tab w:leader="none" w:pos="849"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right="140" w:hanging="328"/>
        <w:spacing w:after="0" w:line="308" w:lineRule="auto"/>
        <w:tabs>
          <w:tab w:leader="none" w:pos="516"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00" w:right="120" w:hanging="451"/>
        <w:spacing w:after="0" w:line="308" w:lineRule="auto"/>
        <w:tabs>
          <w:tab w:leader="none" w:pos="829" w:val="left"/>
        </w:tabs>
        <w:numPr>
          <w:ilvl w:val="1"/>
          <w:numId w:val="1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00" w:right="60" w:hanging="451"/>
        <w:spacing w:after="0" w:line="277" w:lineRule="auto"/>
        <w:tabs>
          <w:tab w:leader="none" w:pos="839"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51" w:lineRule="exact"/>
        <w:rPr>
          <w:sz w:val="20"/>
          <w:szCs w:val="20"/>
          <w:color w:val="auto"/>
        </w:rPr>
      </w:pPr>
    </w:p>
    <w:p>
      <w:pPr>
        <w:ind w:left="20"/>
        <w:spacing w:after="0"/>
        <w:tabs>
          <w:tab w:leader="none" w:pos="3120" w:val="left"/>
          <w:tab w:leader="none" w:pos="6780" w:val="left"/>
        </w:tabs>
        <w:rPr>
          <w:sz w:val="20"/>
          <w:szCs w:val="20"/>
          <w:color w:val="auto"/>
        </w:rPr>
      </w:pPr>
      <w:r>
        <w:rPr>
          <w:rFonts w:ascii="Arial" w:cs="Arial" w:eastAsia="Arial" w:hAnsi="Arial"/>
          <w:sz w:val="18"/>
          <w:szCs w:val="18"/>
          <w:color w:val="auto"/>
        </w:rPr>
        <w:t>Date: November 9,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Mark W. Hahn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2362200</wp:posOffset>
            </wp:positionH>
            <wp:positionV relativeFrom="paragraph">
              <wp:posOffset>31750</wp:posOffset>
            </wp:positionV>
            <wp:extent cx="472313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4723130" cy="8890"/>
                    </a:xfrm>
                    <a:prstGeom prst="rect">
                      <a:avLst/>
                    </a:prstGeom>
                    <a:noFill/>
                  </pic:spPr>
                </pic:pic>
              </a:graphicData>
            </a:graphic>
          </wp:anchor>
        </w:drawing>
      </w:r>
    </w:p>
    <w:p>
      <w:pPr>
        <w:spacing w:after="0" w:line="57" w:lineRule="exact"/>
        <w:rPr>
          <w:sz w:val="20"/>
          <w:szCs w:val="20"/>
          <w:color w:val="auto"/>
        </w:rPr>
      </w:pPr>
    </w:p>
    <w:p>
      <w:pPr>
        <w:jc w:val="center"/>
        <w:ind w:left="3620"/>
        <w:spacing w:after="0"/>
        <w:rPr>
          <w:sz w:val="20"/>
          <w:szCs w:val="20"/>
          <w:color w:val="auto"/>
        </w:rPr>
      </w:pPr>
      <w:r>
        <w:rPr>
          <w:rFonts w:ascii="Arial" w:cs="Arial" w:eastAsia="Arial" w:hAnsi="Arial"/>
          <w:sz w:val="18"/>
          <w:szCs w:val="18"/>
          <w:color w:val="auto"/>
        </w:rPr>
        <w:t>Mark W. Hahn</w:t>
      </w:r>
    </w:p>
    <w:p>
      <w:pPr>
        <w:spacing w:after="0" w:line="63" w:lineRule="exact"/>
        <w:rPr>
          <w:sz w:val="20"/>
          <w:szCs w:val="20"/>
          <w:color w:val="auto"/>
        </w:rPr>
      </w:pPr>
    </w:p>
    <w:p>
      <w:pPr>
        <w:jc w:val="center"/>
        <w:ind w:left="3620"/>
        <w:spacing w:after="0"/>
        <w:rPr>
          <w:sz w:val="20"/>
          <w:szCs w:val="20"/>
          <w:color w:val="auto"/>
        </w:rPr>
      </w:pPr>
      <w:r>
        <w:rPr>
          <w:rFonts w:ascii="Arial" w:cs="Arial" w:eastAsia="Arial" w:hAnsi="Arial"/>
          <w:sz w:val="18"/>
          <w:szCs w:val="18"/>
          <w:color w:val="auto"/>
        </w:rPr>
        <w:t>Chief Financial Officer (</w:t>
      </w:r>
      <w:r>
        <w:rPr>
          <w:rFonts w:ascii="Arial" w:cs="Arial" w:eastAsia="Arial" w:hAnsi="Arial"/>
          <w:sz w:val="18"/>
          <w:szCs w:val="18"/>
          <w:i w:val="1"/>
          <w:iCs w:val="1"/>
          <w:color w:val="auto"/>
        </w:rPr>
        <w:t>principal financial officer</w:t>
      </w:r>
      <w:r>
        <w:rPr>
          <w:rFonts w:ascii="Arial" w:cs="Arial" w:eastAsia="Arial" w:hAnsi="Arial"/>
          <w:sz w:val="18"/>
          <w:szCs w:val="18"/>
          <w:color w:val="auto"/>
        </w:rPr>
        <w:t>)</w:t>
      </w:r>
    </w:p>
    <w:p>
      <w:pPr>
        <w:sectPr>
          <w:pgSz w:w="11900" w:h="16838" w:orient="portrait"/>
          <w:cols w:equalWidth="0" w:num="1">
            <w:col w:w="11240"/>
          </w:cols>
          <w:pgMar w:left="320" w:top="1440"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0" w:firstLine="441"/>
        <w:spacing w:after="0" w:line="263" w:lineRule="auto"/>
        <w:rPr>
          <w:sz w:val="20"/>
          <w:szCs w:val="20"/>
          <w:color w:val="auto"/>
        </w:rPr>
      </w:pPr>
      <w:r>
        <w:rPr>
          <w:rFonts w:ascii="Arial" w:cs="Arial" w:eastAsia="Arial" w:hAnsi="Arial"/>
          <w:sz w:val="18"/>
          <w:szCs w:val="18"/>
          <w:color w:val="auto"/>
        </w:rPr>
        <w:t>In connection with the Quarterly Report on Form 10-Q of Verona Pharma plc (the “Company”) for the period ended September 30, 2021 as filed with the Securities and Exchange Commission on the date hereof (the “Report”), I certify, pursuant to 18 U.S.C. § 1350, as adopted pursuant to § 906 of the Sarbanes-Oxley Act of 2002, that, to the best of my knowledge:</w:t>
      </w:r>
    </w:p>
    <w:p>
      <w:pPr>
        <w:spacing w:after="0" w:line="184" w:lineRule="exact"/>
        <w:rPr>
          <w:sz w:val="20"/>
          <w:szCs w:val="20"/>
          <w:color w:val="auto"/>
        </w:rPr>
      </w:pPr>
    </w:p>
    <w:p>
      <w:pPr>
        <w:ind w:left="840" w:hanging="391"/>
        <w:spacing w:after="0"/>
        <w:tabs>
          <w:tab w:leader="none" w:pos="8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36" w:lineRule="exact"/>
        <w:rPr>
          <w:rFonts w:ascii="Arial" w:cs="Arial" w:eastAsia="Arial" w:hAnsi="Arial"/>
          <w:sz w:val="17"/>
          <w:szCs w:val="17"/>
          <w:color w:val="auto"/>
        </w:rPr>
      </w:pPr>
    </w:p>
    <w:p>
      <w:pPr>
        <w:ind w:left="900" w:right="740" w:hanging="451"/>
        <w:spacing w:after="0" w:line="277" w:lineRule="auto"/>
        <w:tabs>
          <w:tab w:leader="none" w:pos="846"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51" w:lineRule="exact"/>
        <w:rPr>
          <w:sz w:val="20"/>
          <w:szCs w:val="20"/>
          <w:color w:val="auto"/>
        </w:rPr>
      </w:pPr>
    </w:p>
    <w:p>
      <w:pPr>
        <w:ind w:left="20"/>
        <w:spacing w:after="0"/>
        <w:tabs>
          <w:tab w:leader="none" w:pos="4160" w:val="left"/>
          <w:tab w:leader="none" w:pos="6900" w:val="left"/>
        </w:tabs>
        <w:rPr>
          <w:sz w:val="20"/>
          <w:szCs w:val="20"/>
          <w:color w:val="auto"/>
        </w:rPr>
      </w:pPr>
      <w:r>
        <w:rPr>
          <w:rFonts w:ascii="Arial" w:cs="Arial" w:eastAsia="Arial" w:hAnsi="Arial"/>
          <w:sz w:val="18"/>
          <w:szCs w:val="18"/>
          <w:color w:val="auto"/>
        </w:rPr>
        <w:t>Date: November 9,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David Zaccardelli, Pharm.D.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31750</wp:posOffset>
            </wp:positionV>
            <wp:extent cx="391795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3917950" cy="8255"/>
                    </a:xfrm>
                    <a:prstGeom prst="rect">
                      <a:avLst/>
                    </a:prstGeom>
                    <a:noFill/>
                  </pic:spPr>
                </pic:pic>
              </a:graphicData>
            </a:graphic>
          </wp:anchor>
        </w:drawing>
      </w:r>
    </w:p>
    <w:p>
      <w:pPr>
        <w:spacing w:after="0" w:line="57" w:lineRule="exact"/>
        <w:rPr>
          <w:sz w:val="20"/>
          <w:szCs w:val="20"/>
          <w:color w:val="auto"/>
        </w:rPr>
      </w:pPr>
    </w:p>
    <w:p>
      <w:pPr>
        <w:ind w:left="7020"/>
        <w:spacing w:after="0"/>
        <w:rPr>
          <w:sz w:val="20"/>
          <w:szCs w:val="20"/>
          <w:color w:val="auto"/>
        </w:rPr>
      </w:pPr>
      <w:r>
        <w:rPr>
          <w:rFonts w:ascii="Arial" w:cs="Arial" w:eastAsia="Arial" w:hAnsi="Arial"/>
          <w:sz w:val="18"/>
          <w:szCs w:val="18"/>
          <w:color w:val="auto"/>
        </w:rPr>
        <w:t>David Zaccardelli, Pharm.D.</w:t>
      </w:r>
    </w:p>
    <w:p>
      <w:pPr>
        <w:spacing w:after="0" w:line="6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ind w:left="70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p>
      <w:pPr>
        <w:sectPr>
          <w:pgSz w:w="11900" w:h="16838" w:orient="portrait"/>
          <w:cols w:equalWidth="0" w:num="1">
            <w:col w:w="11240"/>
          </w:cols>
          <w:pgMar w:left="320" w:top="1417" w:right="339" w:bottom="1440" w:gutter="0" w:footer="0" w:header="0"/>
        </w:sectPr>
      </w:pPr>
    </w:p>
    <w:bookmarkStart w:id="41" w:name="page42"/>
    <w:bookmarkEnd w:id="41"/>
    <w:p>
      <w:pPr>
        <w:spacing w:after="0" w:line="2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0" w:firstLine="441"/>
        <w:spacing w:after="0" w:line="263" w:lineRule="auto"/>
        <w:rPr>
          <w:sz w:val="20"/>
          <w:szCs w:val="20"/>
          <w:color w:val="auto"/>
        </w:rPr>
      </w:pPr>
      <w:r>
        <w:rPr>
          <w:rFonts w:ascii="Arial" w:cs="Arial" w:eastAsia="Arial" w:hAnsi="Arial"/>
          <w:sz w:val="18"/>
          <w:szCs w:val="18"/>
          <w:color w:val="auto"/>
        </w:rPr>
        <w:t>In connection with the Quarterly Report on Form 10-Q of Verona Pharma plc (the “Company”) for the period ended September 30, 2021 as filed with the Securities and Exchange Commission on the date hereof (the “Report”), I certify, pursuant to 18 U.S.C. § 1350, as adopted pursuant to § 906 of the Sarbanes-Oxley Act of 2002, that, to the best of my knowledge:</w:t>
      </w:r>
    </w:p>
    <w:p>
      <w:pPr>
        <w:spacing w:after="0" w:line="184" w:lineRule="exact"/>
        <w:rPr>
          <w:sz w:val="20"/>
          <w:szCs w:val="20"/>
          <w:color w:val="auto"/>
        </w:rPr>
      </w:pPr>
    </w:p>
    <w:p>
      <w:pPr>
        <w:ind w:left="840" w:hanging="391"/>
        <w:spacing w:after="0"/>
        <w:tabs>
          <w:tab w:leader="none" w:pos="8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36" w:lineRule="exact"/>
        <w:rPr>
          <w:rFonts w:ascii="Arial" w:cs="Arial" w:eastAsia="Arial" w:hAnsi="Arial"/>
          <w:sz w:val="17"/>
          <w:szCs w:val="17"/>
          <w:color w:val="auto"/>
        </w:rPr>
      </w:pPr>
    </w:p>
    <w:p>
      <w:pPr>
        <w:ind w:left="900" w:right="740" w:hanging="451"/>
        <w:spacing w:after="0" w:line="277" w:lineRule="auto"/>
        <w:tabs>
          <w:tab w:leader="none" w:pos="846"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51" w:lineRule="exact"/>
        <w:rPr>
          <w:sz w:val="20"/>
          <w:szCs w:val="20"/>
          <w:color w:val="auto"/>
        </w:rPr>
      </w:pPr>
    </w:p>
    <w:p>
      <w:pPr>
        <w:ind w:left="20"/>
        <w:spacing w:after="0"/>
        <w:tabs>
          <w:tab w:leader="none" w:pos="3120" w:val="left"/>
          <w:tab w:leader="none" w:pos="6780" w:val="left"/>
        </w:tabs>
        <w:rPr>
          <w:sz w:val="20"/>
          <w:szCs w:val="20"/>
          <w:color w:val="auto"/>
        </w:rPr>
      </w:pPr>
      <w:r>
        <w:rPr>
          <w:rFonts w:ascii="Arial" w:cs="Arial" w:eastAsia="Arial" w:hAnsi="Arial"/>
          <w:sz w:val="18"/>
          <w:szCs w:val="18"/>
          <w:color w:val="auto"/>
        </w:rPr>
        <w:t>Date: November 9,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Mark W. Hahn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2362200</wp:posOffset>
            </wp:positionH>
            <wp:positionV relativeFrom="paragraph">
              <wp:posOffset>31750</wp:posOffset>
            </wp:positionV>
            <wp:extent cx="472313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4723130" cy="8255"/>
                    </a:xfrm>
                    <a:prstGeom prst="rect">
                      <a:avLst/>
                    </a:prstGeom>
                    <a:noFill/>
                  </pic:spPr>
                </pic:pic>
              </a:graphicData>
            </a:graphic>
          </wp:anchor>
        </w:drawing>
      </w:r>
    </w:p>
    <w:p>
      <w:pPr>
        <w:spacing w:after="0" w:line="57" w:lineRule="exact"/>
        <w:rPr>
          <w:sz w:val="20"/>
          <w:szCs w:val="20"/>
          <w:color w:val="auto"/>
        </w:rPr>
      </w:pPr>
    </w:p>
    <w:p>
      <w:pPr>
        <w:jc w:val="center"/>
        <w:ind w:left="3620"/>
        <w:spacing w:after="0"/>
        <w:rPr>
          <w:sz w:val="20"/>
          <w:szCs w:val="20"/>
          <w:color w:val="auto"/>
        </w:rPr>
      </w:pPr>
      <w:r>
        <w:rPr>
          <w:rFonts w:ascii="Arial" w:cs="Arial" w:eastAsia="Arial" w:hAnsi="Arial"/>
          <w:sz w:val="18"/>
          <w:szCs w:val="18"/>
          <w:color w:val="auto"/>
        </w:rPr>
        <w:t>Mark W. Hahn</w:t>
      </w:r>
    </w:p>
    <w:p>
      <w:pPr>
        <w:spacing w:after="0" w:line="63" w:lineRule="exact"/>
        <w:rPr>
          <w:sz w:val="20"/>
          <w:szCs w:val="20"/>
          <w:color w:val="auto"/>
        </w:rPr>
      </w:pPr>
    </w:p>
    <w:p>
      <w:pPr>
        <w:jc w:val="center"/>
        <w:ind w:left="3620"/>
        <w:spacing w:after="0"/>
        <w:rPr>
          <w:sz w:val="20"/>
          <w:szCs w:val="20"/>
          <w:color w:val="auto"/>
        </w:rPr>
      </w:pPr>
      <w:r>
        <w:rPr>
          <w:rFonts w:ascii="Arial" w:cs="Arial" w:eastAsia="Arial" w:hAnsi="Arial"/>
          <w:sz w:val="18"/>
          <w:szCs w:val="18"/>
          <w:color w:val="auto"/>
        </w:rPr>
        <w:t>Chief Financial Officer (</w:t>
      </w:r>
      <w:r>
        <w:rPr>
          <w:rFonts w:ascii="Arial" w:cs="Arial" w:eastAsia="Arial" w:hAnsi="Arial"/>
          <w:sz w:val="18"/>
          <w:szCs w:val="18"/>
          <w:i w:val="1"/>
          <w:iCs w:val="1"/>
          <w:color w:val="auto"/>
        </w:rPr>
        <w:t>principal financial officer)</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lvl w:ilvl="1">
      <w:lvlJc w:val="left"/>
      <w:lvlText w:val="%2"/>
      <w:numFmt w:val="decimal"/>
      <w:start w:val="104"/>
    </w:lvl>
  </w:abstractNum>
  <w:abstractNum w:abstractNumId="8">
    <w:nsid w:val="66EF438D"/>
    <w:multiLevelType w:val="hybridMultilevel"/>
    <w:lvl w:ilvl="0">
      <w:lvlJc w:val="left"/>
      <w:lvlText w:val="**"/>
      <w:numFmt w:val="bullet"/>
      <w:start w:val="1"/>
    </w:lvl>
    <w:lvl w:ilvl="1">
      <w:lvlJc w:val="left"/>
      <w:lvlText w:val="%2"/>
      <w:numFmt w:val="decimal"/>
      <w:start w:val="1"/>
    </w:lvl>
  </w:abstractNum>
  <w:abstractNum w:abstractNumId="9">
    <w:nsid w:val="140E0F76"/>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10">
    <w:nsid w:val="3352255A"/>
    <w:multiLevelType w:val="hybridMultilevel"/>
    <w:lvl w:ilvl="0">
      <w:lvlJc w:val="left"/>
      <w:lvlText w:val="%1."/>
      <w:numFmt w:val="decimal"/>
      <w:start w:val="1"/>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5"/>
    </w:lvl>
    <w:lvl w:ilvl="1">
      <w:lvlJc w:val="left"/>
      <w:lvlText w:val="(%2)"/>
      <w:numFmt w:val="lowerLetter"/>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3" Type="http://schemas.openxmlformats.org/officeDocument/2006/relationships/hyperlink" Target="https://www.sec.gov/Archives/edgar/data/1657312/000110465920140541/tm2039594d1_ex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2021-11-09T07:56:44Z</dcterms:created>
  <dcterms:modified xsi:type="dcterms:W3CDTF">2021-11-09T07:56:44Z</dcterms:modified>
</cp:coreProperties>
</file>