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4726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Sinha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05/20/2025</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160,000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0.5038</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234,440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05/20/2025</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160,000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9.3933</w:t>
            </w:r>
            <w:r>
              <w:rPr>
                <w:rFonts w:ascii="Times New Roman" w:cs="Times New Roman" w:eastAsia="Times New Roman" w:hAnsi="Times New Roman"/>
                <w:sz w:val="21"/>
                <w:szCs w:val="21"/>
                <w:color w:val="008000"/>
                <w:w w:val="90"/>
                <w:vertAlign w:val="superscript"/>
              </w:rPr>
              <w:t>(3)</w:t>
            </w:r>
          </w:p>
        </w:tc>
        <w:tc>
          <w:tcPr>
            <w:tcW w:w="1240" w:type="dxa"/>
            <w:vAlign w:val="bottom"/>
            <w:tcBorders>
              <w:bottom w:val="single" w:sz="8" w:color="2C2C2C"/>
            </w:tcBorders>
            <w:gridSpan w:val="3"/>
          </w:tcPr>
          <w:p>
            <w:pPr>
              <w:jc w:val="center"/>
              <w:ind w:right="242"/>
              <w:spacing w:after="0"/>
              <w:rPr>
                <w:sz w:val="20"/>
                <w:szCs w:val="20"/>
                <w:color w:val="auto"/>
              </w:rPr>
            </w:pPr>
            <w:r>
              <w:rPr>
                <w:rFonts w:ascii="Times New Roman" w:cs="Times New Roman" w:eastAsia="Times New Roman" w:hAnsi="Times New Roman"/>
                <w:sz w:val="17"/>
                <w:szCs w:val="17"/>
                <w:color w:val="0000FF"/>
              </w:rPr>
              <w:t>74,440</w:t>
            </w:r>
            <w:r>
              <w:rPr>
                <w:rFonts w:ascii="Times New Roman" w:cs="Times New Roman" w:eastAsia="Times New Roman" w:hAnsi="Times New Roman"/>
                <w:sz w:val="21"/>
                <w:szCs w:val="21"/>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0.5038</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05/20/2025</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160,000</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04/27/2032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160,000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384</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80" w:type="dxa"/>
            <w:vAlign w:val="bottom"/>
          </w:tcPr>
          <w:p>
            <w:pPr>
              <w:ind w:left="60"/>
              <w:spacing w:after="0" w:line="84"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ind w:left="100"/>
              <w:spacing w:after="0" w:line="84" w:lineRule="exact"/>
              <w:rPr>
                <w:sz w:val="20"/>
                <w:szCs w:val="20"/>
                <w:color w:val="auto"/>
              </w:rPr>
            </w:pPr>
            <w:r>
              <w:rPr>
                <w:rFonts w:ascii="Times New Roman" w:cs="Times New Roman" w:eastAsia="Times New Roman" w:hAnsi="Times New Roman"/>
                <w:sz w:val="8"/>
                <w:szCs w:val="8"/>
                <w:color w:val="0000FF"/>
              </w:rPr>
              <w:t>Shares</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(5)</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was effected pursuant to a Rule 10b5-1 plan adopted by the Reporting Person on November 6, 2024.</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 $9.375 to</w:t>
      </w:r>
    </w:p>
    <w:p>
      <w:pPr>
        <w:spacing w:after="0" w:line="5" w:lineRule="exact"/>
        <w:rPr>
          <w:sz w:val="24"/>
          <w:szCs w:val="24"/>
          <w:color w:val="auto"/>
        </w:rPr>
      </w:pPr>
    </w:p>
    <w:p>
      <w:pPr>
        <w:ind w:left="40" w:right="340"/>
        <w:spacing w:after="0" w:line="234" w:lineRule="auto"/>
        <w:rPr>
          <w:sz w:val="20"/>
          <w:szCs w:val="20"/>
          <w:color w:val="auto"/>
        </w:rPr>
      </w:pPr>
      <w:r>
        <w:rPr>
          <w:rFonts w:ascii="Times New Roman" w:cs="Times New Roman" w:eastAsia="Times New Roman" w:hAnsi="Times New Roman"/>
          <w:sz w:val="13"/>
          <w:szCs w:val="13"/>
          <w:color w:val="008000"/>
        </w:rPr>
        <w:t>$9.4263, inclusive (or $75.00 to $75.41 per ADS, inclusive).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6" w:lineRule="exact"/>
        <w:rPr>
          <w:sz w:val="24"/>
          <w:szCs w:val="24"/>
          <w:color w:val="auto"/>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74,440 Ordinary Shares represented by 9,305 ADSs.</w:t>
      </w:r>
    </w:p>
    <w:p>
      <w:pPr>
        <w:spacing w:after="0" w:line="41" w:lineRule="exact"/>
        <w:rPr>
          <w:rFonts w:ascii="Times New Roman" w:cs="Times New Roman" w:eastAsia="Times New Roman" w:hAnsi="Times New Roman"/>
          <w:sz w:val="13"/>
          <w:szCs w:val="13"/>
          <w:color w:val="008000"/>
        </w:rPr>
      </w:pPr>
    </w:p>
    <w:p>
      <w:pPr>
        <w:ind w:left="40" w:right="420"/>
        <w:spacing w:after="0" w:line="250" w:lineRule="auto"/>
        <w:tabs>
          <w:tab w:leader="none" w:pos="16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Andrew Fisher, Attorney-in-  </w:t>
      </w:r>
      <w:r>
        <w:rPr>
          <w:rFonts w:ascii="Times New Roman" w:cs="Times New Roman" w:eastAsia="Times New Roman" w:hAnsi="Times New Roman"/>
          <w:sz w:val="33"/>
          <w:szCs w:val="33"/>
          <w:color w:val="0000FF"/>
          <w:vertAlign w:val="subscript"/>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Vikas Sinha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37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7845"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2025-05-22T15:16:20Z</dcterms:created>
  <dcterms:modified xsi:type="dcterms:W3CDTF">2025-05-22T15:16:20Z</dcterms:modified>
</cp:coreProperties>
</file>