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880"/>
        <w:spacing w:after="0"/>
        <w:rPr>
          <w:sz w:val="20"/>
          <w:szCs w:val="20"/>
          <w:color w:val="auto"/>
        </w:rPr>
      </w:pPr>
      <w:r>
        <w:rPr>
          <w:rFonts w:ascii="Arial" w:cs="Arial" w:eastAsia="Arial" w:hAnsi="Arial"/>
          <w:sz w:val="25"/>
          <w:szCs w:val="25"/>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Verona Pharma plc</w:t>
      </w:r>
    </w:p>
    <w:p>
      <w:pPr>
        <w:spacing w:after="0" w:line="34"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August 14, 2020, Verona Pharma plc (the “Company”) furnished its interim results for the six months ended June 30, 2020 (the “Interim Results”) on a Report on Form 6-K (the “Form 6-K”). This amendment (the “Amendment”) to the Form 6-K is being furnished solely to provide eXtensible Business Reporting Language tagging for the financial statements included in the Interim Results. There are no other changes to the Form 6-K.</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Exhibits 1, 101.INS, 101.SCH, 101.CAL, 101.LAB, 101.PRE, and 101.DEF furnished with this Amendment are hereby incorporated by reference into the Company’s Registration Statement on Form F-3 (Registration No. 333-225107).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6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200" w:type="dxa"/>
            <w:vAlign w:val="bottom"/>
          </w:tcPr>
          <w:p>
            <w:pPr>
              <w:spacing w:after="0"/>
              <w:rPr>
                <w:sz w:val="24"/>
                <w:szCs w:val="24"/>
                <w:color w:val="auto"/>
              </w:rPr>
            </w:pPr>
          </w:p>
        </w:tc>
        <w:tc>
          <w:tcPr>
            <w:tcW w:w="978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financial statements for Verona Pharma plc for the three- and six-month periods ended June 30, 2020</w:t>
              </w:r>
            </w:hyperlink>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198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August 25, 2020</w:t>
            </w:r>
          </w:p>
        </w:tc>
        <w:tc>
          <w:tcPr>
            <w:tcW w:w="7620" w:type="dxa"/>
            <w:vAlign w:val="bottom"/>
            <w:gridSpan w:val="2"/>
          </w:tcPr>
          <w:p>
            <w:pPr>
              <w:ind w:left="1980"/>
              <w:spacing w:after="0"/>
              <w:rPr>
                <w:sz w:val="20"/>
                <w:szCs w:val="20"/>
                <w:color w:val="auto"/>
              </w:rPr>
            </w:pPr>
            <w:r>
              <w:rPr>
                <w:rFonts w:ascii="Arial" w:cs="Arial" w:eastAsia="Arial" w:hAnsi="Arial"/>
                <w:sz w:val="18"/>
                <w:szCs w:val="18"/>
                <w:color w:val="auto"/>
              </w:rPr>
              <w:t>By:   /s/ David Zaccardelli, Pharm. D.</w:t>
            </w:r>
          </w:p>
        </w:tc>
      </w:tr>
      <w:tr>
        <w:trPr>
          <w:trHeight w:val="20"/>
        </w:trPr>
        <w:tc>
          <w:tcPr>
            <w:tcW w:w="3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195"/>
        </w:trPr>
        <w:tc>
          <w:tcPr>
            <w:tcW w:w="3620" w:type="dxa"/>
            <w:vAlign w:val="bottom"/>
          </w:tcPr>
          <w:p>
            <w:pPr>
              <w:spacing w:after="0"/>
              <w:rPr>
                <w:sz w:val="16"/>
                <w:szCs w:val="16"/>
                <w:color w:val="auto"/>
              </w:rPr>
            </w:pPr>
          </w:p>
        </w:tc>
        <w:tc>
          <w:tcPr>
            <w:tcW w:w="7620" w:type="dxa"/>
            <w:vAlign w:val="bottom"/>
            <w:gridSpan w:val="2"/>
          </w:tcPr>
          <w:p>
            <w:pPr>
              <w:ind w:left="1980"/>
              <w:spacing w:after="0" w:line="195" w:lineRule="exact"/>
              <w:rPr>
                <w:sz w:val="20"/>
                <w:szCs w:val="20"/>
                <w:color w:val="auto"/>
              </w:rPr>
            </w:pPr>
            <w:r>
              <w:rPr>
                <w:rFonts w:ascii="Arial" w:cs="Arial" w:eastAsia="Arial" w:hAnsi="Arial"/>
                <w:sz w:val="18"/>
                <w:szCs w:val="18"/>
                <w:color w:val="auto"/>
              </w:rPr>
              <w:t>Name:David Zaccardelli, Pharm. D.</w:t>
            </w:r>
          </w:p>
        </w:tc>
      </w:tr>
      <w:tr>
        <w:trPr>
          <w:trHeight w:val="230"/>
        </w:trPr>
        <w:tc>
          <w:tcPr>
            <w:tcW w:w="3620" w:type="dxa"/>
            <w:vAlign w:val="bottom"/>
          </w:tcPr>
          <w:p>
            <w:pPr>
              <w:spacing w:after="0"/>
              <w:rPr>
                <w:sz w:val="20"/>
                <w:szCs w:val="20"/>
                <w:color w:val="auto"/>
              </w:rPr>
            </w:pPr>
          </w:p>
        </w:tc>
        <w:tc>
          <w:tcPr>
            <w:tcW w:w="7620" w:type="dxa"/>
            <w:vAlign w:val="bottom"/>
            <w:gridSpan w:val="2"/>
          </w:tcPr>
          <w:p>
            <w:pPr>
              <w:ind w:left="1980"/>
              <w:spacing w:after="0"/>
              <w:rPr>
                <w:sz w:val="20"/>
                <w:szCs w:val="20"/>
                <w:color w:val="auto"/>
              </w:rPr>
            </w:pPr>
            <w:r>
              <w:rPr>
                <w:rFonts w:ascii="Arial" w:cs="Arial" w:eastAsia="Arial" w:hAnsi="Arial"/>
                <w:sz w:val="18"/>
                <w:szCs w:val="18"/>
                <w:color w:val="auto"/>
              </w:rPr>
              <w:t>Title: President and 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2020, AND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As of</w:t>
            </w:r>
          </w:p>
        </w:tc>
      </w:tr>
      <w:tr>
        <w:trPr>
          <w:trHeight w:val="216"/>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980" w:type="dxa"/>
            <w:vAlign w:val="bottom"/>
          </w:tcPr>
          <w:p>
            <w:pPr>
              <w:spacing w:after="0"/>
              <w:rPr>
                <w:sz w:val="20"/>
                <w:szCs w:val="20"/>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Notes</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gridSpan w:val="2"/>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25,430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Right-of-use asset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9"/>
                <w:szCs w:val="19"/>
                <w:color w:val="auto"/>
              </w:rPr>
            </w:pPr>
          </w:p>
        </w:tc>
      </w:tr>
      <w:tr>
        <w:trPr>
          <w:trHeight w:val="210"/>
        </w:trPr>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Prepayments and other receivables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2,770</w:t>
            </w: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receivable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7,396</w:t>
            </w: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Short term investments</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7,823</w:t>
            </w:r>
          </w:p>
        </w:tc>
        <w:tc>
          <w:tcPr>
            <w:tcW w:w="80" w:type="dxa"/>
            <w:vAlign w:val="bottom"/>
          </w:tcPr>
          <w:p>
            <w:pPr>
              <w:spacing w:after="0"/>
              <w:rPr>
                <w:sz w:val="18"/>
                <w:szCs w:val="18"/>
                <w:color w:val="auto"/>
              </w:rPr>
            </w:pPr>
          </w:p>
        </w:tc>
      </w:tr>
      <w:tr>
        <w:trPr>
          <w:trHeight w:val="229"/>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18,081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22,934</w:t>
            </w:r>
          </w:p>
        </w:tc>
        <w:tc>
          <w:tcPr>
            <w:tcW w:w="80" w:type="dxa"/>
            <w:vAlign w:val="bottom"/>
            <w:shd w:val="clear" w:color="auto" w:fill="CCEEFF"/>
          </w:tcPr>
          <w:p>
            <w:pPr>
              <w:spacing w:after="0"/>
              <w:rPr>
                <w:sz w:val="19"/>
                <w:szCs w:val="19"/>
                <w:color w:val="auto"/>
              </w:rPr>
            </w:pPr>
          </w:p>
        </w:tc>
      </w:tr>
      <w:tr>
        <w:trPr>
          <w:trHeight w:val="210"/>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AND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118,862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118,862</w:t>
            </w: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reserve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10,364</w:t>
            </w:r>
          </w:p>
        </w:tc>
        <w:tc>
          <w:tcPr>
            <w:tcW w:w="80" w:type="dxa"/>
            <w:vAlign w:val="bottom"/>
            <w:shd w:val="clear" w:color="auto" w:fill="CCEEFF"/>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Accumulated loss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(117,565)</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(100,627)</w:t>
            </w:r>
          </w:p>
        </w:tc>
      </w:tr>
      <w:tr>
        <w:trPr>
          <w:trHeight w:val="209"/>
        </w:trPr>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Derivative financial instrument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8,261</w:t>
            </w:r>
          </w:p>
        </w:tc>
        <w:tc>
          <w:tcPr>
            <w:tcW w:w="80" w:type="dxa"/>
            <w:vAlign w:val="bottom"/>
          </w:tcPr>
          <w:p>
            <w:pPr>
              <w:spacing w:after="0"/>
              <w:rPr>
                <w:sz w:val="19"/>
                <w:szCs w:val="19"/>
                <w:color w:val="auto"/>
              </w:rPr>
            </w:pPr>
          </w:p>
        </w:tc>
      </w:tr>
      <w:tr>
        <w:trPr>
          <w:trHeight w:val="210"/>
        </w:trPr>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Assumed contingent obligation</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23,907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lease liability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r>
      <w:tr>
        <w:trPr>
          <w:trHeight w:val="210"/>
        </w:trPr>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2020</w:t>
      </w:r>
      <w:r>
        <w:rPr>
          <w:rFonts w:ascii="Arial" w:cs="Arial" w:eastAsia="Arial" w:hAnsi="Arial"/>
          <w:sz w:val="18"/>
          <w:szCs w:val="18"/>
          <w:color w:val="auto"/>
        </w:rPr>
        <w:t>,</w:t>
      </w:r>
      <w:r>
        <w:rPr>
          <w:rFonts w:ascii="Arial" w:cs="Arial" w:eastAsia="Arial" w:hAnsi="Arial"/>
          <w:sz w:val="18"/>
          <w:szCs w:val="18"/>
          <w:b w:val="1"/>
          <w:bCs w:val="1"/>
          <w:color w:val="auto"/>
        </w:rPr>
        <w:t xml:space="preserve"> AND JUNE 30, 2019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Three Months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Three Months</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Six Months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Six Months</w:t>
            </w:r>
          </w:p>
        </w:tc>
      </w:tr>
      <w:tr>
        <w:trPr>
          <w:trHeight w:val="216"/>
        </w:trPr>
        <w:tc>
          <w:tcPr>
            <w:tcW w:w="4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Ended June 30,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Ended June 30,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Ended June 30,</w:t>
            </w:r>
          </w:p>
        </w:tc>
      </w:tr>
      <w:tr>
        <w:trPr>
          <w:trHeight w:val="234"/>
        </w:trPr>
        <w:tc>
          <w:tcPr>
            <w:tcW w:w="4280" w:type="dxa"/>
            <w:vAlign w:val="bottom"/>
          </w:tcPr>
          <w:p>
            <w:pPr>
              <w:spacing w:after="0"/>
              <w:rPr>
                <w:sz w:val="20"/>
                <w:szCs w:val="20"/>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Notes</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4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(15,844)</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General and administrative costs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(2,315)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(7,616)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(3,961)</w:t>
            </w:r>
          </w:p>
        </w:tc>
      </w:tr>
      <w:tr>
        <w:trPr>
          <w:trHeight w:val="209"/>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r>
      <w:tr>
        <w:trPr>
          <w:trHeight w:val="229"/>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before taxation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100" w:type="dxa"/>
            <w:vAlign w:val="bottom"/>
          </w:tcPr>
          <w:p>
            <w:pPr>
              <w:spacing w:after="0"/>
              <w:rPr>
                <w:sz w:val="18"/>
                <w:szCs w:val="18"/>
                <w:color w:val="auto"/>
              </w:rPr>
            </w:pPr>
          </w:p>
        </w:tc>
      </w:tr>
      <w:tr>
        <w:trPr>
          <w:trHeight w:val="229"/>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w:t>
            </w: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Items that might be subsequently reclassified to profit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or loss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178"/>
        </w:trPr>
        <w:tc>
          <w:tcPr>
            <w:tcW w:w="51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Total comprehensive loss attributable to owners of the</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(7,347)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(8,958)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(16,880)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(14,377)</w:t>
            </w:r>
          </w:p>
        </w:tc>
      </w:tr>
      <w:tr>
        <w:trPr>
          <w:trHeight w:val="197"/>
        </w:trPr>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per ordinary share — basic and diluted (pence)</w:t>
            </w:r>
          </w:p>
        </w:tc>
        <w:tc>
          <w:tcPr>
            <w:tcW w:w="440" w:type="dxa"/>
            <w:vAlign w:val="bottom"/>
            <w:tcBorders>
              <w:top w:val="single" w:sz="8" w:color="CCEEFF"/>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MONTHS ENDED JUNE 30, 2020, AND JUNE 30, 2019 (UNAUDITED)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April 1, 2019</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for the year: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Exchange differences on translating foreign operations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Share-based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Premium</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Expenses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£'000s</w:t>
            </w:r>
          </w:p>
        </w:tc>
        <w:tc>
          <w:tcPr>
            <w:tcW w:w="24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£'000s</w:t>
            </w:r>
          </w:p>
        </w:tc>
        <w:tc>
          <w:tcPr>
            <w:tcW w:w="60" w:type="dxa"/>
            <w:vAlign w:val="bottom"/>
            <w:gridSpan w:val="2"/>
          </w:tcPr>
          <w:p>
            <w:pPr>
              <w:spacing w:after="0"/>
              <w:rPr>
                <w:sz w:val="16"/>
                <w:szCs w:val="16"/>
                <w:color w:val="auto"/>
              </w:rPr>
            </w:pPr>
          </w:p>
        </w:tc>
      </w:tr>
      <w:tr>
        <w:trPr>
          <w:trHeight w:val="244"/>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5,266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118,862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8,543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(74,072)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58,599</w:t>
            </w:r>
          </w:p>
        </w:tc>
        <w:tc>
          <w:tcPr>
            <w:tcW w:w="40" w:type="dxa"/>
            <w:vAlign w:val="bottom"/>
          </w:tcPr>
          <w:p>
            <w:pPr>
              <w:spacing w:after="0"/>
              <w:rPr>
                <w:sz w:val="21"/>
                <w:szCs w:val="21"/>
                <w:color w:val="auto"/>
              </w:rPr>
            </w:pPr>
          </w:p>
        </w:tc>
      </w:tr>
      <w:tr>
        <w:trPr>
          <w:trHeight w:val="224"/>
        </w:trPr>
        <w:tc>
          <w:tcPr>
            <w:tcW w:w="12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(8,972)</w:t>
            </w:r>
          </w:p>
        </w:tc>
        <w:tc>
          <w:tcPr>
            <w:tcW w:w="40" w:type="dxa"/>
            <w:vAlign w:val="bottom"/>
          </w:tcPr>
          <w:p>
            <w:pPr>
              <w:spacing w:after="0"/>
              <w:rPr>
                <w:sz w:val="19"/>
                <w:szCs w:val="19"/>
                <w:color w:val="auto"/>
              </w:rPr>
            </w:pPr>
          </w:p>
        </w:tc>
      </w:tr>
      <w:tr>
        <w:trPr>
          <w:trHeight w:val="429"/>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-572770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-280670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40" w:space="140"/>
            <w:col w:w="71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4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Total comprehensive loss for the period</w:t>
            </w:r>
          </w:p>
        </w:tc>
        <w:tc>
          <w:tcPr>
            <w:tcW w:w="1480" w:type="dxa"/>
            <w:vAlign w:val="bottom"/>
            <w:gridSpan w:val="2"/>
            <w:shd w:val="clear" w:color="auto" w:fill="CCEEFF"/>
          </w:tcPr>
          <w:p>
            <w:pPr>
              <w:ind w:left="1060"/>
              <w:spacing w:after="0" w:line="19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1"/>
              <w:spacing w:after="0" w:line="192" w:lineRule="exact"/>
              <w:rPr>
                <w:sz w:val="20"/>
                <w:szCs w:val="20"/>
                <w:color w:val="auto"/>
              </w:rPr>
            </w:pPr>
            <w:r>
              <w:rPr>
                <w:rFonts w:ascii="Arial" w:cs="Arial" w:eastAsia="Arial" w:hAnsi="Arial"/>
                <w:sz w:val="18"/>
                <w:szCs w:val="18"/>
                <w:color w:val="auto"/>
              </w:rPr>
              <w:t>(8,958)</w:t>
            </w:r>
          </w:p>
        </w:tc>
        <w:tc>
          <w:tcPr>
            <w:tcW w:w="134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8"/>
                <w:szCs w:val="18"/>
                <w:color w:val="auto"/>
              </w:rPr>
              <w:t>(8,958)</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Share-based payments</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2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4"/>
              </w:rPr>
              <w:t>5,266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1, 2020</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5,311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118,862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11,811</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(110,160)</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25,824</w:t>
            </w:r>
          </w:p>
        </w:tc>
        <w:tc>
          <w:tcPr>
            <w:tcW w:w="80" w:type="dxa"/>
            <w:vAlign w:val="bottom"/>
            <w:shd w:val="clear" w:color="auto" w:fill="CCEEFF"/>
          </w:tcPr>
          <w:p>
            <w:pPr>
              <w:spacing w:after="0"/>
              <w:rPr>
                <w:sz w:val="19"/>
                <w:szCs w:val="19"/>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year:</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w w:val="93"/>
              </w:rPr>
              <w:t>Exchange differences on translating foreign operations</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New share capital issued</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4"/>
              </w:rPr>
              <w:t>5,324</w:t>
            </w:r>
          </w:p>
        </w:tc>
        <w:tc>
          <w:tcPr>
            <w:tcW w:w="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118,862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currency translation reserve for June 30, 2020, and June 30, 2019, is not considered material and as such is not presented in a separate reserve but is included in the total accumulated losses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2020, AND JUNE 30, 2019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2"/>
              </w:rPr>
              <w:t>Total</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Share-based</w:t>
            </w: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0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Premium</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Expenses</w:t>
            </w: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0"/>
              </w:rPr>
              <w:t>Losses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gridSpan w:val="2"/>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5,266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118,862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7,923</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(68,633)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63,418</w:t>
            </w:r>
          </w:p>
        </w:tc>
        <w:tc>
          <w:tcPr>
            <w:tcW w:w="80" w:type="dxa"/>
            <w:vAlign w:val="bottom"/>
            <w:shd w:val="clear" w:color="auto" w:fill="CCEEFF"/>
          </w:tcPr>
          <w:p>
            <w:pPr>
              <w:spacing w:after="0"/>
              <w:rPr>
                <w:sz w:val="18"/>
                <w:szCs w:val="18"/>
                <w:color w:val="auto"/>
              </w:rPr>
            </w:pPr>
          </w:p>
        </w:tc>
      </w:tr>
      <w:tr>
        <w:trPr>
          <w:trHeight w:val="270"/>
        </w:trPr>
        <w:tc>
          <w:tcPr>
            <w:tcW w:w="4080" w:type="dxa"/>
            <w:vAlign w:val="bottom"/>
          </w:tcPr>
          <w:p>
            <w:pPr>
              <w:spacing w:after="0" w:line="270" w:lineRule="exact"/>
              <w:rPr>
                <w:sz w:val="20"/>
                <w:szCs w:val="20"/>
                <w:color w:val="auto"/>
              </w:rPr>
            </w:pPr>
            <w:r>
              <w:rPr>
                <w:rFonts w:ascii="Arial" w:cs="Arial" w:eastAsia="Arial" w:hAnsi="Arial"/>
                <w:sz w:val="18"/>
                <w:szCs w:val="18"/>
                <w:color w:val="auto"/>
              </w:rPr>
              <w:t>Impact of change in accounting policy</w:t>
            </w:r>
            <w:r>
              <w:rPr>
                <w:rFonts w:ascii="Arial" w:cs="Arial" w:eastAsia="Arial" w:hAnsi="Arial"/>
                <w:sz w:val="29"/>
                <w:szCs w:val="29"/>
                <w:color w:val="auto"/>
                <w:vertAlign w:val="superscript"/>
              </w:rPr>
              <w:t>(1)</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(20)</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Balance at January 1, 2019</w:t>
            </w:r>
          </w:p>
        </w:tc>
        <w:tc>
          <w:tcPr>
            <w:tcW w:w="12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4"/>
              </w:rPr>
              <w:t>5,266</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Loss for the period</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(14,378)</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(14,378)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year:</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w w:val="93"/>
              </w:rPr>
              <w:t>Exchange differences on translating foreign operations</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Share-based payments</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1,286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1,286</w:t>
            </w:r>
          </w:p>
        </w:tc>
        <w:tc>
          <w:tcPr>
            <w:tcW w:w="80" w:type="dxa"/>
            <w:vAlign w:val="bottom"/>
          </w:tcPr>
          <w:p>
            <w:pPr>
              <w:spacing w:after="0"/>
              <w:rPr>
                <w:sz w:val="19"/>
                <w:szCs w:val="19"/>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2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4"/>
              </w:rPr>
              <w:t>5,266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5,266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118,862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10,364</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(100,627)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33,865</w:t>
            </w:r>
          </w:p>
        </w:tc>
        <w:tc>
          <w:tcPr>
            <w:tcW w:w="80" w:type="dxa"/>
            <w:vAlign w:val="bottom"/>
            <w:shd w:val="clear" w:color="auto" w:fill="CCEEFF"/>
          </w:tcPr>
          <w:p>
            <w:pPr>
              <w:spacing w:after="0"/>
              <w:rPr>
                <w:sz w:val="19"/>
                <w:szCs w:val="19"/>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gridSpan w:val="2"/>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year:</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w w:val="93"/>
              </w:rPr>
              <w:t>Exchange differences on translating foreign operations</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43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New share capital issued</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4"/>
              </w:rPr>
              <w:t>5,324</w:t>
            </w:r>
          </w:p>
        </w:tc>
        <w:tc>
          <w:tcPr>
            <w:tcW w:w="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118,862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currency translation reserve for June 30, 2020, and June 30, 2019, is not considered material and as such is not presented in a separate reserve but is included in the total accumulated losses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9"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This relates to the adoption of IFRS 16. See note 2.17 of the 2019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CONDENSED CONSOLIDATED INTERIM STATEMENTS OF CASH FLOWS FOR</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THE SIX MONTHS ENDED JUNE 30, 2020, AND JUNE 30, 2019 (UNAUDITED)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40" w:type="dxa"/>
            <w:vAlign w:val="bottom"/>
          </w:tcPr>
          <w:p>
            <w:pPr>
              <w:spacing w:after="0"/>
              <w:rPr>
                <w:sz w:val="24"/>
                <w:szCs w:val="24"/>
                <w:color w:val="auto"/>
              </w:rPr>
            </w:pPr>
          </w:p>
        </w:tc>
        <w:tc>
          <w:tcPr>
            <w:tcW w:w="146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Six Months</w:t>
            </w:r>
          </w:p>
        </w:tc>
        <w:tc>
          <w:tcPr>
            <w:tcW w:w="134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Six Months</w:t>
            </w:r>
          </w:p>
        </w:tc>
      </w:tr>
      <w:tr>
        <w:trPr>
          <w:trHeight w:val="216"/>
        </w:trPr>
        <w:tc>
          <w:tcPr>
            <w:tcW w:w="8440" w:type="dxa"/>
            <w:vAlign w:val="bottom"/>
          </w:tcPr>
          <w:p>
            <w:pPr>
              <w:spacing w:after="0"/>
              <w:rPr>
                <w:sz w:val="18"/>
                <w:szCs w:val="18"/>
                <w:color w:val="auto"/>
              </w:rPr>
            </w:pPr>
          </w:p>
        </w:tc>
        <w:tc>
          <w:tcPr>
            <w:tcW w:w="14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0"/>
              </w:rPr>
              <w:t>Ended June 30,</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90"/>
              </w:rPr>
              <w:t>Ended June 30,</w:t>
            </w:r>
          </w:p>
        </w:tc>
      </w:tr>
      <w:tr>
        <w:trPr>
          <w:trHeight w:val="234"/>
        </w:trPr>
        <w:tc>
          <w:tcPr>
            <w:tcW w:w="84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Loss before taxation</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(19,606)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(17,790)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Finance expense</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447</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187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2,208</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1,286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(Increase) / decrease in prepayments and other receivables</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(1,710)</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65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trade and other payables</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(1,146)</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Depreciation of property, plant and equipment and right of use asset</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247</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157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right of use asset</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232</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(232)</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(20,031)</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(18,081)</w:t>
            </w: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inflow from taxation</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7,319</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received</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296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and equipment</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Payment for patents and computer software</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Maturity of short term investments</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7,848</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20,686</w:t>
            </w:r>
          </w:p>
        </w:tc>
      </w:tr>
      <w:tr>
        <w:trPr>
          <w:trHeight w:val="21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generated in investing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20,871</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Repayment of lease liabilities</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(263)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22,934</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19,784</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242</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a public limited company, which is dual listed, with its ordinary shares listed on the AIM market operated by the London Stock Exchange and its American Depository Shares ("ADSs") on the Nasdaq Global Market. The Company is incorporated and domiciled in the United Kingdom.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registered office is 1 Central Square, Cardiff, CF10 1FS,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interim financial statements of Verona Pharma plc and its subsidiaries, Verona Pharma, Inc., and Rhinopharma Limited (together the "Group”), for the six months ended June 30, 2020, do not include all the statements required for full annual financial statements and should be read in conjunction with the consolidated financial statements of the Group as of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2019 Accounts, on which the Company’s auditors delivered an unqualified audit report, have been delivered to the Registrar of Companies.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August 14, 2020. There have been no changes to the accounting policies as contained in the annual consolidated financial statements as of and for the year ended December 31, 2019, which have been prepared in accordance with international financial reporting standards (“IFRS”) as issued by the International Accounting Standards Board (“IASB”).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 The Group operates as a single operating and reportable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Group has incurred recurring losses since inception, including net losses of £31.9 million, £19.9 million and £20.5 million for the years ended December 31, 2019, 2018 and 2017, respectively. In addition, as of June 30, 2020, the Group had an accumulated loss of £117.6 million. The Group expects to continue to generate operating losses for the foreseeable future. On July 17, 2020, the Group announced it raised £159 million in a private placement, with net proceeds after transaction related fees and expenses of approximately £145 million (see note 17).</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issuance date of these condensed consolidated interim financial statements, the Group therefore expects that its cash and cash equivalents would be sufficient to fund its operating expenses and capital expenditure requirements for at least twelve months from the issuance date of these condensed consolidated interim financial statements.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continues to review the effect of the COVID-19 pandemic on its operations, ongoing and planned clinical trials and the potential disruption to financial markets. Management has determined that the current effect on the Group does not require an impairment of intangible assets or goodwill as the Company's market value still supports the value of the assets. However, management will continue to monitor the situation for any triggering events that relate to the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Directors do not recommend the payment of a dividend for the six months ended June 30, 2020, (six months ended June 30, 2019: £nil and the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2019: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Segmental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 apart from a right-of-use asset relating to a property lease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Critical estimates and judgements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2019, with the exception of development of the COVID-19 pandemic.</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assessed whether the COVID-19 pandemic has any impact on the key estimates and judgments previously reported in respect of the derivative financial instrument, the assumed contingent obligation or other balances and concluded that there is no significant impact.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6. Finance income and expense</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Ended June 30,</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 June 30,</w:t>
            </w:r>
          </w:p>
        </w:tc>
      </w:tr>
      <w:tr>
        <w:trPr>
          <w:trHeight w:val="234"/>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received on cash and short term investments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Foreign exchange gain on translating foreign currency denominated cash</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Fair value adjustment on derivative financial instruments (note 13)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55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Ended June 30,</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 June 30,</w:t>
            </w:r>
          </w:p>
        </w:tc>
      </w:tr>
      <w:tr>
        <w:trPr>
          <w:trHeight w:val="234"/>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expense: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on discounted lease liability</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loss on translating foreign currency denominated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rPr>
              <w:t>Unwinding of discount factor movements related to the assumed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contingent arrangement (note 14)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expense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Taxation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credit for the six month period ended June 30, 2020, amounts to £2.7 million and consists of the estimated research and development tax credit receivable on qualifying expenditure incurred during the six month period ended June 30, 2020 for an amount of £2.7 million less a tax expense of £52 thousand related to the U.S. operations (six month period ended June 30, 2019: £3.4 million tax credit, comprising £3.4 million for research and development tax credit, less £19 thousand expense for tax on U.S.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credit for the three month period ended June 30, 2020, amounts to £1.4 million, and consists of the estimated research and development tax credit receivable on qualifying expenditure incurred during the three month period ended June 30, 2020 for an amount of £1.4 million less a tax expense of £12 thousand related to the U.S. operations (three month period ended June 30, 2019: £2.1 million tax credit, comprising £2.1 million for research and development tax credit, plus tax credit £20 thousand expense for tax on U.S.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 calculation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six months ended June 30, 2020, the basic loss per share of 16.0p (June 30, 2019: 13.7p) is calculated by dividing the loss for the six months ended June 30, 2020 by the weighted average number of ordinary shares in issue of 105,908,648 during the six months ended June 30, 2020 (June 30, 2019: 105,326,638). Potential ordinary shares are not treated as dilutive as the entity is loss making and such shares would be anti-dilutive.</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June 30, 2020, the basic loss per share of 6.9p (June 30, 2019: 8.5p) is calculated by dividing the loss for the three months ended June 30, 2020 by the weighted average number of ordinary shares in issue of 106,360,580 during the three months ended June 30, 2020 (June 30, 2019: 105,326,638). Potential ordinary shares are not treated as dilutive as the entity is loss making and such shares would be anti-dilutive.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Each ADS represents 8 ordinary shares of the Company, so the profit or loss per ADS in any period is equal to eight times the profit or loss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9. Intangible assets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Computer</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IP R&amp;D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software</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Patents</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£'000s</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£'000s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£'000s</w:t>
            </w:r>
          </w:p>
        </w:tc>
        <w:tc>
          <w:tcPr>
            <w:tcW w:w="10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 January 1, 2020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1,953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3,185</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22,629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22,734</w:t>
            </w:r>
          </w:p>
        </w:tc>
        <w:tc>
          <w:tcPr>
            <w:tcW w:w="80" w:type="dxa"/>
            <w:vAlign w:val="bottom"/>
            <w:shd w:val="clear" w:color="auto" w:fill="CCEEFF"/>
          </w:tcPr>
          <w:p>
            <w:pPr>
              <w:spacing w:after="0"/>
              <w:rPr>
                <w:sz w:val="19"/>
                <w:szCs w:val="19"/>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June 30, 2020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24,582</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 January 1, 2020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June 30, 2020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At June 30, 2020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24,582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25,430</w:t>
            </w:r>
          </w:p>
        </w:tc>
        <w:tc>
          <w:tcPr>
            <w:tcW w:w="8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Movements in the assumed contingent liability (see note 14) that relate to changes in estimated cashflows or probabilities of success are recognized as additions to the In-Process Research and Development ("IP R&amp;D") asset that it relates to.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six months ended June 30, 2020, the Group determined that it moved from Phase 2 of ensifentrine's clinical development plan to Phase 3. The probability of success and estimated cashflows have changed and the £22.6 million movement in the liability relating to this was recorded as an addition to the IP R&amp;D asset that it relates 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estimated cashflows or probabilities of success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Right-of-use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six months to June 30, 2020, a new lease was signed in North Carolina and a liability and corresponding right-of-use ("ROU") asset of £575 thousand was recognized. The lease terminates on April 30, 2024.</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at December 31, 2019, the Group had an ROU asset relating to office space in New York. In the six months to June 30, 2020, the New York office was closed and the ROU asset was subject to an impairment review and its net book value of £232 thousand was subsequently expensed to the income statement. The Group retains a liability of £192 thousand relating to this asset.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 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Short term investments as at June 30, 2020, amounted to a total of £0.0 million (December 31, 2019: £7.8 million) and consisted of fixed term deposits.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cash and cash equivalents are cash balances held at bank, term deposits with maturities of less than three months at inception and investments in money market funds. Money market funds have been classified as cash and cash equivalents as they are low risk instruments, readily convertible to a known amount of cash and are subject to an insignificant risk of change in value. Management's intention is to manage these funds as cash and to use them to meet short term cash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13. Derivative financial instrument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July 29, 2016 the Company issued 31,115,926 units to new and existing investors at the placing price of £1.4365 per unit. Each unit comprises one ordinary share and one warrant and the warrant holders may subscribe for 0.4 of an ordinary share at a per share exercise price of £1.7238.</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 holders can opt for a cashless exercise of their warrants, whereby they can choose to exchange the warrants held for a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warrants entitled the investors to subscribe for, in aggregate, a maximum of 12,401,262 shares. The warrants can be exercised until May 2,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At June 30, 2020, and December 31, 2019, warrants over 12,401,262 shares were in effect.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As of</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3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20"/>
                <w:szCs w:val="20"/>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to be issued under warrants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12,401,262</w:t>
            </w: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1.7238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1.7238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Remaining term to exercise</w:t>
            </w:r>
          </w:p>
        </w:tc>
        <w:tc>
          <w:tcPr>
            <w:tcW w:w="18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1.84 years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2.34 years</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Annualized volatility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65.56%</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Dividend rate</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Group updated the underlying assumptions and calculated a fair value of these warrants of £0.7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variance for the six month period ending June 30, 2020, was £0.2 million (six month period ending June 30, 2019: £1.7 million) and is recorded as finance income in the Consolidated Statement of Comprehensive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Derivative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Derivative</w:t>
            </w:r>
          </w:p>
        </w:tc>
      </w:t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financial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financial</w:t>
            </w:r>
          </w:p>
        </w:tc>
      </w:tr>
      <w:tr>
        <w:trPr>
          <w:trHeight w:val="234"/>
        </w:trPr>
        <w:tc>
          <w:tcPr>
            <w:tcW w:w="844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instrument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instrument</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w:t>
            </w:r>
          </w:p>
        </w:tc>
        <w:tc>
          <w:tcPr>
            <w:tcW w:w="146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86"/>
              </w:rPr>
              <w:t>895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Fair value adjustments recognized in profit or loss</w:t>
            </w:r>
          </w:p>
        </w:tc>
        <w:tc>
          <w:tcPr>
            <w:tcW w:w="1460" w:type="dxa"/>
            <w:vAlign w:val="bottom"/>
            <w:gridSpan w:val="2"/>
          </w:tcPr>
          <w:p>
            <w:pPr>
              <w:jc w:val="center"/>
              <w:ind w:left="670"/>
              <w:spacing w:after="0"/>
              <w:rPr>
                <w:sz w:val="20"/>
                <w:szCs w:val="20"/>
                <w:color w:val="auto"/>
              </w:rPr>
            </w:pPr>
            <w:r>
              <w:rPr>
                <w:rFonts w:ascii="Arial" w:cs="Arial" w:eastAsia="Arial" w:hAnsi="Arial"/>
                <w:sz w:val="18"/>
                <w:szCs w:val="18"/>
                <w:color w:val="auto"/>
                <w:w w:val="90"/>
              </w:rPr>
              <w:t>(184)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(1,723)</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June, 30</w:t>
            </w:r>
          </w:p>
        </w:tc>
        <w:tc>
          <w:tcPr>
            <w:tcW w:w="1240" w:type="dxa"/>
            <w:vAlign w:val="bottom"/>
            <w:tcBorders>
              <w:top w:val="single" w:sz="8" w:color="auto"/>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6"/>
              </w:rPr>
              <w:t>711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900" w:type="dxa"/>
            <w:vAlign w:val="bottom"/>
            <w:gridSpan w:val="3"/>
          </w:tcPr>
          <w:p>
            <w:pPr>
              <w:spacing w:after="0"/>
              <w:rPr>
                <w:sz w:val="20"/>
                <w:szCs w:val="20"/>
                <w:color w:val="auto"/>
              </w:rPr>
            </w:pPr>
            <w:r>
              <w:rPr>
                <w:rFonts w:ascii="Arial" w:cs="Arial" w:eastAsia="Arial" w:hAnsi="Arial"/>
                <w:sz w:val="18"/>
                <w:szCs w:val="18"/>
                <w:color w:val="auto"/>
                <w:w w:val="94"/>
              </w:rPr>
              <w:t>For the amount recognized as at June 30, 2020, the effect if volatility were to deviate up or down is presented in the following table.</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Volatility</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(up / down</w:t>
            </w:r>
          </w:p>
        </w:tc>
      </w:tr>
      <w:tr>
        <w:trPr>
          <w:trHeight w:val="234"/>
        </w:trPr>
        <w:tc>
          <w:tcPr>
            <w:tcW w:w="8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10% pts)</w:t>
            </w: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Variable up</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Base case, reported fair value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Variable down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67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14. Assumed contingent obligation related to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assumed contingent obligation as of June 30, 2020, amounted to £23.9 million (December 31, 2019: £1.1 million). The increase in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assumed contingent obligation during the six months ended June 30, 2020, amounted to £22.8 million (six months ended June 30, 2019: £60 thousand).</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assumed contingent liability relates to the acquisition, in 2006, of rights to certain patents and patent applications relating to ensifentrine and related compounds under which the Company is obliged to pay royalties to Ligand.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assumed contingent liability is accounted for as a liability and its value is measured at amortized cost using the effective interest rate method, and is re-measured for changes in estimated cash flows or when the probability of success changes.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cash flows are based on estimated future royalties payable, derived from sales forecasts, and an assessment of the probability of success using standard market probabilities for respiratory drug development. The risk-weighted value of the assumed contingent arrangement is discounted back to its net present value applying an effective interest rate of 12%.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Re-measurements relating to changes in estimated cash flows and probabilities of success are recognized in the IP R&amp;D asset it relates to. The unwinding of the liability is recorded in finance expense.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at May 13, 2020, the Group determined that it had moved from Phase 2 of ensifentrine's clinical development plan to Phase 3. As a consequence, the probability of success has changed, reducing the risk-weighting adjustment applied to estimated cashflows. Furthermore, the Group has carried out market research and updated its forecasts for ensifentrine's revenue for the maintenance treatment of chronic obstructive pulmonary disorder using a nebulized formulation in the U.S. The Group therefore updated estimated cashflows. In 2019 there were no events that triggered remeasurement.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Re-measurement of contingent liability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22,629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changes in foreign exchange rates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Unwinding of discount factor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financial liability.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amount recognized as at June 30, 2020, of £23.9 million, the effect if underlying assumptions were to deviate up or down is presented in the following table (assuming the probability of success does not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USD/GBP</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exchange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Probability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rate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of success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up/down</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up/down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(up / down</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1%pt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5%pt</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Variable up</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23,693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26,071</w:t>
            </w: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Base case, reported fair value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23,907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23,907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23,907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Variable down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21,742</w:t>
            </w:r>
          </w:p>
        </w:tc>
      </w:tr>
      <w:tr>
        <w:trPr>
          <w:trHeight w:val="67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15. Share option plans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six months ended June 30, 2020 the Company granted a total of 1,605,000 share options and 8,442,048 Restricted Stock Units (“RSUs”) (six months ended June 30, 2019, the Company granted 4,249,050 share options, and 740,496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 during the period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Outstanding options at June 30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price</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w:t>
            </w:r>
          </w:p>
        </w:tc>
        <w:tc>
          <w:tcPr>
            <w:tcW w:w="2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14,179,196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240" w:type="dxa"/>
            <w:vAlign w:val="bottom"/>
          </w:tcPr>
          <w:p>
            <w:pPr>
              <w:jc w:val="right"/>
              <w:spacing w:after="0"/>
              <w:rPr>
                <w:sz w:val="20"/>
                <w:szCs w:val="20"/>
                <w:color w:val="auto"/>
              </w:rPr>
            </w:pPr>
            <w:r>
              <w:rPr>
                <w:rFonts w:ascii="Arial" w:cs="Arial" w:eastAsia="Arial" w:hAnsi="Arial"/>
                <w:sz w:val="18"/>
                <w:szCs w:val="18"/>
                <w:color w:val="auto"/>
              </w:rPr>
              <w:t>8,752,114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1,605,000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240" w:type="dxa"/>
            <w:vAlign w:val="bottom"/>
          </w:tcPr>
          <w:p>
            <w:pPr>
              <w:jc w:val="right"/>
              <w:spacing w:after="0"/>
              <w:rPr>
                <w:sz w:val="20"/>
                <w:szCs w:val="20"/>
                <w:color w:val="auto"/>
              </w:rPr>
            </w:pPr>
            <w:r>
              <w:rPr>
                <w:rFonts w:ascii="Arial" w:cs="Arial" w:eastAsia="Arial" w:hAnsi="Arial"/>
                <w:sz w:val="18"/>
                <w:szCs w:val="18"/>
                <w:color w:val="auto"/>
              </w:rPr>
              <w:t>4,249,050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(589,129)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(19,998)</w:t>
            </w:r>
          </w:p>
        </w:tc>
      </w:tr>
      <w:tr>
        <w:trPr>
          <w:trHeight w:val="244"/>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(1,899,284)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13,295,783</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12,981,166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-736600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904"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The movement in the number of the Company’s RSUs is set out below:</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4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1,602,969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862,473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8,442,048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740,496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(1,154,368)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(84,889)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RSUs at June 30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8,805,760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1,069,184 of the RSUs issued related to an element of annual base salary and 7,372,865 related to additional equity grants for Dr. Zaccardelli and Mr. Hahn (see note 16). Using the Black-Scholes valuation model the fair value of each RSUs relating to annual base salary was £0.55 and the fair value of each RSU relating to the additional grants was at £0.43.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share-based payment expense for the six months ended June 30, 2020, was £2.2 million (six months ended June 30, 2019: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Directors and Officers have authority and responsibility for planning, directing and controlling the activities of the Company and they therefore comprise key management personnel as defined by IAS 24 ("Related Party Disclosures").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Dr. Jan-Anders Karlsson, the Company’s former CEO, and Piers Morgan, the Company’s former CFO, resigned and were replaced by Dr. David Zaccardelli as CEO and President, and Mark Hahn as CFO.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Jan-Anders Karlsson's severance agreement included severance pay equal to £479,160, a cash bonus of £40,000, a payment as compensation of termination of employment of £100,000 and base salary in lieu of notice of £363,000. Other benefits included continued medical and life insurance and continued pension contributions.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Piers Morgan's severance agreement included severance pay equal to £123,930 as payment in lieu of notice, a cash bonus of £82,620, ex gratia compensation of £30,000 and £40,000 additional compensation for termination of employment.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terms of his employment agreement Dr. Zaccardelli is entitled to receive an annual base salary of $750,000, payable $250,000 in cash and $500,000 in restricted stock units, and a target annual bonus opportunity of 50% of his annual base salary. Dr. Zaccardelli is also entitled to receive an award of restricted stock units, equal to 4% of the Company's outstanding ordinary shares, and an additional award of restricted stock units if the Company raises additional equity capital during fiscal year 2020, which is intended to result in Dr. Zaccardelli’s equity awards (other than the portion of his base salary payable in restricted stock units) being equal to 4% of the Company's outstanding ordinary shares on the applicable date of issuance. Following an equity capital raise in July, 2020, Dr. Zaccardelli is now entitled to this additional award (see note 17).</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terms of his employment agreement Mr. Hahn is entitled to receive an annual base salary of $500,000, payable $250,000 in cash and $250,000 in restricted stock units, and a target annual bonus opportunity of 50% of his annual base salary. Mr. Hahn is also entitled to receive an initial award of restricted stock units, equal to 3% of the Company's outstanding ordinary shares and an award of restricted stock units equal to 1% of the Company's outstanding ordinary share after six months of employment. He will also be entitled to an additional award of restricted stock units if the Company raises additional equity capital during fiscal year 2020, which is intended to result in Mr. Hahn’s equity awards (other than the portion of his base salary payable in restricted stock units) being equal to 4% of the Company's outstanding ordinary shares on the applicable date of issuance. Following an equity capital raise in July 2020 Mr. Hahn is now entitled to this additional award (see note 17).</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178,192 and 89,096 RSUs that were issued to Dr. Zaccardelli and Mr. Hahn respectively vested. The shares were issued on May 12,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Post balance sheet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2020, Verona Pharma announced that it raised approximately £159 million in a private placement with new and existing institutional and accredited investors (the "Financing"). The Financing comprised a private placement of 39,090,009 of the Company’s American Depository Shares (“ADSs”), each representing eight Ordinary Shares or non-voting Ordinary Shares of the Company, at a price of $4.50 per ADS, and 43,111,112 of the Company’s Ordinary Shares at the equivalent price per Ordinary Share, being £0.45 or $0.5625.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of the Financing will be approximately £145 million after deducting placement agent fees and estimated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Convenience translation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June 30, 2020, and for the three and six month periods ended June 30, 2020 into U.S. dollars at the noon buying rate of the Federal Reserve Bank of New York on June 30, 2020, which was £1.00 to $1.2369. These translations should not be considered representations that any such amounts have been, could have been or could be converted into U.S. dollars at that or any other exchange rate as of that or any other date.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FOR THE THREE AND SIX MONTHS ENDED JUNE 30, 2020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8"/>
              </w:rPr>
              <w:t>Three Months</w:t>
            </w:r>
          </w:p>
        </w:tc>
        <w:tc>
          <w:tcPr>
            <w:tcW w:w="144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6"/>
              </w:rPr>
              <w:t>Three Months</w:t>
            </w:r>
          </w:p>
        </w:tc>
        <w:tc>
          <w:tcPr>
            <w:tcW w:w="144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Six Months</w:t>
            </w:r>
          </w:p>
        </w:tc>
        <w:tc>
          <w:tcPr>
            <w:tcW w:w="134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Six Months</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0"/>
              </w:rPr>
              <w:t>Ended June 30,</w:t>
            </w:r>
          </w:p>
        </w:tc>
        <w:tc>
          <w:tcPr>
            <w:tcW w:w="144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9"/>
              </w:rPr>
              <w:t>Ended June 30,</w:t>
            </w:r>
          </w:p>
        </w:tc>
        <w:tc>
          <w:tcPr>
            <w:tcW w:w="144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9"/>
              </w:rPr>
              <w:t>Ended June 30,</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90"/>
              </w:rPr>
              <w:t>Ended June 30,</w:t>
            </w:r>
          </w:p>
        </w:tc>
      </w:tr>
      <w:tr>
        <w:trPr>
          <w:trHeight w:val="234"/>
        </w:trPr>
        <w:tc>
          <w:tcPr>
            <w:tcW w:w="552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(6,203)</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(7,672)</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(12,075)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(14,936)</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(2,315)</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(2,863)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(7,616)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(9,420)</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Finance income</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141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174</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532</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658</w:t>
            </w: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(395)</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10"/>
        </w:trPr>
        <w:tc>
          <w:tcPr>
            <w:tcW w:w="55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(24,251)</w:t>
            </w:r>
          </w:p>
        </w:tc>
        <w:tc>
          <w:tcPr>
            <w:tcW w:w="10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1,422</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1,759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2,683</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3,319</w:t>
            </w:r>
          </w:p>
        </w:tc>
      </w:tr>
      <w:tr>
        <w:trPr>
          <w:trHeight w:val="210"/>
        </w:trPr>
        <w:tc>
          <w:tcPr>
            <w:tcW w:w="552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(20,932)</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w:t>
            </w:r>
          </w:p>
        </w:tc>
      </w:tr>
      <w:tr>
        <w:trPr>
          <w:trHeight w:val="26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Total comprehensive loss attributable to owners of the Company</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ordinary share — basic (pence / cents)</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7"/>
                <w:szCs w:val="17"/>
                <w:color w:val="auto"/>
              </w:rPr>
            </w:pPr>
          </w:p>
        </w:tc>
      </w:tr>
      <w:tr>
        <w:trPr>
          <w:trHeight w:val="67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ind w:right="2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AS AT JUNE 30, 2020, AND DECEMBER 31, 2019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As of</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9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£'000s</w:t>
            </w:r>
          </w:p>
        </w:tc>
        <w:tc>
          <w:tcPr>
            <w:tcW w:w="100" w:type="dxa"/>
            <w:vAlign w:val="bottom"/>
            <w:gridSpan w:val="2"/>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25,430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31,454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Prepayments and other receivables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4,420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5,467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2,770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receivable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Short term investments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7,823</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18,081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22,934</w:t>
            </w:r>
          </w:p>
        </w:tc>
        <w:tc>
          <w:tcPr>
            <w:tcW w:w="80" w:type="dxa"/>
            <w:vAlign w:val="bottom"/>
            <w:shd w:val="clear" w:color="auto" w:fill="CCEEFF"/>
          </w:tcPr>
          <w:p>
            <w:pPr>
              <w:spacing w:after="0"/>
              <w:rPr>
                <w:sz w:val="19"/>
                <w:szCs w:val="19"/>
                <w:color w:val="auto"/>
              </w:rPr>
            </w:pPr>
          </w:p>
        </w:tc>
      </w:tr>
      <w:tr>
        <w:trPr>
          <w:trHeight w:val="20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64,659</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Share premium</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118,862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147,020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118,862</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reserve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10,364</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Accumulated loss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(117,565)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(145,416)</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(100,627)</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Derivative financial instrument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879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7,111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8,796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8,261</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Assumed contingent obligation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23,907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29,571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liability</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Deferred income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64,658</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2020-08-25T05:07:14Z</dcterms:created>
  <dcterms:modified xsi:type="dcterms:W3CDTF">2020-08-25T05:07:14Z</dcterms:modified>
</cp:coreProperties>
</file>