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5"/>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5"/>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2020" w:type="dxa"/>
            <w:vAlign w:val="bottom"/>
            <w:gridSpan w:val="3"/>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980" w:type="dxa"/>
            <w:vAlign w:val="bottom"/>
            <w:tcBorders>
              <w:top w:val="single" w:sz="8" w:color="2C2C2C"/>
            </w:tcBorders>
            <w:gridSpan w:val="2"/>
          </w:tcPr>
          <w:p>
            <w:pPr>
              <w:ind w:left="220"/>
              <w:spacing w:after="0" w:line="190" w:lineRule="exact"/>
              <w:rPr>
                <w:sz w:val="20"/>
                <w:szCs w:val="20"/>
                <w:color w:val="auto"/>
              </w:rPr>
            </w:pPr>
            <w:r>
              <w:rPr>
                <w:rFonts w:ascii="Arial" w:cs="Arial" w:eastAsia="Arial" w:hAnsi="Arial"/>
                <w:sz w:val="20"/>
                <w:szCs w:val="20"/>
                <w:color w:val="auto"/>
              </w:rPr>
              <w:t>OMB APPROVAL</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5"/>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7"/>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2"/>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0"/>
        </w:trPr>
        <w:tc>
          <w:tcPr>
            <w:tcW w:w="2000" w:type="dxa"/>
            <w:vAlign w:val="bottom"/>
          </w:tcPr>
          <w:p>
            <w:pPr>
              <w:spacing w:after="0"/>
              <w:rPr>
                <w:sz w:val="9"/>
                <w:szCs w:val="9"/>
                <w:color w:val="auto"/>
              </w:rPr>
            </w:pPr>
          </w:p>
        </w:tc>
        <w:tc>
          <w:tcPr>
            <w:tcW w:w="6820" w:type="dxa"/>
            <w:vAlign w:val="bottom"/>
          </w:tcPr>
          <w:p>
            <w:pPr>
              <w:spacing w:after="0"/>
              <w:rPr>
                <w:sz w:val="9"/>
                <w:szCs w:val="9"/>
                <w:color w:val="auto"/>
              </w:rPr>
            </w:pPr>
          </w:p>
        </w:tc>
        <w:tc>
          <w:tcPr>
            <w:tcW w:w="40" w:type="dxa"/>
            <w:vAlign w:val="bottom"/>
          </w:tcPr>
          <w:p>
            <w:pPr>
              <w:spacing w:after="0"/>
              <w:rPr>
                <w:sz w:val="9"/>
                <w:szCs w:val="9"/>
                <w:color w:val="auto"/>
              </w:rPr>
            </w:pPr>
          </w:p>
        </w:tc>
        <w:tc>
          <w:tcPr>
            <w:tcW w:w="126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00" w:type="dxa"/>
            <w:vAlign w:val="bottom"/>
          </w:tcPr>
          <w:p>
            <w:pPr>
              <w:spacing w:after="0"/>
              <w:rPr>
                <w:sz w:val="9"/>
                <w:szCs w:val="9"/>
                <w:color w:val="auto"/>
              </w:rPr>
            </w:pPr>
          </w:p>
        </w:tc>
        <w:tc>
          <w:tcPr>
            <w:tcW w:w="6820" w:type="dxa"/>
            <w:vAlign w:val="bottom"/>
            <w:vMerge w:val="restart"/>
          </w:tcPr>
          <w:p>
            <w:pPr>
              <w:jc w:val="center"/>
              <w:ind w:left="45"/>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9"/>
                <w:szCs w:val="9"/>
                <w:color w:val="auto"/>
              </w:rPr>
            </w:pPr>
          </w:p>
        </w:tc>
        <w:tc>
          <w:tcPr>
            <w:tcW w:w="1260" w:type="dxa"/>
            <w:vAlign w:val="bottom"/>
            <w:vMerge w:val="continue"/>
          </w:tcPr>
          <w:p>
            <w:pPr>
              <w:spacing w:after="0"/>
              <w:rPr>
                <w:sz w:val="9"/>
                <w:szCs w:val="9"/>
                <w:color w:val="auto"/>
              </w:rPr>
            </w:pPr>
          </w:p>
        </w:tc>
        <w:tc>
          <w:tcPr>
            <w:tcW w:w="720" w:type="dxa"/>
            <w:vAlign w:val="bottom"/>
            <w:vMerge w:val="restart"/>
          </w:tcPr>
          <w:p>
            <w:pPr>
              <w:jc w:val="right"/>
              <w:ind w:right="22"/>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tcPr>
          <w:p>
            <w:pPr>
              <w:jc w:val="center"/>
              <w:ind w:left="45"/>
              <w:spacing w:after="0" w:line="69" w:lineRule="exact"/>
              <w:rPr>
                <w:sz w:val="20"/>
                <w:szCs w:val="20"/>
                <w:color w:val="auto"/>
              </w:rPr>
            </w:pPr>
            <w:r>
              <w:rPr>
                <w:rFonts w:ascii="Arial" w:cs="Arial" w:eastAsia="Arial" w:hAnsi="Arial"/>
                <w:sz w:val="8"/>
                <w:szCs w:val="8"/>
                <w:b w:val="1"/>
                <w:bCs w:val="1"/>
                <w:color w:val="auto"/>
              </w:rPr>
              <w:t>SECURITIES</w:t>
            </w:r>
          </w:p>
        </w:tc>
        <w:tc>
          <w:tcPr>
            <w:tcW w:w="40" w:type="dxa"/>
            <w:vAlign w:val="bottom"/>
          </w:tcPr>
          <w:p>
            <w:pPr>
              <w:spacing w:after="0"/>
              <w:rPr>
                <w:sz w:val="6"/>
                <w:szCs w:val="6"/>
                <w:color w:val="auto"/>
              </w:rPr>
            </w:pPr>
          </w:p>
        </w:tc>
        <w:tc>
          <w:tcPr>
            <w:tcW w:w="1260" w:type="dxa"/>
            <w:vAlign w:val="bottom"/>
          </w:tcPr>
          <w:p>
            <w:pPr>
              <w:ind w:left="80"/>
              <w:spacing w:after="0" w:line="69" w:lineRule="exact"/>
              <w:rPr>
                <w:sz w:val="20"/>
                <w:szCs w:val="20"/>
                <w:color w:val="auto"/>
              </w:rPr>
            </w:pPr>
            <w:r>
              <w:rPr>
                <w:rFonts w:ascii="Arial" w:cs="Arial" w:eastAsia="Arial" w:hAnsi="Arial"/>
                <w:sz w:val="8"/>
                <w:szCs w:val="8"/>
                <w:color w:val="auto"/>
              </w:rPr>
              <w:t>response:</w:t>
            </w:r>
          </w:p>
        </w:tc>
        <w:tc>
          <w:tcPr>
            <w:tcW w:w="720" w:type="dxa"/>
            <w:vAlign w:val="bottom"/>
          </w:tcPr>
          <w:p>
            <w:pPr>
              <w:jc w:val="right"/>
              <w:ind w:right="22"/>
              <w:spacing w:after="0" w:line="69" w:lineRule="exact"/>
              <w:rPr>
                <w:sz w:val="20"/>
                <w:szCs w:val="20"/>
                <w:color w:val="auto"/>
              </w:rPr>
            </w:pPr>
            <w:r>
              <w:rPr>
                <w:rFonts w:ascii="Arial" w:cs="Arial" w:eastAsia="Arial" w:hAnsi="Arial"/>
                <w:sz w:val="8"/>
                <w:szCs w:val="8"/>
                <w:color w:val="auto"/>
              </w:rPr>
              <w:t>0.5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0"/>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5603240</wp:posOffset>
            </wp:positionH>
            <wp:positionV relativeFrom="paragraph">
              <wp:posOffset>-751205</wp:posOffset>
            </wp:positionV>
            <wp:extent cx="1305560" cy="9055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5560" cy="905510"/>
                    </a:xfrm>
                    <a:prstGeom prst="rect">
                      <a:avLst/>
                    </a:prstGeom>
                    <a:noFill/>
                  </pic:spPr>
                </pic:pic>
              </a:graphicData>
            </a:graphic>
          </wp:anchor>
        </w:drawing>
      </w:r>
    </w:p>
    <w:p>
      <w:pPr>
        <w:spacing w:after="0" w:line="2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1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33655</wp:posOffset>
            </wp:positionV>
            <wp:extent cx="6946900" cy="20294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46900" cy="2029460"/>
                    </a:xfrm>
                    <a:prstGeom prst="rect">
                      <a:avLst/>
                    </a:prstGeom>
                    <a:noFill/>
                  </pic:spPr>
                </pic:pic>
              </a:graphicData>
            </a:graphic>
          </wp:anchor>
        </w:drawing>
      </w:r>
    </w:p>
    <w:p>
      <w:pPr>
        <w:sectPr>
          <w:pgSz w:w="11900" w:h="16838" w:orient="portrait"/>
          <w:cols w:equalWidth="0" w:num="1">
            <w:col w:w="10940"/>
          </w:cols>
          <w:pgMar w:left="480" w:top="230" w:right="479" w:bottom="455"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1"/>
        </w:trPr>
        <w:tc>
          <w:tcPr>
            <w:tcW w:w="3100" w:type="dxa"/>
            <w:vAlign w:val="bottom"/>
            <w:vMerge w:val="restart"/>
          </w:tcPr>
          <w:p>
            <w:pPr>
              <w:ind w:left="40"/>
              <w:spacing w:after="0"/>
              <w:rPr>
                <w:rFonts w:ascii="Times New Roman" w:cs="Times New Roman" w:eastAsia="Times New Roman" w:hAnsi="Times New Roman"/>
                <w:sz w:val="24"/>
                <w:szCs w:val="24"/>
                <w:u w:val="single" w:color="auto"/>
                <w:color w:val="0000EE"/>
              </w:rPr>
            </w:pPr>
            <w:hyperlink r:id="rId10">
              <w:r>
                <w:rPr>
                  <w:rFonts w:ascii="Times New Roman" w:cs="Times New Roman" w:eastAsia="Times New Roman" w:hAnsi="Times New Roman"/>
                  <w:sz w:val="24"/>
                  <w:szCs w:val="24"/>
                  <w:u w:val="single" w:color="auto"/>
                  <w:color w:val="0000EE"/>
                </w:rPr>
                <w:t>Makhzoumi Mohamad</w:t>
              </w:r>
            </w:hyperlink>
          </w:p>
        </w:tc>
        <w:tc>
          <w:tcPr>
            <w:tcW w:w="1520" w:type="dxa"/>
            <w:vAlign w:val="bottom"/>
          </w:tcPr>
          <w:p>
            <w:pPr>
              <w:ind w:left="160"/>
              <w:spacing w:after="0" w:line="131"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8"/>
        </w:trPr>
        <w:tc>
          <w:tcPr>
            <w:tcW w:w="3100" w:type="dxa"/>
            <w:vAlign w:val="bottom"/>
            <w:vMerge w:val="continue"/>
          </w:tcPr>
          <w:p>
            <w:pPr>
              <w:spacing w:after="0"/>
              <w:rPr>
                <w:sz w:val="14"/>
                <w:szCs w:val="14"/>
                <w:color w:val="auto"/>
              </w:rPr>
            </w:pPr>
          </w:p>
        </w:tc>
        <w:tc>
          <w:tcPr>
            <w:tcW w:w="1520" w:type="dxa"/>
            <w:vAlign w:val="bottom"/>
          </w:tcPr>
          <w:p>
            <w:pPr>
              <w:ind w:left="160"/>
              <w:spacing w:after="0" w:line="168"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21"/>
        </w:trPr>
        <w:tc>
          <w:tcPr>
            <w:tcW w:w="3100" w:type="dxa"/>
            <w:vAlign w:val="bottom"/>
            <w:tcBorders>
              <w:bottom w:val="single" w:sz="8" w:color="9A9A9A"/>
            </w:tcBorders>
          </w:tcPr>
          <w:p>
            <w:pPr>
              <w:spacing w:after="0"/>
              <w:rPr>
                <w:sz w:val="19"/>
                <w:szCs w:val="19"/>
                <w:color w:val="auto"/>
              </w:rPr>
            </w:pPr>
          </w:p>
        </w:tc>
        <w:tc>
          <w:tcPr>
            <w:tcW w:w="1520" w:type="dxa"/>
            <w:vAlign w:val="bottom"/>
          </w:tcPr>
          <w:p>
            <w:pPr>
              <w:ind w:left="160"/>
              <w:spacing w:after="0" w:line="211" w:lineRule="exact"/>
              <w:rPr>
                <w:sz w:val="20"/>
                <w:szCs w:val="20"/>
                <w:color w:val="auto"/>
              </w:rPr>
            </w:pPr>
            <w:r>
              <w:rPr>
                <w:rFonts w:ascii="Times New Roman" w:cs="Times New Roman" w:eastAsia="Times New Roman" w:hAnsi="Times New Roman"/>
                <w:sz w:val="20"/>
                <w:szCs w:val="20"/>
                <w:color w:val="0000FF"/>
              </w:rPr>
              <w:t>01/01/2021</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3"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21"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Verona Pharma plc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VRNA</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24" w:lineRule="exact"/>
        <w:rPr>
          <w:sz w:val="24"/>
          <w:szCs w:val="24"/>
          <w:color w:val="auto"/>
        </w:rPr>
      </w:pPr>
    </w:p>
    <w:p>
      <w:pPr>
        <w:sectPr>
          <w:pgSz w:w="11900" w:h="16838" w:orient="portrait"/>
          <w:cols w:equalWidth="0" w:num="2">
            <w:col w:w="4720" w:space="280"/>
            <w:col w:w="5940"/>
          </w:cols>
          <w:pgMar w:left="480" w:top="230" w:right="479" w:bottom="455" w:gutter="0" w:footer="0" w:header="0"/>
          <w:type w:val="continuous"/>
        </w:sectPr>
      </w:pPr>
    </w:p>
    <w:p>
      <w:pPr>
        <w:spacing w:after="0" w:line="105" w:lineRule="exact"/>
        <w:rPr>
          <w:sz w:val="24"/>
          <w:szCs w:val="24"/>
          <w:color w:val="auto"/>
        </w:rPr>
      </w:pPr>
    </w:p>
    <w:tbl>
      <w:tblPr>
        <w:tblLayout w:type="fixed"/>
        <w:tblInd w:w="100" w:type="dxa"/>
        <w:tblCellMar>
          <w:top w:w="0" w:type="dxa"/>
          <w:left w:w="0" w:type="dxa"/>
          <w:bottom w:w="0" w:type="dxa"/>
          <w:right w:w="0" w:type="dxa"/>
        </w:tblCellMar>
      </w:tblPr>
      <w:tr>
        <w:trPr>
          <w:trHeight w:val="202"/>
        </w:trPr>
        <w:tc>
          <w:tcPr>
            <w:tcW w:w="900" w:type="dxa"/>
            <w:vAlign w:val="bottom"/>
          </w:tcPr>
          <w:p>
            <w:pPr>
              <w:ind w:left="40"/>
              <w:spacing w:after="0"/>
              <w:rPr>
                <w:sz w:val="20"/>
                <w:szCs w:val="20"/>
                <w:color w:val="auto"/>
              </w:rPr>
            </w:pPr>
            <w:r>
              <w:rPr>
                <w:rFonts w:ascii="Arial" w:cs="Arial" w:eastAsia="Arial" w:hAnsi="Arial"/>
                <w:sz w:val="15"/>
                <w:szCs w:val="15"/>
                <w:color w:val="auto"/>
              </w:rPr>
              <w:t>(Last)</w:t>
            </w:r>
          </w:p>
        </w:tc>
        <w:tc>
          <w:tcPr>
            <w:tcW w:w="860" w:type="dxa"/>
            <w:vAlign w:val="bottom"/>
          </w:tcPr>
          <w:p>
            <w:pPr>
              <w:ind w:left="160"/>
              <w:spacing w:after="0"/>
              <w:rPr>
                <w:sz w:val="20"/>
                <w:szCs w:val="20"/>
                <w:color w:val="auto"/>
              </w:rPr>
            </w:pPr>
            <w:r>
              <w:rPr>
                <w:rFonts w:ascii="Arial" w:cs="Arial" w:eastAsia="Arial" w:hAnsi="Arial"/>
                <w:sz w:val="15"/>
                <w:szCs w:val="15"/>
                <w:color w:val="auto"/>
              </w:rPr>
              <w:t>(First)</w:t>
            </w:r>
          </w:p>
        </w:tc>
        <w:tc>
          <w:tcPr>
            <w:tcW w:w="1340" w:type="dxa"/>
            <w:vAlign w:val="bottom"/>
          </w:tcPr>
          <w:p>
            <w:pPr>
              <w:ind w:left="340"/>
              <w:spacing w:after="0"/>
              <w:rPr>
                <w:sz w:val="20"/>
                <w:szCs w:val="20"/>
                <w:color w:val="auto"/>
              </w:rPr>
            </w:pPr>
            <w:r>
              <w:rPr>
                <w:rFonts w:ascii="Arial" w:cs="Arial" w:eastAsia="Arial" w:hAnsi="Arial"/>
                <w:sz w:val="15"/>
                <w:szCs w:val="15"/>
                <w:color w:val="auto"/>
              </w:rPr>
              <w:t>(Middle)</w:t>
            </w:r>
          </w:p>
        </w:tc>
        <w:tc>
          <w:tcPr>
            <w:tcW w:w="0" w:type="dxa"/>
            <w:vAlign w:val="bottom"/>
          </w:tcPr>
          <w:p>
            <w:pPr>
              <w:spacing w:after="0"/>
              <w:rPr>
                <w:sz w:val="1"/>
                <w:szCs w:val="1"/>
                <w:color w:val="auto"/>
              </w:rPr>
            </w:pPr>
          </w:p>
        </w:tc>
      </w:tr>
      <w:tr>
        <w:trPr>
          <w:trHeight w:val="310"/>
        </w:trPr>
        <w:tc>
          <w:tcPr>
            <w:tcW w:w="310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0000FF"/>
              </w:rPr>
              <w:t>2855 SAND HILL ROAD</w:t>
            </w:r>
          </w:p>
        </w:tc>
        <w:tc>
          <w:tcPr>
            <w:tcW w:w="0" w:type="dxa"/>
            <w:vAlign w:val="bottom"/>
          </w:tcPr>
          <w:p>
            <w:pPr>
              <w:spacing w:after="0"/>
              <w:rPr>
                <w:sz w:val="1"/>
                <w:szCs w:val="1"/>
                <w:color w:val="auto"/>
              </w:rPr>
            </w:pPr>
          </w:p>
        </w:tc>
      </w:tr>
      <w:tr>
        <w:trPr>
          <w:trHeight w:val="237"/>
        </w:trPr>
        <w:tc>
          <w:tcPr>
            <w:tcW w:w="900" w:type="dxa"/>
            <w:vAlign w:val="bottom"/>
            <w:tcBorders>
              <w:bottom w:val="single" w:sz="8" w:color="9A9A9A"/>
            </w:tcBorders>
          </w:tcPr>
          <w:p>
            <w:pPr>
              <w:spacing w:after="0"/>
              <w:rPr>
                <w:sz w:val="20"/>
                <w:szCs w:val="20"/>
                <w:color w:val="auto"/>
              </w:rPr>
            </w:pPr>
          </w:p>
        </w:tc>
        <w:tc>
          <w:tcPr>
            <w:tcW w:w="860" w:type="dxa"/>
            <w:vAlign w:val="bottom"/>
            <w:tcBorders>
              <w:bottom w:val="single" w:sz="8" w:color="9A9A9A"/>
            </w:tcBorders>
          </w:tcPr>
          <w:p>
            <w:pPr>
              <w:spacing w:after="0"/>
              <w:rPr>
                <w:sz w:val="20"/>
                <w:szCs w:val="20"/>
                <w:color w:val="auto"/>
              </w:rPr>
            </w:pPr>
          </w:p>
        </w:tc>
        <w:tc>
          <w:tcPr>
            <w:tcW w:w="1340" w:type="dxa"/>
            <w:vAlign w:val="bottom"/>
            <w:tcBorders>
              <w:bottom w:val="single" w:sz="8" w:color="9A9A9A"/>
            </w:tcBorders>
          </w:tcPr>
          <w:p>
            <w:pPr>
              <w:spacing w:after="0"/>
              <w:rPr>
                <w:sz w:val="20"/>
                <w:szCs w:val="20"/>
                <w:color w:val="auto"/>
              </w:rPr>
            </w:pPr>
          </w:p>
        </w:tc>
        <w:tc>
          <w:tcPr>
            <w:tcW w:w="0" w:type="dxa"/>
            <w:vAlign w:val="bottom"/>
          </w:tcPr>
          <w:p>
            <w:pPr>
              <w:spacing w:after="0"/>
              <w:rPr>
                <w:sz w:val="1"/>
                <w:szCs w:val="1"/>
                <w:color w:val="auto"/>
              </w:rPr>
            </w:pPr>
          </w:p>
        </w:tc>
      </w:tr>
      <w:tr>
        <w:trPr>
          <w:trHeight w:val="303"/>
        </w:trPr>
        <w:tc>
          <w:tcPr>
            <w:tcW w:w="900" w:type="dxa"/>
            <w:vAlign w:val="bottom"/>
          </w:tcPr>
          <w:p>
            <w:pPr>
              <w:spacing w:after="0"/>
              <w:rPr>
                <w:sz w:val="20"/>
                <w:szCs w:val="20"/>
                <w:color w:val="auto"/>
              </w:rPr>
            </w:pPr>
            <w:r>
              <w:rPr>
                <w:rFonts w:ascii="Arial" w:cs="Arial" w:eastAsia="Arial" w:hAnsi="Arial"/>
                <w:sz w:val="15"/>
                <w:szCs w:val="15"/>
                <w:color w:val="auto"/>
              </w:rPr>
              <w:t>(Street)</w:t>
            </w:r>
          </w:p>
        </w:tc>
        <w:tc>
          <w:tcPr>
            <w:tcW w:w="8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1"/>
        </w:trPr>
        <w:tc>
          <w:tcPr>
            <w:tcW w:w="90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MENLO</w:t>
            </w:r>
          </w:p>
        </w:tc>
        <w:tc>
          <w:tcPr>
            <w:tcW w:w="860" w:type="dxa"/>
            <w:vAlign w:val="bottom"/>
            <w:vMerge w:val="restart"/>
          </w:tcPr>
          <w:p>
            <w:pPr>
              <w:ind w:left="160"/>
              <w:spacing w:after="0"/>
              <w:rPr>
                <w:sz w:val="20"/>
                <w:szCs w:val="20"/>
                <w:color w:val="auto"/>
              </w:rPr>
            </w:pPr>
            <w:r>
              <w:rPr>
                <w:rFonts w:ascii="Times New Roman" w:cs="Times New Roman" w:eastAsia="Times New Roman" w:hAnsi="Times New Roman"/>
                <w:sz w:val="20"/>
                <w:szCs w:val="20"/>
                <w:color w:val="0000FF"/>
              </w:rPr>
              <w:t>CA</w:t>
            </w:r>
          </w:p>
        </w:tc>
        <w:tc>
          <w:tcPr>
            <w:tcW w:w="1340" w:type="dxa"/>
            <w:vAlign w:val="bottom"/>
            <w:vMerge w:val="restart"/>
          </w:tcPr>
          <w:p>
            <w:pPr>
              <w:ind w:left="340"/>
              <w:spacing w:after="0"/>
              <w:rPr>
                <w:sz w:val="20"/>
                <w:szCs w:val="20"/>
                <w:color w:val="auto"/>
              </w:rPr>
            </w:pPr>
            <w:r>
              <w:rPr>
                <w:rFonts w:ascii="Times New Roman" w:cs="Times New Roman" w:eastAsia="Times New Roman" w:hAnsi="Times New Roman"/>
                <w:sz w:val="20"/>
                <w:szCs w:val="20"/>
                <w:color w:val="0000FF"/>
              </w:rPr>
              <w:t>94025</w:t>
            </w:r>
          </w:p>
        </w:tc>
        <w:tc>
          <w:tcPr>
            <w:tcW w:w="0" w:type="dxa"/>
            <w:vAlign w:val="bottom"/>
          </w:tcPr>
          <w:p>
            <w:pPr>
              <w:spacing w:after="0"/>
              <w:rPr>
                <w:sz w:val="1"/>
                <w:szCs w:val="1"/>
                <w:color w:val="auto"/>
              </w:rPr>
            </w:pPr>
          </w:p>
        </w:tc>
      </w:tr>
      <w:tr>
        <w:trPr>
          <w:trHeight w:val="134"/>
        </w:trPr>
        <w:tc>
          <w:tcPr>
            <w:tcW w:w="900" w:type="dxa"/>
            <w:vAlign w:val="bottom"/>
            <w:vMerge w:val="restart"/>
          </w:tcPr>
          <w:p>
            <w:pPr>
              <w:ind w:left="40"/>
              <w:spacing w:after="0"/>
              <w:rPr>
                <w:sz w:val="20"/>
                <w:szCs w:val="20"/>
                <w:color w:val="auto"/>
              </w:rPr>
            </w:pPr>
            <w:r>
              <w:rPr>
                <w:rFonts w:ascii="Times New Roman" w:cs="Times New Roman" w:eastAsia="Times New Roman" w:hAnsi="Times New Roman"/>
                <w:sz w:val="20"/>
                <w:szCs w:val="20"/>
                <w:color w:val="0000FF"/>
              </w:rPr>
              <w:t>PARK</w:t>
            </w:r>
          </w:p>
        </w:tc>
        <w:tc>
          <w:tcPr>
            <w:tcW w:w="860" w:type="dxa"/>
            <w:vAlign w:val="bottom"/>
            <w:vMerge w:val="continue"/>
          </w:tcPr>
          <w:p>
            <w:pPr>
              <w:spacing w:after="0"/>
              <w:rPr>
                <w:sz w:val="11"/>
                <w:szCs w:val="11"/>
                <w:color w:val="auto"/>
              </w:rPr>
            </w:pPr>
          </w:p>
        </w:tc>
        <w:tc>
          <w:tcPr>
            <w:tcW w:w="13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900" w:type="dxa"/>
            <w:vAlign w:val="bottom"/>
            <w:vMerge w:val="continue"/>
          </w:tcPr>
          <w:p>
            <w:pPr>
              <w:spacing w:after="0"/>
              <w:rPr>
                <w:sz w:val="10"/>
                <w:szCs w:val="10"/>
                <w:color w:val="auto"/>
              </w:rPr>
            </w:pPr>
          </w:p>
        </w:tc>
        <w:tc>
          <w:tcPr>
            <w:tcW w:w="86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ind w:left="3" w:right="300" w:hanging="3"/>
        <w:spacing w:after="0" w:line="242"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3" w:lineRule="exact"/>
        <w:rPr>
          <w:sz w:val="24"/>
          <w:szCs w:val="24"/>
          <w:color w:val="auto"/>
        </w:rPr>
      </w:pPr>
    </w:p>
    <w:p>
      <w:pPr>
        <w:ind w:left="523"/>
        <w:spacing w:after="0"/>
        <w:tabs>
          <w:tab w:leader="none" w:pos="1722" w:val="left"/>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Times New Roman" w:cs="Times New Roman" w:eastAsia="Times New Roman" w:hAnsi="Times New Roman"/>
          <w:sz w:val="20"/>
          <w:szCs w:val="20"/>
          <w:color w:val="0000FF"/>
        </w:rPr>
        <w:t>X</w:t>
      </w:r>
      <w:r>
        <w:rPr>
          <w:sz w:val="20"/>
          <w:szCs w:val="20"/>
          <w:color w:val="auto"/>
        </w:rPr>
        <w:tab/>
      </w:r>
      <w:r>
        <w:rPr>
          <w:rFonts w:ascii="Arial" w:cs="Arial" w:eastAsia="Arial" w:hAnsi="Arial"/>
          <w:sz w:val="15"/>
          <w:szCs w:val="15"/>
          <w:color w:val="auto"/>
        </w:rPr>
        <w:t>10% Owner</w:t>
      </w:r>
    </w:p>
    <w:p>
      <w:pPr>
        <w:spacing w:after="0" w:line="67"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11"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70"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57" w:lineRule="exact"/>
        <w:rPr>
          <w:rFonts w:ascii="Arial" w:cs="Arial" w:eastAsia="Arial" w:hAnsi="Arial"/>
          <w:sz w:val="15"/>
          <w:szCs w:val="15"/>
          <w:color w:val="auto"/>
        </w:rPr>
      </w:pPr>
    </w:p>
    <w:p>
      <w:pPr>
        <w:ind w:left="-9" w:right="480" w:firstLine="9"/>
        <w:spacing w:after="0" w:line="255"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9" w:lineRule="exact"/>
        <w:rPr>
          <w:sz w:val="24"/>
          <w:szCs w:val="24"/>
          <w:color w:val="auto"/>
        </w:rPr>
      </w:pPr>
    </w:p>
    <w:p>
      <w:pPr>
        <w:ind w:left="451" w:right="340" w:hanging="304"/>
        <w:spacing w:after="0" w:line="182" w:lineRule="auto"/>
        <w:tabs>
          <w:tab w:leader="none" w:pos="451" w:val="left"/>
        </w:tabs>
        <w:numPr>
          <w:ilvl w:val="0"/>
          <w:numId w:val="3"/>
        </w:numPr>
        <w:rPr>
          <w:rFonts w:ascii="Times New Roman" w:cs="Times New Roman" w:eastAsia="Times New Roman" w:hAnsi="Times New Roman"/>
          <w:sz w:val="29"/>
          <w:szCs w:val="29"/>
          <w:color w:val="0000FF"/>
          <w:vertAlign w:val="subscript"/>
        </w:rPr>
      </w:pPr>
      <w:r>
        <w:rPr>
          <w:rFonts w:ascii="Arial" w:cs="Arial" w:eastAsia="Arial" w:hAnsi="Arial"/>
          <w:sz w:val="13"/>
          <w:szCs w:val="13"/>
          <w:color w:val="auto"/>
        </w:rPr>
        <w:t>Form filed by One Reporting Person</w:t>
      </w:r>
    </w:p>
    <w:p>
      <w:pPr>
        <w:spacing w:after="0" w:line="23" w:lineRule="exact"/>
        <w:rPr>
          <w:rFonts w:ascii="Times New Roman" w:cs="Times New Roman" w:eastAsia="Times New Roman" w:hAnsi="Times New Roman"/>
          <w:sz w:val="29"/>
          <w:szCs w:val="29"/>
          <w:color w:val="0000FF"/>
          <w:vertAlign w:val="subscript"/>
        </w:rPr>
      </w:pPr>
    </w:p>
    <w:p>
      <w:pPr>
        <w:ind w:left="451" w:right="320"/>
        <w:spacing w:after="0" w:line="270" w:lineRule="auto"/>
        <w:rPr>
          <w:rFonts w:ascii="Times New Roman" w:cs="Times New Roman" w:eastAsia="Times New Roman" w:hAnsi="Times New Roman"/>
          <w:sz w:val="29"/>
          <w:szCs w:val="29"/>
          <w:color w:val="0000FF"/>
          <w:vertAlign w:val="subscript"/>
        </w:rPr>
      </w:pPr>
      <w:r>
        <w:rPr>
          <w:rFonts w:ascii="Arial" w:cs="Arial" w:eastAsia="Arial" w:hAnsi="Arial"/>
          <w:sz w:val="15"/>
          <w:szCs w:val="15"/>
          <w:color w:val="auto"/>
        </w:rPr>
        <w:t>Form filed by More than One Reporting Person</w:t>
      </w:r>
    </w:p>
    <w:p>
      <w:pPr>
        <w:spacing w:after="0" w:line="200" w:lineRule="exact"/>
        <w:rPr>
          <w:sz w:val="24"/>
          <w:szCs w:val="24"/>
          <w:color w:val="auto"/>
        </w:rPr>
      </w:pPr>
    </w:p>
    <w:p>
      <w:pPr>
        <w:sectPr>
          <w:pgSz w:w="11900" w:h="16838" w:orient="portrait"/>
          <w:cols w:equalWidth="0" w:num="3">
            <w:col w:w="4277" w:space="720"/>
            <w:col w:w="3003" w:space="269"/>
            <w:col w:w="2671"/>
          </w:cols>
          <w:pgMar w:left="480" w:top="230" w:right="479" w:bottom="455" w:gutter="0" w:footer="0" w:header="0"/>
          <w:type w:val="continuous"/>
        </w:sectPr>
      </w:pPr>
    </w:p>
    <w:p>
      <w:pPr>
        <w:spacing w:after="0" w:line="27"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92710</wp:posOffset>
            </wp:positionV>
            <wp:extent cx="6946900" cy="12674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946900" cy="1267460"/>
                    </a:xfrm>
                    <a:prstGeom prst="rect">
                      <a:avLst/>
                    </a:prstGeom>
                    <a:noFill/>
                  </pic:spPr>
                </pic:pic>
              </a:graphicData>
            </a:graphic>
          </wp:anchor>
        </w:drawing>
      </w:r>
    </w:p>
    <w:p>
      <w:pPr>
        <w:spacing w:after="0" w:line="19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c>
          <w:tcPr>
            <w:tcW w:w="20" w:type="dxa"/>
            <w:vAlign w:val="bottom"/>
          </w:tcPr>
          <w:p>
            <w:pPr>
              <w:spacing w:after="0"/>
              <w:rPr>
                <w:sz w:val="14"/>
                <w:szCs w:val="14"/>
                <w:color w:val="auto"/>
              </w:rPr>
            </w:pP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c>
          <w:tcPr>
            <w:tcW w:w="20" w:type="dxa"/>
            <w:vAlign w:val="bottom"/>
          </w:tcPr>
          <w:p>
            <w:pPr>
              <w:spacing w:after="0"/>
              <w:rPr>
                <w:sz w:val="14"/>
                <w:szCs w:val="14"/>
                <w:color w:val="auto"/>
              </w:rPr>
            </w:pP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12"/>
        </w:trPr>
        <w:tc>
          <w:tcPr>
            <w:tcW w:w="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44"/>
        </w:trPr>
        <w:tc>
          <w:tcPr>
            <w:tcW w:w="20" w:type="dxa"/>
            <w:vAlign w:val="bottom"/>
          </w:tcPr>
          <w:p>
            <w:pPr>
              <w:spacing w:after="0"/>
              <w:rPr>
                <w:sz w:val="3"/>
                <w:szCs w:val="3"/>
                <w:color w:val="auto"/>
              </w:rPr>
            </w:pPr>
          </w:p>
        </w:tc>
        <w:tc>
          <w:tcPr>
            <w:tcW w:w="3420" w:type="dxa"/>
            <w:vAlign w:val="bottom"/>
            <w:tcBorders>
              <w:bottom w:val="single" w:sz="8" w:color="2C2C2C"/>
            </w:tcBorders>
          </w:tcPr>
          <w:p>
            <w:pPr>
              <w:spacing w:after="0"/>
              <w:rPr>
                <w:sz w:val="3"/>
                <w:szCs w:val="3"/>
                <w:color w:val="auto"/>
              </w:rPr>
            </w:pPr>
          </w:p>
        </w:tc>
        <w:tc>
          <w:tcPr>
            <w:tcW w:w="34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28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r>
      <w:tr>
        <w:trPr>
          <w:trHeight w:val="370"/>
        </w:trPr>
        <w:tc>
          <w:tcPr>
            <w:tcW w:w="20" w:type="dxa"/>
            <w:vAlign w:val="bottom"/>
          </w:tcPr>
          <w:p>
            <w:pPr>
              <w:spacing w:after="0"/>
              <w:rPr>
                <w:sz w:val="24"/>
                <w:szCs w:val="24"/>
                <w:color w:val="auto"/>
              </w:rPr>
            </w:pPr>
          </w:p>
        </w:tc>
        <w:tc>
          <w:tcPr>
            <w:tcW w:w="342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Ordinary Shares</w:t>
            </w:r>
          </w:p>
        </w:tc>
        <w:tc>
          <w:tcPr>
            <w:tcW w:w="3400" w:type="dxa"/>
            <w:vAlign w:val="bottom"/>
            <w:tcBorders>
              <w:bottom w:val="single" w:sz="8" w:color="2C2C2C"/>
            </w:tcBorders>
          </w:tcPr>
          <w:p>
            <w:pPr>
              <w:jc w:val="center"/>
              <w:ind w:right="416"/>
              <w:spacing w:after="0"/>
              <w:rPr>
                <w:sz w:val="20"/>
                <w:szCs w:val="20"/>
                <w:color w:val="auto"/>
              </w:rPr>
            </w:pPr>
            <w:r>
              <w:rPr>
                <w:rFonts w:ascii="Times New Roman" w:cs="Times New Roman" w:eastAsia="Times New Roman" w:hAnsi="Times New Roman"/>
                <w:sz w:val="20"/>
                <w:szCs w:val="20"/>
                <w:color w:val="0000FF"/>
              </w:rPr>
              <w:t>9,757,393</w:t>
            </w:r>
            <w:r>
              <w:rPr>
                <w:rFonts w:ascii="Times New Roman" w:cs="Times New Roman" w:eastAsia="Times New Roman" w:hAnsi="Times New Roman"/>
                <w:sz w:val="25"/>
                <w:szCs w:val="25"/>
                <w:color w:val="008000"/>
                <w:vertAlign w:val="superscript"/>
              </w:rPr>
              <w:t>(1)</w:t>
            </w:r>
          </w:p>
        </w:tc>
        <w:tc>
          <w:tcPr>
            <w:tcW w:w="1220" w:type="dxa"/>
            <w:vAlign w:val="bottom"/>
            <w:tcBorders>
              <w:bottom w:val="single" w:sz="8" w:color="2C2C2C"/>
            </w:tcBorders>
          </w:tcPr>
          <w:p>
            <w:pPr>
              <w:ind w:left="620"/>
              <w:spacing w:after="0"/>
              <w:rPr>
                <w:sz w:val="20"/>
                <w:szCs w:val="20"/>
                <w:color w:val="auto"/>
              </w:rPr>
            </w:pPr>
            <w:r>
              <w:rPr>
                <w:rFonts w:ascii="Times New Roman" w:cs="Times New Roman" w:eastAsia="Times New Roman" w:hAnsi="Times New Roman"/>
                <w:sz w:val="20"/>
                <w:szCs w:val="20"/>
                <w:color w:val="0000FF"/>
              </w:rPr>
              <w:t>I</w:t>
            </w:r>
          </w:p>
        </w:tc>
        <w:tc>
          <w:tcPr>
            <w:tcW w:w="286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20"/>
                <w:szCs w:val="20"/>
                <w:color w:val="0000FF"/>
              </w:rPr>
              <w:t>See Note 2</w:t>
            </w:r>
            <w:r>
              <w:rPr>
                <w:rFonts w:ascii="Times New Roman" w:cs="Times New Roman" w:eastAsia="Times New Roman" w:hAnsi="Times New Roman"/>
                <w:sz w:val="25"/>
                <w:szCs w:val="25"/>
                <w:color w:val="008000"/>
                <w:vertAlign w:val="superscript"/>
              </w:rPr>
              <w:t>(2)</w:t>
            </w:r>
          </w:p>
        </w:tc>
        <w:tc>
          <w:tcPr>
            <w:tcW w:w="20" w:type="dxa"/>
            <w:vAlign w:val="bottom"/>
          </w:tcPr>
          <w:p>
            <w:pPr>
              <w:spacing w:after="0"/>
              <w:rPr>
                <w:sz w:val="24"/>
                <w:szCs w:val="24"/>
                <w:color w:val="auto"/>
              </w:rPr>
            </w:pPr>
          </w:p>
        </w:tc>
      </w:tr>
      <w:tr>
        <w:trPr>
          <w:trHeight w:val="395"/>
        </w:trPr>
        <w:tc>
          <w:tcPr>
            <w:tcW w:w="20" w:type="dxa"/>
            <w:vAlign w:val="bottom"/>
            <w:tcBorders>
              <w:bottom w:val="single" w:sz="8" w:color="2C2C2C"/>
            </w:tcBorders>
          </w:tcPr>
          <w:p>
            <w:pPr>
              <w:spacing w:after="0"/>
              <w:rPr>
                <w:sz w:val="24"/>
                <w:szCs w:val="24"/>
                <w:color w:val="auto"/>
              </w:rPr>
            </w:pPr>
          </w:p>
        </w:tc>
        <w:tc>
          <w:tcPr>
            <w:tcW w:w="342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Ordinary Shares</w:t>
            </w:r>
          </w:p>
        </w:tc>
        <w:tc>
          <w:tcPr>
            <w:tcW w:w="3400" w:type="dxa"/>
            <w:vAlign w:val="bottom"/>
            <w:tcBorders>
              <w:bottom w:val="single" w:sz="8" w:color="2C2C2C"/>
            </w:tcBorders>
          </w:tcPr>
          <w:p>
            <w:pPr>
              <w:jc w:val="center"/>
              <w:ind w:right="376"/>
              <w:spacing w:after="0"/>
              <w:rPr>
                <w:sz w:val="20"/>
                <w:szCs w:val="20"/>
                <w:color w:val="auto"/>
              </w:rPr>
            </w:pPr>
            <w:r>
              <w:rPr>
                <w:rFonts w:ascii="Times New Roman" w:cs="Times New Roman" w:eastAsia="Times New Roman" w:hAnsi="Times New Roman"/>
                <w:sz w:val="20"/>
                <w:szCs w:val="20"/>
                <w:color w:val="0000FF"/>
              </w:rPr>
              <w:t>31,111,112</w:t>
            </w:r>
            <w:r>
              <w:rPr>
                <w:rFonts w:ascii="Times New Roman" w:cs="Times New Roman" w:eastAsia="Times New Roman" w:hAnsi="Times New Roman"/>
                <w:sz w:val="25"/>
                <w:szCs w:val="25"/>
                <w:color w:val="008000"/>
                <w:vertAlign w:val="superscript"/>
              </w:rPr>
              <w:t>(3)</w:t>
            </w:r>
          </w:p>
        </w:tc>
        <w:tc>
          <w:tcPr>
            <w:tcW w:w="1220" w:type="dxa"/>
            <w:vAlign w:val="bottom"/>
            <w:tcBorders>
              <w:bottom w:val="single" w:sz="8" w:color="2C2C2C"/>
            </w:tcBorders>
          </w:tcPr>
          <w:p>
            <w:pPr>
              <w:ind w:left="620"/>
              <w:spacing w:after="0"/>
              <w:rPr>
                <w:sz w:val="20"/>
                <w:szCs w:val="20"/>
                <w:color w:val="auto"/>
              </w:rPr>
            </w:pPr>
            <w:r>
              <w:rPr>
                <w:rFonts w:ascii="Times New Roman" w:cs="Times New Roman" w:eastAsia="Times New Roman" w:hAnsi="Times New Roman"/>
                <w:sz w:val="20"/>
                <w:szCs w:val="20"/>
                <w:color w:val="0000FF"/>
              </w:rPr>
              <w:t>I</w:t>
            </w:r>
          </w:p>
        </w:tc>
        <w:tc>
          <w:tcPr>
            <w:tcW w:w="286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20"/>
                <w:szCs w:val="20"/>
                <w:color w:val="0000FF"/>
              </w:rPr>
              <w:t>See Note 4</w:t>
            </w:r>
            <w:r>
              <w:rPr>
                <w:rFonts w:ascii="Times New Roman" w:cs="Times New Roman" w:eastAsia="Times New Roman" w:hAnsi="Times New Roman"/>
                <w:sz w:val="25"/>
                <w:szCs w:val="25"/>
                <w:color w:val="008000"/>
                <w:vertAlign w:val="superscript"/>
              </w:rPr>
              <w:t>(4)</w:t>
            </w:r>
          </w:p>
        </w:tc>
        <w:tc>
          <w:tcPr>
            <w:tcW w:w="20" w:type="dxa"/>
            <w:vAlign w:val="bottom"/>
            <w:tcBorders>
              <w:bottom w:val="single" w:sz="8" w:color="2C2C2C"/>
            </w:tcBorders>
          </w:tcPr>
          <w:p>
            <w:pPr>
              <w:spacing w:after="0"/>
              <w:rPr>
                <w:sz w:val="24"/>
                <w:szCs w:val="24"/>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-18415</wp:posOffset>
            </wp:positionV>
            <wp:extent cx="6946900" cy="16198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6946900" cy="1619885"/>
                    </a:xfrm>
                    <a:prstGeom prst="rect">
                      <a:avLst/>
                    </a:prstGeom>
                    <a:noFill/>
                  </pic:spPr>
                </pic:pic>
              </a:graphicData>
            </a:graphic>
          </wp:anchor>
        </w:drawing>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14"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2940" w:type="dxa"/>
            <w:vAlign w:val="bottom"/>
          </w:tcPr>
          <w:p>
            <w:pPr>
              <w:ind w:left="80"/>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72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40" w:type="dxa"/>
            <w:vAlign w:val="bottom"/>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9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72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Indirect</w:t>
            </w:r>
          </w:p>
        </w:tc>
        <w:tc>
          <w:tcPr>
            <w:tcW w:w="0" w:type="dxa"/>
            <w:vAlign w:val="bottom"/>
          </w:tcPr>
          <w:p>
            <w:pPr>
              <w:spacing w:after="0"/>
              <w:rPr>
                <w:sz w:val="1"/>
                <w:szCs w:val="1"/>
                <w:color w:val="auto"/>
              </w:rPr>
            </w:pPr>
          </w:p>
        </w:tc>
      </w:tr>
      <w:tr>
        <w:trPr>
          <w:trHeight w:val="165"/>
        </w:trPr>
        <w:tc>
          <w:tcPr>
            <w:tcW w:w="29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70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02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Beneficial</w:t>
            </w:r>
          </w:p>
        </w:tc>
        <w:tc>
          <w:tcPr>
            <w:tcW w:w="0" w:type="dxa"/>
            <w:vAlign w:val="bottom"/>
          </w:tcPr>
          <w:p>
            <w:pPr>
              <w:spacing w:after="0"/>
              <w:rPr>
                <w:sz w:val="1"/>
                <w:szCs w:val="1"/>
                <w:color w:val="auto"/>
              </w:rPr>
            </w:pPr>
          </w:p>
        </w:tc>
      </w:tr>
      <w:tr>
        <w:trPr>
          <w:trHeight w:val="91"/>
        </w:trPr>
        <w:tc>
          <w:tcPr>
            <w:tcW w:w="29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700" w:type="dxa"/>
            <w:vAlign w:val="bottom"/>
            <w:tcBorders>
              <w:bottom w:val="single" w:sz="8" w:color="2C2C2C"/>
            </w:tcBorders>
          </w:tcPr>
          <w:p>
            <w:pPr>
              <w:spacing w:after="0"/>
              <w:rPr>
                <w:sz w:val="7"/>
                <w:szCs w:val="7"/>
                <w:color w:val="auto"/>
              </w:rPr>
            </w:pPr>
          </w:p>
        </w:tc>
        <w:tc>
          <w:tcPr>
            <w:tcW w:w="102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54"/>
        </w:trPr>
        <w:tc>
          <w:tcPr>
            <w:tcW w:w="2940" w:type="dxa"/>
            <w:vAlign w:val="bottom"/>
          </w:tcPr>
          <w:p>
            <w:pPr>
              <w:spacing w:after="0"/>
              <w:rPr>
                <w:sz w:val="4"/>
                <w:szCs w:val="4"/>
                <w:color w:val="auto"/>
              </w:rPr>
            </w:pPr>
          </w:p>
        </w:tc>
        <w:tc>
          <w:tcPr>
            <w:tcW w:w="9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700" w:type="dxa"/>
            <w:vAlign w:val="bottom"/>
          </w:tcPr>
          <w:p>
            <w:pPr>
              <w:spacing w:after="0"/>
              <w:rPr>
                <w:sz w:val="4"/>
                <w:szCs w:val="4"/>
                <w:color w:val="auto"/>
              </w:rPr>
            </w:pPr>
          </w:p>
        </w:tc>
        <w:tc>
          <w:tcPr>
            <w:tcW w:w="1020" w:type="dxa"/>
            <w:vAlign w:val="bottom"/>
            <w:vMerge w:val="restart"/>
          </w:tcPr>
          <w:p>
            <w:pPr>
              <w:ind w:left="160"/>
              <w:spacing w:after="0"/>
              <w:rPr>
                <w:sz w:val="20"/>
                <w:szCs w:val="20"/>
                <w:color w:val="auto"/>
              </w:rPr>
            </w:pPr>
            <w:r>
              <w:rPr>
                <w:rFonts w:ascii="Arial" w:cs="Arial" w:eastAsia="Arial" w:hAnsi="Arial"/>
                <w:sz w:val="15"/>
                <w:szCs w:val="15"/>
                <w:b w:val="1"/>
                <w:bCs w:val="1"/>
                <w:color w:val="auto"/>
              </w:rPr>
              <w:t>Amount or</w:t>
            </w:r>
          </w:p>
        </w:tc>
        <w:tc>
          <w:tcPr>
            <w:tcW w:w="98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6"/>
        </w:trPr>
        <w:tc>
          <w:tcPr>
            <w:tcW w:w="2940" w:type="dxa"/>
            <w:vAlign w:val="bottom"/>
          </w:tcPr>
          <w:p>
            <w:pPr>
              <w:spacing w:after="0"/>
              <w:rPr>
                <w:sz w:val="13"/>
                <w:szCs w:val="13"/>
                <w:color w:val="auto"/>
              </w:rPr>
            </w:pPr>
          </w:p>
        </w:tc>
        <w:tc>
          <w:tcPr>
            <w:tcW w:w="980" w:type="dxa"/>
            <w:vAlign w:val="bottom"/>
            <w:vMerge w:val="restart"/>
          </w:tcPr>
          <w:p>
            <w:pPr>
              <w:ind w:left="80"/>
              <w:spacing w:after="0"/>
              <w:rPr>
                <w:sz w:val="20"/>
                <w:szCs w:val="20"/>
                <w:color w:val="auto"/>
              </w:rPr>
            </w:pPr>
            <w:r>
              <w:rPr>
                <w:rFonts w:ascii="Arial" w:cs="Arial" w:eastAsia="Arial" w:hAnsi="Arial"/>
                <w:sz w:val="15"/>
                <w:szCs w:val="15"/>
                <w:b w:val="1"/>
                <w:bCs w:val="1"/>
                <w:color w:val="auto"/>
              </w:rPr>
              <w:t>Date</w:t>
            </w:r>
          </w:p>
        </w:tc>
        <w:tc>
          <w:tcPr>
            <w:tcW w:w="900" w:type="dxa"/>
            <w:vAlign w:val="bottom"/>
            <w:vMerge w:val="restart"/>
          </w:tcPr>
          <w:p>
            <w:pPr>
              <w:ind w:left="80"/>
              <w:spacing w:after="0"/>
              <w:rPr>
                <w:sz w:val="20"/>
                <w:szCs w:val="20"/>
                <w:color w:val="auto"/>
              </w:rPr>
            </w:pPr>
            <w:r>
              <w:rPr>
                <w:rFonts w:ascii="Arial" w:cs="Arial" w:eastAsia="Arial" w:hAnsi="Arial"/>
                <w:sz w:val="15"/>
                <w:szCs w:val="15"/>
                <w:b w:val="1"/>
                <w:bCs w:val="1"/>
                <w:color w:val="auto"/>
              </w:rPr>
              <w:t>Expiration</w:t>
            </w:r>
          </w:p>
        </w:tc>
        <w:tc>
          <w:tcPr>
            <w:tcW w:w="1700" w:type="dxa"/>
            <w:vAlign w:val="bottom"/>
          </w:tcPr>
          <w:p>
            <w:pPr>
              <w:spacing w:after="0"/>
              <w:rPr>
                <w:sz w:val="13"/>
                <w:szCs w:val="13"/>
                <w:color w:val="auto"/>
              </w:rPr>
            </w:pPr>
          </w:p>
        </w:tc>
        <w:tc>
          <w:tcPr>
            <w:tcW w:w="1020" w:type="dxa"/>
            <w:vAlign w:val="bottom"/>
            <w:vMerge w:val="continue"/>
          </w:tcPr>
          <w:p>
            <w:pPr>
              <w:spacing w:after="0"/>
              <w:rPr>
                <w:sz w:val="13"/>
                <w:szCs w:val="13"/>
                <w:color w:val="auto"/>
              </w:rPr>
            </w:pPr>
          </w:p>
        </w:tc>
        <w:tc>
          <w:tcPr>
            <w:tcW w:w="980" w:type="dxa"/>
            <w:vAlign w:val="bottom"/>
          </w:tcPr>
          <w:p>
            <w:pPr>
              <w:ind w:left="80"/>
              <w:spacing w:after="0" w:line="156"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6" w:lineRule="exact"/>
              <w:rPr>
                <w:sz w:val="20"/>
                <w:szCs w:val="20"/>
                <w:color w:val="auto"/>
              </w:rPr>
            </w:pPr>
            <w:r>
              <w:rPr>
                <w:rFonts w:ascii="Arial" w:cs="Arial" w:eastAsia="Arial" w:hAnsi="Arial"/>
                <w:sz w:val="15"/>
                <w:szCs w:val="15"/>
                <w:b w:val="1"/>
                <w:bCs w:val="1"/>
                <w:color w:val="auto"/>
              </w:rPr>
              <w:t>or Indirect</w:t>
            </w:r>
          </w:p>
        </w:tc>
        <w:tc>
          <w:tcPr>
            <w:tcW w:w="1440" w:type="dxa"/>
            <w:vAlign w:val="bottom"/>
          </w:tcPr>
          <w:p>
            <w:pPr>
              <w:ind w:left="80"/>
              <w:spacing w:after="0" w:line="156"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165"/>
        </w:trPr>
        <w:tc>
          <w:tcPr>
            <w:tcW w:w="294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1700" w:type="dxa"/>
            <w:vAlign w:val="bottom"/>
            <w:vMerge w:val="restart"/>
          </w:tcPr>
          <w:p>
            <w:pPr>
              <w:ind w:left="60"/>
              <w:spacing w:after="0"/>
              <w:rPr>
                <w:sz w:val="20"/>
                <w:szCs w:val="20"/>
                <w:color w:val="auto"/>
              </w:rPr>
            </w:pPr>
            <w:r>
              <w:rPr>
                <w:rFonts w:ascii="Arial" w:cs="Arial" w:eastAsia="Arial" w:hAnsi="Arial"/>
                <w:sz w:val="15"/>
                <w:szCs w:val="15"/>
                <w:b w:val="1"/>
                <w:bCs w:val="1"/>
                <w:color w:val="auto"/>
              </w:rPr>
              <w:t>Title</w:t>
            </w:r>
          </w:p>
        </w:tc>
        <w:tc>
          <w:tcPr>
            <w:tcW w:w="1020" w:type="dxa"/>
            <w:vAlign w:val="bottom"/>
          </w:tcPr>
          <w:p>
            <w:pPr>
              <w:ind w:left="160"/>
              <w:spacing w:after="0" w:line="165" w:lineRule="exact"/>
              <w:rPr>
                <w:sz w:val="20"/>
                <w:szCs w:val="20"/>
                <w:color w:val="auto"/>
              </w:rPr>
            </w:pPr>
            <w:r>
              <w:rPr>
                <w:rFonts w:ascii="Arial" w:cs="Arial" w:eastAsia="Arial" w:hAnsi="Arial"/>
                <w:sz w:val="15"/>
                <w:szCs w:val="15"/>
                <w:b w:val="1"/>
                <w:bCs w:val="1"/>
                <w:color w:val="auto"/>
              </w:rPr>
              <w:t>Number of</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2940" w:type="dxa"/>
            <w:vAlign w:val="bottom"/>
          </w:tcPr>
          <w:p>
            <w:pPr>
              <w:spacing w:after="0"/>
              <w:rPr>
                <w:sz w:val="18"/>
                <w:szCs w:val="18"/>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700" w:type="dxa"/>
            <w:vAlign w:val="bottom"/>
            <w:vMerge w:val="continue"/>
          </w:tcPr>
          <w:p>
            <w:pPr>
              <w:spacing w:after="0"/>
              <w:rPr>
                <w:sz w:val="18"/>
                <w:szCs w:val="18"/>
                <w:color w:val="auto"/>
              </w:rPr>
            </w:pPr>
          </w:p>
        </w:tc>
        <w:tc>
          <w:tcPr>
            <w:tcW w:w="1020" w:type="dxa"/>
            <w:vAlign w:val="bottom"/>
          </w:tcPr>
          <w:p>
            <w:pPr>
              <w:ind w:left="16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8"/>
        </w:trPr>
        <w:tc>
          <w:tcPr>
            <w:tcW w:w="29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84"/>
        </w:trPr>
        <w:tc>
          <w:tcPr>
            <w:tcW w:w="294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Ordinary Shares Warrant (right to</w:t>
            </w:r>
          </w:p>
        </w:tc>
        <w:tc>
          <w:tcPr>
            <w:tcW w:w="980" w:type="dxa"/>
            <w:vAlign w:val="bottom"/>
            <w:vMerge w:val="restart"/>
          </w:tcPr>
          <w:p>
            <w:pPr>
              <w:ind w:left="140"/>
              <w:spacing w:after="0"/>
              <w:rPr>
                <w:sz w:val="20"/>
                <w:szCs w:val="20"/>
                <w:color w:val="auto"/>
              </w:rPr>
            </w:pPr>
            <w:r>
              <w:rPr>
                <w:rFonts w:ascii="Times New Roman" w:cs="Times New Roman" w:eastAsia="Times New Roman" w:hAnsi="Times New Roman"/>
                <w:sz w:val="15"/>
                <w:szCs w:val="15"/>
                <w:color w:val="0000FF"/>
              </w:rPr>
              <w:t>05/02/2017</w:t>
            </w:r>
          </w:p>
        </w:tc>
        <w:tc>
          <w:tcPr>
            <w:tcW w:w="900" w:type="dxa"/>
            <w:vAlign w:val="bottom"/>
            <w:vMerge w:val="restart"/>
          </w:tcPr>
          <w:p>
            <w:pPr>
              <w:jc w:val="right"/>
              <w:ind w:right="25"/>
              <w:spacing w:after="0"/>
              <w:rPr>
                <w:sz w:val="20"/>
                <w:szCs w:val="20"/>
                <w:color w:val="auto"/>
              </w:rPr>
            </w:pPr>
            <w:r>
              <w:rPr>
                <w:rFonts w:ascii="Times New Roman" w:cs="Times New Roman" w:eastAsia="Times New Roman" w:hAnsi="Times New Roman"/>
                <w:sz w:val="15"/>
                <w:szCs w:val="15"/>
                <w:color w:val="0000FF"/>
              </w:rPr>
              <w:t>05/02/2022</w:t>
            </w:r>
          </w:p>
        </w:tc>
        <w:tc>
          <w:tcPr>
            <w:tcW w:w="1700" w:type="dxa"/>
            <w:vAlign w:val="bottom"/>
            <w:vMerge w:val="restart"/>
          </w:tcPr>
          <w:p>
            <w:pPr>
              <w:ind w:left="260"/>
              <w:spacing w:after="0"/>
              <w:rPr>
                <w:sz w:val="20"/>
                <w:szCs w:val="20"/>
                <w:color w:val="auto"/>
              </w:rPr>
            </w:pPr>
            <w:r>
              <w:rPr>
                <w:rFonts w:ascii="Times New Roman" w:cs="Times New Roman" w:eastAsia="Times New Roman" w:hAnsi="Times New Roman"/>
                <w:sz w:val="20"/>
                <w:szCs w:val="20"/>
                <w:color w:val="0000FF"/>
              </w:rPr>
              <w:t>Ordinary Shares</w:t>
            </w:r>
          </w:p>
        </w:tc>
        <w:tc>
          <w:tcPr>
            <w:tcW w:w="1020" w:type="dxa"/>
            <w:vAlign w:val="bottom"/>
            <w:vMerge w:val="restart"/>
          </w:tcPr>
          <w:p>
            <w:pPr>
              <w:ind w:left="160"/>
              <w:spacing w:after="0"/>
              <w:rPr>
                <w:sz w:val="20"/>
                <w:szCs w:val="20"/>
                <w:color w:val="auto"/>
              </w:rPr>
            </w:pPr>
            <w:r>
              <w:rPr>
                <w:rFonts w:ascii="Times New Roman" w:cs="Times New Roman" w:eastAsia="Times New Roman" w:hAnsi="Times New Roman"/>
                <w:sz w:val="20"/>
                <w:szCs w:val="20"/>
                <w:color w:val="0000FF"/>
              </w:rPr>
              <w:t>1,769,626</w:t>
            </w:r>
          </w:p>
        </w:tc>
        <w:tc>
          <w:tcPr>
            <w:tcW w:w="980" w:type="dxa"/>
            <w:vAlign w:val="bottom"/>
            <w:vMerge w:val="restart"/>
          </w:tcPr>
          <w:p>
            <w:pPr>
              <w:ind w:left="160"/>
              <w:spacing w:after="0"/>
              <w:rPr>
                <w:sz w:val="20"/>
                <w:szCs w:val="20"/>
                <w:color w:val="auto"/>
              </w:rPr>
            </w:pPr>
            <w:r>
              <w:rPr>
                <w:rFonts w:ascii="Times New Roman" w:cs="Times New Roman" w:eastAsia="Times New Roman" w:hAnsi="Times New Roman"/>
                <w:sz w:val="20"/>
                <w:szCs w:val="20"/>
                <w:color w:val="0000FF"/>
              </w:rPr>
              <w:t>2.3289</w:t>
            </w:r>
            <w:r>
              <w:rPr>
                <w:rFonts w:ascii="Times New Roman" w:cs="Times New Roman" w:eastAsia="Times New Roman" w:hAnsi="Times New Roman"/>
                <w:sz w:val="25"/>
                <w:szCs w:val="25"/>
                <w:color w:val="008000"/>
                <w:vertAlign w:val="superscript"/>
              </w:rPr>
              <w:t>(5)</w:t>
            </w:r>
          </w:p>
        </w:tc>
        <w:tc>
          <w:tcPr>
            <w:tcW w:w="940" w:type="dxa"/>
            <w:vAlign w:val="bottom"/>
            <w:vMerge w:val="restart"/>
          </w:tcPr>
          <w:p>
            <w:pPr>
              <w:ind w:left="440"/>
              <w:spacing w:after="0"/>
              <w:rPr>
                <w:sz w:val="20"/>
                <w:szCs w:val="20"/>
                <w:color w:val="auto"/>
              </w:rPr>
            </w:pPr>
            <w:r>
              <w:rPr>
                <w:rFonts w:ascii="Times New Roman" w:cs="Times New Roman" w:eastAsia="Times New Roman" w:hAnsi="Times New Roman"/>
                <w:sz w:val="20"/>
                <w:szCs w:val="20"/>
                <w:color w:val="0000FF"/>
              </w:rPr>
              <w:t>I</w:t>
            </w:r>
          </w:p>
        </w:tc>
        <w:tc>
          <w:tcPr>
            <w:tcW w:w="144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See Note 2</w:t>
            </w:r>
            <w:r>
              <w:rPr>
                <w:rFonts w:ascii="Times New Roman" w:cs="Times New Roman" w:eastAsia="Times New Roman" w:hAnsi="Times New Roman"/>
                <w:sz w:val="25"/>
                <w:szCs w:val="25"/>
                <w:color w:val="008000"/>
                <w:vertAlign w:val="superscript"/>
              </w:rPr>
              <w:t>(2)</w:t>
            </w:r>
          </w:p>
        </w:tc>
        <w:tc>
          <w:tcPr>
            <w:tcW w:w="0" w:type="dxa"/>
            <w:vAlign w:val="bottom"/>
          </w:tcPr>
          <w:p>
            <w:pPr>
              <w:spacing w:after="0"/>
              <w:rPr>
                <w:sz w:val="1"/>
                <w:szCs w:val="1"/>
                <w:color w:val="auto"/>
              </w:rPr>
            </w:pPr>
          </w:p>
        </w:tc>
      </w:tr>
      <w:tr>
        <w:trPr>
          <w:trHeight w:val="196"/>
        </w:trPr>
        <w:tc>
          <w:tcPr>
            <w:tcW w:w="294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buy)</w:t>
            </w:r>
          </w:p>
        </w:tc>
        <w:tc>
          <w:tcPr>
            <w:tcW w:w="980" w:type="dxa"/>
            <w:vAlign w:val="bottom"/>
            <w:vMerge w:val="continue"/>
          </w:tcPr>
          <w:p>
            <w:pPr>
              <w:spacing w:after="0"/>
              <w:rPr>
                <w:sz w:val="17"/>
                <w:szCs w:val="17"/>
                <w:color w:val="auto"/>
              </w:rPr>
            </w:pPr>
          </w:p>
        </w:tc>
        <w:tc>
          <w:tcPr>
            <w:tcW w:w="900" w:type="dxa"/>
            <w:vAlign w:val="bottom"/>
            <w:vMerge w:val="continue"/>
          </w:tcPr>
          <w:p>
            <w:pPr>
              <w:spacing w:after="0"/>
              <w:rPr>
                <w:sz w:val="17"/>
                <w:szCs w:val="17"/>
                <w:color w:val="auto"/>
              </w:rPr>
            </w:pPr>
          </w:p>
        </w:tc>
        <w:tc>
          <w:tcPr>
            <w:tcW w:w="1700" w:type="dxa"/>
            <w:vAlign w:val="bottom"/>
            <w:vMerge w:val="continue"/>
          </w:tcPr>
          <w:p>
            <w:pPr>
              <w:spacing w:after="0"/>
              <w:rPr>
                <w:sz w:val="17"/>
                <w:szCs w:val="17"/>
                <w:color w:val="auto"/>
              </w:rPr>
            </w:pPr>
          </w:p>
        </w:tc>
        <w:tc>
          <w:tcPr>
            <w:tcW w:w="1020" w:type="dxa"/>
            <w:vAlign w:val="bottom"/>
            <w:vMerge w:val="continue"/>
          </w:tcPr>
          <w:p>
            <w:pPr>
              <w:spacing w:after="0"/>
              <w:rPr>
                <w:sz w:val="17"/>
                <w:szCs w:val="17"/>
                <w:color w:val="auto"/>
              </w:rPr>
            </w:pPr>
          </w:p>
        </w:tc>
        <w:tc>
          <w:tcPr>
            <w:tcW w:w="980" w:type="dxa"/>
            <w:vAlign w:val="bottom"/>
            <w:vMerge w:val="continue"/>
          </w:tcPr>
          <w:p>
            <w:pPr>
              <w:spacing w:after="0"/>
              <w:rPr>
                <w:sz w:val="17"/>
                <w:szCs w:val="17"/>
                <w:color w:val="auto"/>
              </w:rPr>
            </w:pPr>
          </w:p>
        </w:tc>
        <w:tc>
          <w:tcPr>
            <w:tcW w:w="940" w:type="dxa"/>
            <w:vAlign w:val="bottom"/>
            <w:vMerge w:val="continue"/>
          </w:tcPr>
          <w:p>
            <w:pPr>
              <w:spacing w:after="0"/>
              <w:rPr>
                <w:sz w:val="17"/>
                <w:szCs w:val="17"/>
                <w:color w:val="auto"/>
              </w:rPr>
            </w:pPr>
          </w:p>
        </w:tc>
        <w:tc>
          <w:tcPr>
            <w:tcW w:w="14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58"/>
        </w:trPr>
        <w:tc>
          <w:tcPr>
            <w:tcW w:w="2940" w:type="dxa"/>
            <w:vAlign w:val="bottom"/>
            <w:vMerge w:val="continue"/>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700" w:type="dxa"/>
            <w:vAlign w:val="bottom"/>
          </w:tcPr>
          <w:p>
            <w:pPr>
              <w:spacing w:after="0"/>
              <w:rPr>
                <w:sz w:val="5"/>
                <w:szCs w:val="5"/>
                <w:color w:val="auto"/>
              </w:rPr>
            </w:pPr>
          </w:p>
        </w:tc>
        <w:tc>
          <w:tcPr>
            <w:tcW w:w="1020" w:type="dxa"/>
            <w:vAlign w:val="bottom"/>
          </w:tcPr>
          <w:p>
            <w:pPr>
              <w:spacing w:after="0"/>
              <w:rPr>
                <w:sz w:val="5"/>
                <w:szCs w:val="5"/>
                <w:color w:val="auto"/>
              </w:rPr>
            </w:pPr>
          </w:p>
        </w:tc>
        <w:tc>
          <w:tcPr>
            <w:tcW w:w="980" w:type="dxa"/>
            <w:vAlign w:val="bottom"/>
          </w:tcPr>
          <w:p>
            <w:pPr>
              <w:spacing w:after="0"/>
              <w:rPr>
                <w:sz w:val="5"/>
                <w:szCs w:val="5"/>
                <w:color w:val="auto"/>
              </w:rPr>
            </w:pPr>
          </w:p>
        </w:tc>
        <w:tc>
          <w:tcPr>
            <w:tcW w:w="940" w:type="dxa"/>
            <w:vAlign w:val="bottom"/>
          </w:tcPr>
          <w:p>
            <w:pPr>
              <w:spacing w:after="0"/>
              <w:rPr>
                <w:sz w:val="5"/>
                <w:szCs w:val="5"/>
                <w:color w:val="auto"/>
              </w:rPr>
            </w:pPr>
          </w:p>
        </w:tc>
        <w:tc>
          <w:tcPr>
            <w:tcW w:w="14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116"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9" w:lineRule="exact"/>
        <w:rPr>
          <w:sz w:val="24"/>
          <w:szCs w:val="24"/>
          <w:color w:val="auto"/>
        </w:rPr>
      </w:pPr>
    </w:p>
    <w:p>
      <w:pPr>
        <w:ind w:left="200" w:hanging="155"/>
        <w:spacing w:after="0"/>
        <w:tabs>
          <w:tab w:leader="none" w:pos="20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Consists of 1 Ordinary Share and 1,219,674 American Depository Shares ("ADSs") held by Growth Equity Opportunities Fund IV, LLC ("GEO IV"). Each ADS represents eight</w:t>
      </w:r>
    </w:p>
    <w:p>
      <w:pPr>
        <w:spacing w:after="0" w:line="8" w:lineRule="exact"/>
        <w:rPr>
          <w:rFonts w:ascii="Times New Roman" w:cs="Times New Roman" w:eastAsia="Times New Roman" w:hAnsi="Times New Roman"/>
          <w:sz w:val="15"/>
          <w:szCs w:val="15"/>
          <w:color w:val="008000"/>
        </w:rPr>
      </w:pPr>
    </w:p>
    <w:p>
      <w:pPr>
        <w:ind w:left="40"/>
        <w:spacing w:after="0"/>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(8) Ordinary Shares of the Issuer.</w:t>
      </w:r>
    </w:p>
    <w:p>
      <w:pPr>
        <w:spacing w:after="0" w:line="36" w:lineRule="exact"/>
        <w:rPr>
          <w:rFonts w:ascii="Times New Roman" w:cs="Times New Roman" w:eastAsia="Times New Roman" w:hAnsi="Times New Roman"/>
          <w:sz w:val="15"/>
          <w:szCs w:val="15"/>
          <w:color w:val="008000"/>
        </w:rPr>
      </w:pPr>
    </w:p>
    <w:p>
      <w:pPr>
        <w:ind w:left="40" w:right="40" w:firstLine="5"/>
        <w:spacing w:after="0" w:line="239" w:lineRule="auto"/>
        <w:tabs>
          <w:tab w:leader="none" w:pos="19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 Reporting Person is a manager of NEA 15 GP, LLC, which is the sole general partner of NEA Partners 15, L.P. ("NEA Partners 15"). NEA Partners 15 is the sole general partner of New Enterprise Associates 15, L.P. ("NEA 15"). NEA 15 is the sole member of GEO IV, which is the direct beneficial owner of the securities. The Reporting Person disclaims beneficial ownership within the meaning of Section 16 of the Securities Exchange Act of 1934, as amended, or otherwise of such portion of the securities held by GEO IV in which the Reporting Person has no pecuniary interest.</w:t>
      </w:r>
    </w:p>
    <w:p>
      <w:pPr>
        <w:spacing w:after="0" w:line="33" w:lineRule="exact"/>
        <w:rPr>
          <w:rFonts w:ascii="Times New Roman" w:cs="Times New Roman" w:eastAsia="Times New Roman" w:hAnsi="Times New Roman"/>
          <w:sz w:val="15"/>
          <w:szCs w:val="15"/>
          <w:color w:val="008000"/>
        </w:rPr>
      </w:pPr>
    </w:p>
    <w:p>
      <w:pPr>
        <w:ind w:left="200" w:hanging="155"/>
        <w:spacing w:after="0"/>
        <w:tabs>
          <w:tab w:leader="none" w:pos="20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Consists of 3,888,889 ADSs held by Growth Equity Opportunities 17, LLC ("GEO 17"). Each ADS represents eight (8) Ordinary Shares of the Issuer.</w:t>
      </w:r>
    </w:p>
    <w:p>
      <w:pPr>
        <w:spacing w:after="0" w:line="52" w:lineRule="exact"/>
        <w:rPr>
          <w:rFonts w:ascii="Times New Roman" w:cs="Times New Roman" w:eastAsia="Times New Roman" w:hAnsi="Times New Roman"/>
          <w:sz w:val="15"/>
          <w:szCs w:val="15"/>
          <w:color w:val="008000"/>
        </w:rPr>
      </w:pPr>
    </w:p>
    <w:p>
      <w:pPr>
        <w:ind w:left="40" w:right="60" w:firstLine="5"/>
        <w:spacing w:after="0" w:line="239" w:lineRule="auto"/>
        <w:tabs>
          <w:tab w:leader="none" w:pos="19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 Reporting Person is a manager of NEA 17 GP, LLC, which is the sole general partner of NEA Partners 17, L.P. ("NEA Partners 17"). NEA Partners 17 is the sole general partner of New Enterprise Associates 17, L.P. ("NEA 17"). NEA 17 is the sole member of GEO 17, which is the direct beneficial owner of the securities. The Reporting Person disclaims beneficial ownership within the meaning of Section 16 of the Securities Exchange Act of 1934, as amended, or otherwise of such portion of the securities held by GEO 17 in which the Reporting Person has no pecuniary interest.</w:t>
      </w:r>
    </w:p>
    <w:p>
      <w:pPr>
        <w:spacing w:after="0" w:line="33" w:lineRule="exact"/>
        <w:rPr>
          <w:rFonts w:ascii="Times New Roman" w:cs="Times New Roman" w:eastAsia="Times New Roman" w:hAnsi="Times New Roman"/>
          <w:sz w:val="15"/>
          <w:szCs w:val="15"/>
          <w:color w:val="008000"/>
        </w:rPr>
      </w:pPr>
    </w:p>
    <w:p>
      <w:pPr>
        <w:ind w:left="40" w:right="120" w:firstLine="5"/>
        <w:spacing w:after="0" w:line="259" w:lineRule="auto"/>
        <w:tabs>
          <w:tab w:leader="none" w:pos="19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 exercise price of the warrants is GBP 1.7238 per ordinary share. The amount in Column 4 is converted to USD using the exchange rate as of December 23, 2020 as reported by the H.10 statistical release of the Board of Governors of the Federal Reserve System.</w:t>
      </w:r>
    </w:p>
    <w:p>
      <w:pPr>
        <w:spacing w:after="0" w:line="10"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133"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14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0000FF"/>
                <w:w w:val="95"/>
              </w:rPr>
              <w:t>/s/ Sasha Keough,</w:t>
            </w:r>
          </w:p>
        </w:tc>
        <w:tc>
          <w:tcPr>
            <w:tcW w:w="780" w:type="dxa"/>
            <w:vAlign w:val="bottom"/>
          </w:tcPr>
          <w:p>
            <w:pPr>
              <w:spacing w:after="0"/>
              <w:rPr>
                <w:sz w:val="19"/>
                <w:szCs w:val="19"/>
                <w:color w:val="auto"/>
              </w:rPr>
            </w:pPr>
          </w:p>
        </w:tc>
        <w:tc>
          <w:tcPr>
            <w:tcW w:w="90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6"/>
              </w:rPr>
              <w:t>01/04/2021</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2180" w:type="dxa"/>
            <w:vAlign w:val="bottom"/>
            <w:gridSpan w:val="3"/>
            <w:vMerge w:val="restart"/>
          </w:tcPr>
          <w:p>
            <w:pPr>
              <w:spacing w:after="0" w:line="220" w:lineRule="exact"/>
              <w:rPr>
                <w:sz w:val="20"/>
                <w:szCs w:val="20"/>
                <w:color w:val="auto"/>
              </w:rPr>
            </w:pPr>
            <w:r>
              <w:rPr>
                <w:rFonts w:ascii="Times New Roman" w:cs="Times New Roman" w:eastAsia="Times New Roman" w:hAnsi="Times New Roman"/>
                <w:sz w:val="20"/>
                <w:szCs w:val="20"/>
                <w:color w:val="0000FF"/>
              </w:rPr>
              <w:t>attorney-in-fact</w:t>
            </w: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2180" w:type="dxa"/>
            <w:vAlign w:val="bottom"/>
            <w:gridSpan w:val="3"/>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1"/>
        </w:trPr>
        <w:tc>
          <w:tcPr>
            <w:tcW w:w="6540" w:type="dxa"/>
            <w:vAlign w:val="bottom"/>
          </w:tcPr>
          <w:p>
            <w:pPr>
              <w:spacing w:after="0"/>
              <w:rPr>
                <w:sz w:val="20"/>
                <w:szCs w:val="20"/>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12"/>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3" w:lineRule="exact"/>
        <w:rPr>
          <w:sz w:val="24"/>
          <w:szCs w:val="24"/>
          <w:color w:val="auto"/>
        </w:rPr>
      </w:pPr>
    </w:p>
    <w:p>
      <w:pPr>
        <w:jc w:val="both"/>
        <w:ind w:left="40" w:right="2240" w:firstLine="5"/>
        <w:spacing w:after="0" w:line="334" w:lineRule="auto"/>
        <w:tabs>
          <w:tab w:leader="none" w:pos="199" w:val="left"/>
        </w:tabs>
        <w:numPr>
          <w:ilvl w:val="0"/>
          <w:numId w:val="5"/>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8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940"/>
      </w:cols>
      <w:pgMar w:left="480" w:top="230" w:right="479" w:bottom="455"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0" Type="http://schemas.openxmlformats.org/officeDocument/2006/relationships/hyperlink" Target="http://www.sec.gov/cgi-bin/browse-edgar?action=getcompany&amp;CIK=0001630226" TargetMode="External"/><Relationship Id="rId11" Type="http://schemas.openxmlformats.org/officeDocument/2006/relationships/hyperlink" Target="http://www.sec.gov/cgi-bin/browse-edgar?action=getcompany&amp;CIK=000165731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2021-01-04T19:45:43Z</dcterms:created>
  <dcterms:modified xsi:type="dcterms:W3CDTF">2021-01-04T19:45:43Z</dcterms:modified>
</cp:coreProperties>
</file>