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May 9,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715" w:right="339" w:bottom="1440" w:gutter="0" w:footer="0" w:header="0"/>
        </w:sectPr>
      </w:pPr>
    </w:p>
    <w:p>
      <w:pPr>
        <w:spacing w:after="0" w:line="205"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98-1489389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7120" w:space="720"/>
            <w:col w:w="3400"/>
          </w:cols>
          <w:pgMar w:left="320" w:top="71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(Zip Code)</w:t>
      </w:r>
    </w:p>
    <w:p>
      <w:pPr>
        <w:sectPr>
          <w:pgSz w:w="11900" w:h="16838" w:orient="portrait"/>
          <w:cols w:equalWidth="0" w:num="1">
            <w:col w:w="11240"/>
          </w:cols>
          <w:pgMar w:left="320" w:top="715"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Verona Pharma plc Second Amended and Restated 2017 Incentive Award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Cogency Global Inc.</w:t>
      </w:r>
    </w:p>
    <w:p>
      <w:pPr>
        <w:ind w:left="4420"/>
        <w:spacing w:after="0" w:line="205" w:lineRule="auto"/>
        <w:rPr>
          <w:sz w:val="20"/>
          <w:szCs w:val="20"/>
          <w:color w:val="auto"/>
        </w:rPr>
      </w:pPr>
      <w:r>
        <w:rPr>
          <w:rFonts w:ascii="Arial" w:cs="Arial" w:eastAsia="Arial" w:hAnsi="Arial"/>
          <w:sz w:val="18"/>
          <w:szCs w:val="18"/>
          <w:b w:val="1"/>
          <w:bCs w:val="1"/>
          <w:color w:val="auto"/>
        </w:rPr>
        <w:t>122 East 42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11"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4800" w:type="dxa"/>
            <w:vAlign w:val="bottom"/>
          </w:tcPr>
          <w:p>
            <w:pPr>
              <w:ind w:left="68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2880" w:type="dxa"/>
            <w:vAlign w:val="bottom"/>
          </w:tcPr>
          <w:p>
            <w:pPr>
              <w:jc w:val="center"/>
              <w:ind w:right="570"/>
              <w:spacing w:after="0"/>
              <w:rPr>
                <w:sz w:val="20"/>
                <w:szCs w:val="20"/>
                <w:color w:val="auto"/>
              </w:rPr>
            </w:pPr>
            <w:r>
              <w:rPr>
                <w:rFonts w:ascii="Arial" w:cs="Arial" w:eastAsia="Arial" w:hAnsi="Arial"/>
                <w:sz w:val="18"/>
                <w:szCs w:val="18"/>
                <w:b w:val="1"/>
                <w:bCs w:val="1"/>
                <w:color w:val="auto"/>
                <w:w w:val="92"/>
              </w:rPr>
              <w:t>Peter N. Handrinos</w:t>
            </w:r>
          </w:p>
        </w:tc>
        <w:tc>
          <w:tcPr>
            <w:tcW w:w="4800" w:type="dxa"/>
            <w:vAlign w:val="bottom"/>
          </w:tcPr>
          <w:p>
            <w:pPr>
              <w:jc w:val="center"/>
              <w:ind w:left="2810"/>
              <w:spacing w:after="0"/>
              <w:rPr>
                <w:sz w:val="20"/>
                <w:szCs w:val="20"/>
                <w:color w:val="auto"/>
              </w:rPr>
            </w:pPr>
            <w:r>
              <w:rPr>
                <w:rFonts w:ascii="Arial" w:cs="Arial" w:eastAsia="Arial" w:hAnsi="Arial"/>
                <w:sz w:val="18"/>
                <w:szCs w:val="18"/>
                <w:b w:val="1"/>
                <w:bCs w:val="1"/>
                <w:color w:val="auto"/>
                <w:w w:val="86"/>
              </w:rPr>
              <w:t>James Inness</w:t>
            </w:r>
          </w:p>
        </w:tc>
      </w:tr>
      <w:tr>
        <w:trPr>
          <w:trHeight w:val="216"/>
        </w:trPr>
        <w:tc>
          <w:tcPr>
            <w:tcW w:w="2880" w:type="dxa"/>
            <w:vAlign w:val="bottom"/>
          </w:tcPr>
          <w:p>
            <w:pPr>
              <w:jc w:val="center"/>
              <w:ind w:right="550"/>
              <w:spacing w:after="0"/>
              <w:rPr>
                <w:sz w:val="20"/>
                <w:szCs w:val="20"/>
                <w:color w:val="auto"/>
              </w:rPr>
            </w:pPr>
            <w:r>
              <w:rPr>
                <w:rFonts w:ascii="Arial" w:cs="Arial" w:eastAsia="Arial" w:hAnsi="Arial"/>
                <w:sz w:val="18"/>
                <w:szCs w:val="18"/>
                <w:b w:val="1"/>
                <w:bCs w:val="1"/>
                <w:color w:val="auto"/>
                <w:w w:val="96"/>
              </w:rPr>
              <w:t>Latham &amp; Watkins LLP</w:t>
            </w:r>
          </w:p>
        </w:tc>
        <w:tc>
          <w:tcPr>
            <w:tcW w:w="4800" w:type="dxa"/>
            <w:vAlign w:val="bottom"/>
          </w:tcPr>
          <w:p>
            <w:pPr>
              <w:jc w:val="center"/>
              <w:ind w:left="2810"/>
              <w:spacing w:after="0"/>
              <w:rPr>
                <w:sz w:val="20"/>
                <w:szCs w:val="20"/>
                <w:color w:val="auto"/>
              </w:rPr>
            </w:pPr>
            <w:r>
              <w:rPr>
                <w:rFonts w:ascii="Arial" w:cs="Arial" w:eastAsia="Arial" w:hAnsi="Arial"/>
                <w:sz w:val="18"/>
                <w:szCs w:val="18"/>
                <w:b w:val="1"/>
                <w:bCs w:val="1"/>
                <w:color w:val="auto"/>
                <w:w w:val="97"/>
              </w:rPr>
              <w:t>Latham &amp; Watkins LLP</w:t>
            </w:r>
          </w:p>
        </w:tc>
      </w:tr>
      <w:tr>
        <w:trPr>
          <w:trHeight w:val="216"/>
        </w:trPr>
        <w:tc>
          <w:tcPr>
            <w:tcW w:w="28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200 Clarendon Street</w:t>
            </w:r>
          </w:p>
        </w:tc>
        <w:tc>
          <w:tcPr>
            <w:tcW w:w="4800" w:type="dxa"/>
            <w:vAlign w:val="bottom"/>
          </w:tcPr>
          <w:p>
            <w:pPr>
              <w:jc w:val="center"/>
              <w:ind w:left="2810"/>
              <w:spacing w:after="0"/>
              <w:rPr>
                <w:sz w:val="20"/>
                <w:szCs w:val="20"/>
                <w:color w:val="auto"/>
              </w:rPr>
            </w:pPr>
            <w:r>
              <w:rPr>
                <w:rFonts w:ascii="Arial" w:cs="Arial" w:eastAsia="Arial" w:hAnsi="Arial"/>
                <w:sz w:val="18"/>
                <w:szCs w:val="18"/>
                <w:b w:val="1"/>
                <w:bCs w:val="1"/>
                <w:color w:val="auto"/>
                <w:w w:val="85"/>
              </w:rPr>
              <w:t>99 Bishopsgate</w:t>
            </w:r>
          </w:p>
        </w:tc>
      </w:tr>
      <w:tr>
        <w:trPr>
          <w:trHeight w:val="216"/>
        </w:trPr>
        <w:tc>
          <w:tcPr>
            <w:tcW w:w="2880" w:type="dxa"/>
            <w:vAlign w:val="bottom"/>
          </w:tcPr>
          <w:p>
            <w:pPr>
              <w:jc w:val="center"/>
              <w:ind w:right="570"/>
              <w:spacing w:after="0"/>
              <w:rPr>
                <w:sz w:val="20"/>
                <w:szCs w:val="20"/>
                <w:color w:val="auto"/>
              </w:rPr>
            </w:pPr>
            <w:r>
              <w:rPr>
                <w:rFonts w:ascii="Arial" w:cs="Arial" w:eastAsia="Arial" w:hAnsi="Arial"/>
                <w:sz w:val="18"/>
                <w:szCs w:val="18"/>
                <w:b w:val="1"/>
                <w:bCs w:val="1"/>
                <w:color w:val="auto"/>
                <w:w w:val="86"/>
              </w:rPr>
              <w:t>Boston, Massachusetts 02116</w:t>
            </w:r>
          </w:p>
        </w:tc>
        <w:tc>
          <w:tcPr>
            <w:tcW w:w="4800" w:type="dxa"/>
            <w:vAlign w:val="bottom"/>
          </w:tcPr>
          <w:p>
            <w:pPr>
              <w:jc w:val="center"/>
              <w:ind w:left="2810"/>
              <w:spacing w:after="0"/>
              <w:rPr>
                <w:sz w:val="20"/>
                <w:szCs w:val="20"/>
                <w:color w:val="auto"/>
              </w:rPr>
            </w:pPr>
            <w:r>
              <w:rPr>
                <w:rFonts w:ascii="Arial" w:cs="Arial" w:eastAsia="Arial" w:hAnsi="Arial"/>
                <w:sz w:val="18"/>
                <w:szCs w:val="18"/>
                <w:b w:val="1"/>
                <w:bCs w:val="1"/>
                <w:color w:val="auto"/>
                <w:w w:val="96"/>
              </w:rPr>
              <w:t>London EC2M 3XF</w:t>
            </w:r>
          </w:p>
        </w:tc>
      </w:tr>
      <w:tr>
        <w:trPr>
          <w:trHeight w:val="216"/>
        </w:trPr>
        <w:tc>
          <w:tcPr>
            <w:tcW w:w="288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(617) 948-6000</w:t>
            </w:r>
          </w:p>
        </w:tc>
        <w:tc>
          <w:tcPr>
            <w:tcW w:w="4800" w:type="dxa"/>
            <w:vAlign w:val="bottom"/>
          </w:tcPr>
          <w:p>
            <w:pPr>
              <w:jc w:val="center"/>
              <w:ind w:left="2810"/>
              <w:spacing w:after="0"/>
              <w:rPr>
                <w:sz w:val="20"/>
                <w:szCs w:val="20"/>
                <w:color w:val="auto"/>
              </w:rPr>
            </w:pPr>
            <w:r>
              <w:rPr>
                <w:rFonts w:ascii="Arial" w:cs="Arial" w:eastAsia="Arial" w:hAnsi="Arial"/>
                <w:sz w:val="18"/>
                <w:szCs w:val="18"/>
                <w:b w:val="1"/>
                <w:bCs w:val="1"/>
                <w:color w:val="auto"/>
                <w:w w:val="93"/>
              </w:rPr>
              <w:t>United Kingdom</w:t>
            </w:r>
          </w:p>
        </w:tc>
      </w:tr>
      <w:tr>
        <w:trPr>
          <w:trHeight w:val="234"/>
        </w:trPr>
        <w:tc>
          <w:tcPr>
            <w:tcW w:w="2880" w:type="dxa"/>
            <w:vAlign w:val="bottom"/>
          </w:tcPr>
          <w:p>
            <w:pPr>
              <w:spacing w:after="0"/>
              <w:rPr>
                <w:sz w:val="20"/>
                <w:szCs w:val="20"/>
                <w:color w:val="auto"/>
              </w:rPr>
            </w:pPr>
          </w:p>
        </w:tc>
        <w:tc>
          <w:tcPr>
            <w:tcW w:w="4800" w:type="dxa"/>
            <w:vAlign w:val="bottom"/>
          </w:tcPr>
          <w:p>
            <w:pPr>
              <w:jc w:val="center"/>
              <w:ind w:left="2810"/>
              <w:spacing w:after="0"/>
              <w:rPr>
                <w:sz w:val="20"/>
                <w:szCs w:val="20"/>
                <w:color w:val="auto"/>
              </w:rPr>
            </w:pPr>
            <w:r>
              <w:rPr>
                <w:rFonts w:ascii="Arial" w:cs="Arial" w:eastAsia="Arial" w:hAnsi="Arial"/>
                <w:sz w:val="18"/>
                <w:szCs w:val="18"/>
                <w:b w:val="1"/>
                <w:bCs w:val="1"/>
                <w:color w:val="auto"/>
                <w:w w:val="91"/>
              </w:rPr>
              <w:t>+44 20 7710-1000</w:t>
            </w:r>
          </w:p>
        </w:tc>
      </w:tr>
    </w:tbl>
    <w:p>
      <w:pPr>
        <w:spacing w:after="0" w:line="202"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6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32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32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17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480" w:type="dxa"/>
            <w:vAlign w:val="bottom"/>
          </w:tcPr>
          <w:p>
            <w:pPr>
              <w:ind w:left="332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Registration Statement on Form S-8 is being filed for the purpose of registering an additional 24,000,000 ordinary shares, nominal value £0.05 per share, of Verona Pharma plc (the “Registrant”) that may become issuable under the Verona Pharma plc Second Amended and Restated 2017 Incentive Award Plan, as it may be amended or restated from time to time (the “2017 Plan”). The second amendment and restatement of the 2017 Plan was approved at the Registrant’s 2023 Annual General Meeting of Shareholders. A Registration Statement of the Registrant on Form S-8 relating to the 2017 Plan is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 OF CONTENTS OF REGISTRATION STATEMENT ON FORM S-8</w:t>
      </w:r>
    </w:p>
    <w:p>
      <w:pPr>
        <w:spacing w:after="0" w:line="229" w:lineRule="exact"/>
        <w:rPr>
          <w:sz w:val="20"/>
          <w:szCs w:val="20"/>
          <w:color w:val="auto"/>
        </w:rPr>
      </w:pPr>
    </w:p>
    <w:p>
      <w:pPr>
        <w:ind w:right="1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contents of the Registration Statements on Form S-8 (File Nos. </w:t>
      </w:r>
      <w:hyperlink r:id="rId13">
        <w:r>
          <w:rPr>
            <w:rFonts w:ascii="Arial" w:cs="Arial" w:eastAsia="Arial" w:hAnsi="Arial"/>
            <w:sz w:val="18"/>
            <w:szCs w:val="18"/>
            <w:u w:val="single" w:color="auto"/>
            <w:color w:val="0000EE"/>
          </w:rPr>
          <w:t>333-217521</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EE"/>
          </w:rPr>
          <w:t>333-237926</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333-248199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
        <w:r>
          <w:rPr>
            <w:rFonts w:ascii="Arial" w:cs="Arial" w:eastAsia="Arial" w:hAnsi="Arial"/>
            <w:sz w:val="18"/>
            <w:szCs w:val="18"/>
            <w:u w:val="single" w:color="auto"/>
            <w:color w:val="0000EE"/>
          </w:rPr>
          <w:t>333-268389</w:t>
        </w:r>
      </w:hyperlink>
      <w:r>
        <w:rPr>
          <w:rFonts w:ascii="Arial" w:cs="Arial" w:eastAsia="Arial" w:hAnsi="Arial"/>
          <w:sz w:val="18"/>
          <w:szCs w:val="18"/>
          <w:color w:val="auto"/>
        </w:rPr>
        <w:t>), filed with the Securities and Exchange Commission, relating to the 2017 Plan, are incorporated herein by reference.</w:t>
      </w:r>
    </w:p>
    <w:p>
      <w:pPr>
        <w:spacing w:after="0" w:line="166" w:lineRule="exact"/>
        <w:rPr>
          <w:rFonts w:ascii="Arial" w:cs="Arial" w:eastAsia="Arial" w:hAnsi="Arial"/>
          <w:sz w:val="18"/>
          <w:szCs w:val="18"/>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5"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220" w:type="dxa"/>
            <w:vAlign w:val="bottom"/>
            <w:gridSpan w:val="7"/>
          </w:tcPr>
          <w:p>
            <w:pPr>
              <w:ind w:left="540"/>
              <w:spacing w:after="0"/>
              <w:rPr>
                <w:sz w:val="20"/>
                <w:szCs w:val="20"/>
                <w:color w:val="auto"/>
              </w:rPr>
            </w:pPr>
            <w:r>
              <w:rPr>
                <w:rFonts w:ascii="Arial" w:cs="Arial" w:eastAsia="Arial" w:hAnsi="Arial"/>
                <w:sz w:val="18"/>
                <w:szCs w:val="18"/>
                <w:b w:val="1"/>
                <w:bCs w:val="1"/>
                <w:color w:val="auto"/>
              </w:rPr>
              <w:t>Description of Exhibit</w:t>
            </w:r>
          </w:p>
        </w:tc>
      </w:tr>
      <w:tr>
        <w:trPr>
          <w:trHeight w:val="385"/>
        </w:trPr>
        <w:tc>
          <w:tcPr>
            <w:tcW w:w="320" w:type="dxa"/>
            <w:vAlign w:val="bottom"/>
            <w:tcBorders>
              <w:top w:val="single" w:sz="8" w:color="auto"/>
            </w:tcBorders>
            <w:gridSpan w:val="3"/>
          </w:tcPr>
          <w:p>
            <w:pPr>
              <w:ind w:left="20"/>
              <w:spacing w:after="0"/>
              <w:rPr>
                <w:rFonts w:ascii="Arial" w:cs="Arial" w:eastAsia="Arial" w:hAnsi="Arial"/>
                <w:sz w:val="18"/>
                <w:szCs w:val="18"/>
                <w:color w:val="0000EE"/>
              </w:rPr>
            </w:pPr>
            <w:hyperlink r:id="rId1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9"/>
          </w:tcPr>
          <w:p>
            <w:pPr>
              <w:spacing w:after="0"/>
              <w:rPr>
                <w:rFonts w:ascii="Arial" w:cs="Arial" w:eastAsia="Arial" w:hAnsi="Arial"/>
                <w:sz w:val="18"/>
                <w:szCs w:val="18"/>
                <w:color w:val="0000EE"/>
                <w:w w:val="93"/>
              </w:rPr>
            </w:pPr>
            <w:hyperlink r:id="rId17">
              <w:r>
                <w:rPr>
                  <w:rFonts w:ascii="Arial" w:cs="Arial" w:eastAsia="Arial" w:hAnsi="Arial"/>
                  <w:sz w:val="18"/>
                  <w:szCs w:val="18"/>
                  <w:color w:val="0000EE"/>
                  <w:w w:val="93"/>
                </w:rPr>
                <w:t>Articles of Association, as amended and as currently in effect (incorporated by reference to Exhibit 1 to the Registrant’s Report of</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Foreign Private Issuer on Form 6-K (File No. 001-38607) filed on December 30, 2020)</w:t>
              </w:r>
            </w:hyperlink>
          </w:p>
        </w:tc>
        <w:tc>
          <w:tcPr>
            <w:tcW w:w="300" w:type="dxa"/>
            <w:vAlign w:val="bottom"/>
          </w:tcPr>
          <w:p>
            <w:pPr>
              <w:spacing w:after="0"/>
              <w:rPr>
                <w:sz w:val="17"/>
                <w:szCs w:val="17"/>
                <w:color w:val="auto"/>
              </w:rPr>
            </w:pPr>
          </w:p>
        </w:tc>
      </w:tr>
      <w:tr>
        <w:trPr>
          <w:trHeight w:val="412"/>
        </w:trPr>
        <w:tc>
          <w:tcPr>
            <w:tcW w:w="320" w:type="dxa"/>
            <w:vAlign w:val="bottom"/>
            <w:gridSpan w:val="3"/>
          </w:tcPr>
          <w:p>
            <w:pPr>
              <w:ind w:left="20"/>
              <w:spacing w:after="0"/>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Opinion of Latham &amp; Watkins LLP, counsel of the Registrant</w:t>
            </w:r>
          </w:p>
        </w:tc>
        <w:tc>
          <w:tcPr>
            <w:tcW w:w="3380" w:type="dxa"/>
            <w:vAlign w:val="bottom"/>
            <w:gridSpan w:val="4"/>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420" w:type="dxa"/>
            <w:vAlign w:val="bottom"/>
            <w:gridSpan w:val="4"/>
          </w:tcPr>
          <w:p>
            <w:pPr>
              <w:ind w:left="20"/>
              <w:spacing w:after="0"/>
              <w:rPr>
                <w:sz w:val="20"/>
                <w:szCs w:val="20"/>
                <w:color w:val="auto"/>
              </w:rPr>
            </w:pPr>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0000EE"/>
              </w:rPr>
              <w:t>Consent of PricewaterhouseCoopers LLP, independent registered public accounting firm</w:t>
            </w:r>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8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420" w:type="dxa"/>
            <w:vAlign w:val="bottom"/>
            <w:gridSpan w:val="4"/>
          </w:tcPr>
          <w:p>
            <w:pPr>
              <w:ind w:left="20"/>
              <w:spacing w:after="0"/>
              <w:rPr>
                <w:sz w:val="20"/>
                <w:szCs w:val="20"/>
                <w:color w:val="auto"/>
              </w:rPr>
            </w:pPr>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2*</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0000EE"/>
              </w:rPr>
              <w:t>Consent of Latham &amp; Watkins LLP, counsel of the Registrant (included in Exhibit 5.1)</w:t>
            </w:r>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800" w:type="dxa"/>
            <w:vAlign w:val="bottom"/>
            <w:tcBorders>
              <w:right w:val="single" w:sz="8" w:color="0000EE"/>
            </w:tcBorders>
            <w:gridSpan w:val="2"/>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420" w:type="dxa"/>
            <w:vAlign w:val="bottom"/>
            <w:gridSpan w:val="4"/>
          </w:tcPr>
          <w:p>
            <w:pPr>
              <w:ind w:left="20"/>
              <w:spacing w:after="0"/>
              <w:rPr>
                <w:sz w:val="20"/>
                <w:szCs w:val="20"/>
                <w:color w:val="auto"/>
              </w:rPr>
            </w:pPr>
            <w:r>
              <w:rPr>
                <w:rFonts w:ascii="Arial" w:cs="Arial" w:eastAsia="Arial" w:hAnsi="Arial"/>
                <w:sz w:val="18"/>
                <w:szCs w:val="18"/>
                <w:color w:val="0000EE"/>
                <w:w w:val="90"/>
              </w:rPr>
              <w:t>24.</w:t>
            </w:r>
            <w:r>
              <w:rPr>
                <w:rFonts w:ascii="Arial" w:cs="Arial" w:eastAsia="Arial" w:hAnsi="Arial"/>
                <w:sz w:val="18"/>
                <w:szCs w:val="18"/>
                <w:u w:val="single" w:color="auto"/>
                <w:color w:val="0000EE"/>
                <w:w w:val="90"/>
              </w:rPr>
              <w:t>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0000EE"/>
              </w:rPr>
              <w:t>Power of Attorney (included on signature page)</w:t>
            </w:r>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320" w:type="dxa"/>
            <w:vAlign w:val="bottom"/>
            <w:gridSpan w:val="3"/>
          </w:tcPr>
          <w:p>
            <w:pPr>
              <w:ind w:left="20"/>
              <w:spacing w:after="0"/>
              <w:rPr>
                <w:rFonts w:ascii="Arial" w:cs="Arial" w:eastAsia="Arial" w:hAnsi="Arial"/>
                <w:sz w:val="18"/>
                <w:szCs w:val="18"/>
                <w:color w:val="0000EE"/>
                <w:w w:val="79"/>
              </w:rPr>
            </w:pPr>
            <w:hyperlink r:id="rId18">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EE"/>
                <w:w w:val="94"/>
              </w:rPr>
            </w:pPr>
            <w:hyperlink r:id="rId18">
              <w:r>
                <w:rPr>
                  <w:rFonts w:ascii="Arial" w:cs="Arial" w:eastAsia="Arial" w:hAnsi="Arial"/>
                  <w:sz w:val="18"/>
                  <w:szCs w:val="18"/>
                  <w:color w:val="0000EE"/>
                  <w:w w:val="94"/>
                </w:rPr>
                <w:t>Verona Pharma plc Second Amended and Restated 2017 Incentive Award Plan (incorporated by reference to Exhibit 10.1 to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Registrant’s Current Report on Form 8-K (File No. 001-38067) filed on May 1, 2023)</w:t>
              </w:r>
            </w:hyperlink>
          </w:p>
        </w:tc>
        <w:tc>
          <w:tcPr>
            <w:tcW w:w="460" w:type="dxa"/>
            <w:vAlign w:val="bottom"/>
            <w:gridSpan w:val="2"/>
          </w:tcPr>
          <w:p>
            <w:pPr>
              <w:spacing w:after="0"/>
              <w:rPr>
                <w:sz w:val="17"/>
                <w:szCs w:val="17"/>
                <w:color w:val="auto"/>
              </w:rPr>
            </w:pPr>
          </w:p>
        </w:tc>
      </w:tr>
      <w:tr>
        <w:trPr>
          <w:trHeight w:val="412"/>
        </w:trPr>
        <w:tc>
          <w:tcPr>
            <w:tcW w:w="500" w:type="dxa"/>
            <w:vAlign w:val="bottom"/>
            <w:gridSpan w:val="5"/>
          </w:tcPr>
          <w:p>
            <w:pPr>
              <w:ind w:left="20"/>
              <w:spacing w:after="0"/>
              <w:rPr>
                <w:sz w:val="20"/>
                <w:szCs w:val="20"/>
                <w:color w:val="auto"/>
              </w:rPr>
            </w:pPr>
            <w:r>
              <w:rPr>
                <w:rFonts w:ascii="Arial" w:cs="Arial" w:eastAsia="Arial" w:hAnsi="Arial"/>
                <w:sz w:val="18"/>
                <w:szCs w:val="18"/>
                <w:color w:val="0000EE"/>
                <w:w w:val="88"/>
              </w:rPr>
              <w:t>107.</w:t>
            </w:r>
            <w:r>
              <w:rPr>
                <w:rFonts w:ascii="Arial" w:cs="Arial" w:eastAsia="Arial" w:hAnsi="Arial"/>
                <w:sz w:val="18"/>
                <w:szCs w:val="18"/>
                <w:u w:val="single" w:color="auto"/>
                <w:color w:val="0000EE"/>
                <w:w w:val="88"/>
              </w:rPr>
              <w:t>1*</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Filing Fee Table</w:t>
            </w:r>
          </w:p>
        </w:tc>
        <w:tc>
          <w:tcPr>
            <w:tcW w:w="3420" w:type="dxa"/>
            <w:vAlign w:val="bottom"/>
            <w:gridSpan w:val="5"/>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560" w:type="dxa"/>
            <w:vAlign w:val="bottom"/>
            <w:gridSpan w:val="6"/>
          </w:tcPr>
          <w:p>
            <w:pPr>
              <w:jc w:val="center"/>
              <w:ind w:right="300"/>
              <w:spacing w:after="0"/>
              <w:rPr>
                <w:sz w:val="20"/>
                <w:szCs w:val="20"/>
                <w:color w:val="auto"/>
              </w:rPr>
            </w:pPr>
            <w:r>
              <w:rPr>
                <w:rFonts w:ascii="Arial" w:cs="Arial" w:eastAsia="Arial" w:hAnsi="Arial"/>
                <w:sz w:val="18"/>
                <w:szCs w:val="18"/>
                <w:color w:val="auto"/>
                <w:w w:val="97"/>
              </w:rPr>
              <w:t>*  Filed herewith</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this 9th day of May, 2023.</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Zaccardelli, Pharm.D.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W. Hahn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the undersigned officers and directors of Verona Pharma plc, hereby severally constitute and appoint David Zaccardelli and Mark W. Hahn,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40" w:type="dxa"/>
            <w:vAlign w:val="bottom"/>
          </w:tcPr>
          <w:p>
            <w:pPr>
              <w:spacing w:after="0"/>
              <w:rPr>
                <w:sz w:val="20"/>
                <w:szCs w:val="20"/>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11"/>
        </w:trPr>
        <w:tc>
          <w:tcPr>
            <w:tcW w:w="3940" w:type="dxa"/>
            <w:vAlign w:val="bottom"/>
            <w:vMerge w:val="restart"/>
          </w:tcPr>
          <w:p>
            <w:pPr>
              <w:jc w:val="center"/>
              <w:spacing w:after="0"/>
              <w:rPr>
                <w:sz w:val="20"/>
                <w:szCs w:val="20"/>
                <w:color w:val="auto"/>
              </w:rPr>
            </w:pPr>
            <w:r>
              <w:rPr>
                <w:rFonts w:ascii="Arial" w:cs="Arial" w:eastAsia="Arial" w:hAnsi="Arial"/>
                <w:sz w:val="18"/>
                <w:szCs w:val="18"/>
                <w:color w:val="auto"/>
                <w:w w:val="91"/>
              </w:rPr>
              <w:t>/s/ David Zaccardelli, Pharm.D.</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David Zaccardelli, Pharm.D.</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3940" w:type="dxa"/>
            <w:vAlign w:val="bottom"/>
            <w:vMerge w:val="restart"/>
          </w:tcPr>
          <w:p>
            <w:pPr>
              <w:jc w:val="center"/>
              <w:spacing w:after="0"/>
              <w:rPr>
                <w:sz w:val="20"/>
                <w:szCs w:val="20"/>
                <w:color w:val="auto"/>
              </w:rPr>
            </w:pPr>
            <w:r>
              <w:rPr>
                <w:rFonts w:ascii="Arial" w:cs="Arial" w:eastAsia="Arial" w:hAnsi="Arial"/>
                <w:sz w:val="18"/>
                <w:szCs w:val="18"/>
                <w:color w:val="auto"/>
                <w:w w:val="92"/>
              </w:rPr>
              <w:t>/s/ Mark W. Hahn</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Mark W. Hahn</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Ebsworth, Ph.D.</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Chairperson of the Board of Directors</w:t>
            </w:r>
          </w:p>
        </w:tc>
        <w:tc>
          <w:tcPr>
            <w:tcW w:w="1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David Ebsworth, Ph.D.</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Brady</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7"/>
              </w:rPr>
              <w:t>James Brady</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Ken Cunningham, M.D.</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4"/>
              </w:rPr>
              <w:t>Ken Cunningham, M.D.</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Lisa Deschamps</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Lisa Deschamps</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Martin Edwards, M.D.</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4"/>
              </w:rPr>
              <w:t>Martin Edwards, M.D.</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Rishi Gupta</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Rishi Gupta</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Mahendra Shah, Ph.D.</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Mahendra Shah, Ph.D.</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Vikas Sinha</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Vikas Sinha</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Anders Ullman, M.D., Ph.D.</w:t>
            </w:r>
          </w:p>
        </w:tc>
        <w:tc>
          <w:tcPr>
            <w:tcW w:w="14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May 9,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4"/>
              </w:rPr>
              <w:t>Anders Ullman, M.D., Ph.D.</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244" w:gutter="0" w:footer="0" w:header="0"/>
        </w:sectPr>
      </w:pPr>
    </w:p>
    <w:bookmarkStart w:id="3" w:name="page4"/>
    <w:bookmarkEnd w:id="3"/>
    <w:p>
      <w:pPr>
        <w:ind w:left="252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Pursuant to the requirements of the Securities Act of 1933, the undersigned, the duly authorized representative in the United States of Verona Pharma plc, has signed this Registration Statement on Form S-8, in the City of New York, State of New York, on May 9, 2023.</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Representative in the United States)</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4" w:right="7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5.1</w:t>
      </w:r>
    </w:p>
    <w:p>
      <w:pPr>
        <w:spacing w:after="0" w:line="24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99 Bishopsgate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London EC2M 3XF</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Tel: +44(0)20.7710.1000 Fax: +44(0)20.7374.4460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23710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237105" cy="240030"/>
                    </a:xfrm>
                    <a:prstGeom prst="rect">
                      <a:avLst/>
                    </a:prstGeom>
                    <a:noFill/>
                  </pic:spPr>
                </pic:pic>
              </a:graphicData>
            </a:graphic>
          </wp:anchor>
        </w:drawing>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www.lw.com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5840" w:type="dxa"/>
            <w:vAlign w:val="bottom"/>
            <w:gridSpan w:val="2"/>
          </w:tcPr>
          <w:p>
            <w:pPr>
              <w:ind w:left="3220"/>
              <w:spacing w:after="0"/>
              <w:rPr>
                <w:sz w:val="20"/>
                <w:szCs w:val="20"/>
                <w:color w:val="auto"/>
              </w:rPr>
            </w:pPr>
            <w:r>
              <w:rPr>
                <w:rFonts w:ascii="Arial" w:cs="Arial" w:eastAsia="Arial" w:hAnsi="Arial"/>
                <w:sz w:val="18"/>
                <w:szCs w:val="18"/>
                <w:color w:val="auto"/>
              </w:rPr>
              <w:t>FIRM / AFFILIATE OFFICES</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Austin</w:t>
            </w:r>
          </w:p>
        </w:tc>
        <w:tc>
          <w:tcPr>
            <w:tcW w:w="1480" w:type="dxa"/>
            <w:vAlign w:val="bottom"/>
          </w:tcPr>
          <w:p>
            <w:pPr>
              <w:ind w:left="200"/>
              <w:spacing w:after="0"/>
              <w:rPr>
                <w:sz w:val="20"/>
                <w:szCs w:val="20"/>
                <w:color w:val="auto"/>
              </w:rPr>
            </w:pPr>
            <w:r>
              <w:rPr>
                <w:rFonts w:ascii="Arial" w:cs="Arial" w:eastAsia="Arial" w:hAnsi="Arial"/>
                <w:sz w:val="18"/>
                <w:szCs w:val="18"/>
                <w:color w:val="auto"/>
              </w:rPr>
              <w:t>Milan</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Beijing</w:t>
            </w:r>
          </w:p>
        </w:tc>
        <w:tc>
          <w:tcPr>
            <w:tcW w:w="1480" w:type="dxa"/>
            <w:vAlign w:val="bottom"/>
          </w:tcPr>
          <w:p>
            <w:pPr>
              <w:ind w:left="200"/>
              <w:spacing w:after="0"/>
              <w:rPr>
                <w:sz w:val="20"/>
                <w:szCs w:val="20"/>
                <w:color w:val="auto"/>
              </w:rPr>
            </w:pPr>
            <w:r>
              <w:rPr>
                <w:rFonts w:ascii="Arial" w:cs="Arial" w:eastAsia="Arial" w:hAnsi="Arial"/>
                <w:sz w:val="18"/>
                <w:szCs w:val="18"/>
                <w:color w:val="auto"/>
              </w:rPr>
              <w:t>Munich</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Boston</w:t>
            </w:r>
          </w:p>
        </w:tc>
        <w:tc>
          <w:tcPr>
            <w:tcW w:w="1480" w:type="dxa"/>
            <w:vAlign w:val="bottom"/>
          </w:tcPr>
          <w:p>
            <w:pPr>
              <w:ind w:left="200"/>
              <w:spacing w:after="0"/>
              <w:rPr>
                <w:sz w:val="20"/>
                <w:szCs w:val="20"/>
                <w:color w:val="auto"/>
              </w:rPr>
            </w:pPr>
            <w:r>
              <w:rPr>
                <w:rFonts w:ascii="Arial" w:cs="Arial" w:eastAsia="Arial" w:hAnsi="Arial"/>
                <w:sz w:val="18"/>
                <w:szCs w:val="18"/>
                <w:color w:val="auto"/>
              </w:rPr>
              <w:t>New York</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Brussels</w:t>
            </w:r>
          </w:p>
        </w:tc>
        <w:tc>
          <w:tcPr>
            <w:tcW w:w="1480" w:type="dxa"/>
            <w:vAlign w:val="bottom"/>
          </w:tcPr>
          <w:p>
            <w:pPr>
              <w:ind w:left="200"/>
              <w:spacing w:after="0"/>
              <w:rPr>
                <w:sz w:val="20"/>
                <w:szCs w:val="20"/>
                <w:color w:val="auto"/>
              </w:rPr>
            </w:pPr>
            <w:r>
              <w:rPr>
                <w:rFonts w:ascii="Arial" w:cs="Arial" w:eastAsia="Arial" w:hAnsi="Arial"/>
                <w:sz w:val="18"/>
                <w:szCs w:val="18"/>
                <w:color w:val="auto"/>
              </w:rPr>
              <w:t>Orange County</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Century City</w:t>
            </w:r>
          </w:p>
        </w:tc>
        <w:tc>
          <w:tcPr>
            <w:tcW w:w="1480" w:type="dxa"/>
            <w:vAlign w:val="bottom"/>
          </w:tcPr>
          <w:p>
            <w:pPr>
              <w:ind w:left="200"/>
              <w:spacing w:after="0"/>
              <w:rPr>
                <w:sz w:val="20"/>
                <w:szCs w:val="20"/>
                <w:color w:val="auto"/>
              </w:rPr>
            </w:pPr>
            <w:r>
              <w:rPr>
                <w:rFonts w:ascii="Arial" w:cs="Arial" w:eastAsia="Arial" w:hAnsi="Arial"/>
                <w:sz w:val="18"/>
                <w:szCs w:val="18"/>
                <w:color w:val="auto"/>
              </w:rPr>
              <w:t>Paris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9 May 2023</w:t>
            </w:r>
          </w:p>
        </w:tc>
        <w:tc>
          <w:tcPr>
            <w:tcW w:w="4360" w:type="dxa"/>
            <w:vAlign w:val="bottom"/>
          </w:tcPr>
          <w:p>
            <w:pPr>
              <w:ind w:left="3220"/>
              <w:spacing w:after="0"/>
              <w:rPr>
                <w:sz w:val="20"/>
                <w:szCs w:val="20"/>
                <w:color w:val="auto"/>
              </w:rPr>
            </w:pPr>
            <w:r>
              <w:rPr>
                <w:rFonts w:ascii="Arial" w:cs="Arial" w:eastAsia="Arial" w:hAnsi="Arial"/>
                <w:sz w:val="18"/>
                <w:szCs w:val="18"/>
                <w:color w:val="auto"/>
              </w:rPr>
              <w:t>Chicago</w:t>
            </w:r>
          </w:p>
        </w:tc>
        <w:tc>
          <w:tcPr>
            <w:tcW w:w="1480" w:type="dxa"/>
            <w:vAlign w:val="bottom"/>
          </w:tcPr>
          <w:p>
            <w:pPr>
              <w:ind w:left="200"/>
              <w:spacing w:after="0"/>
              <w:rPr>
                <w:sz w:val="20"/>
                <w:szCs w:val="20"/>
                <w:color w:val="auto"/>
              </w:rPr>
            </w:pPr>
            <w:r>
              <w:rPr>
                <w:rFonts w:ascii="Arial" w:cs="Arial" w:eastAsia="Arial" w:hAnsi="Arial"/>
                <w:sz w:val="18"/>
                <w:szCs w:val="18"/>
                <w:color w:val="auto"/>
              </w:rPr>
              <w:t>Riyadh*</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Dubai</w:t>
            </w:r>
          </w:p>
        </w:tc>
        <w:tc>
          <w:tcPr>
            <w:tcW w:w="1480" w:type="dxa"/>
            <w:vAlign w:val="bottom"/>
          </w:tcPr>
          <w:p>
            <w:pPr>
              <w:ind w:left="200"/>
              <w:spacing w:after="0"/>
              <w:rPr>
                <w:sz w:val="20"/>
                <w:szCs w:val="20"/>
                <w:color w:val="auto"/>
              </w:rPr>
            </w:pPr>
            <w:r>
              <w:rPr>
                <w:rFonts w:ascii="Arial" w:cs="Arial" w:eastAsia="Arial" w:hAnsi="Arial"/>
                <w:sz w:val="18"/>
                <w:szCs w:val="18"/>
                <w:color w:val="auto"/>
              </w:rPr>
              <w:t>San Diego</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Düsseldorf</w:t>
            </w:r>
          </w:p>
        </w:tc>
        <w:tc>
          <w:tcPr>
            <w:tcW w:w="1480" w:type="dxa"/>
            <w:vAlign w:val="bottom"/>
          </w:tcPr>
          <w:p>
            <w:pPr>
              <w:ind w:left="200"/>
              <w:spacing w:after="0"/>
              <w:rPr>
                <w:sz w:val="20"/>
                <w:szCs w:val="20"/>
                <w:color w:val="auto"/>
              </w:rPr>
            </w:pPr>
            <w:r>
              <w:rPr>
                <w:rFonts w:ascii="Arial" w:cs="Arial" w:eastAsia="Arial" w:hAnsi="Arial"/>
                <w:sz w:val="18"/>
                <w:szCs w:val="18"/>
                <w:color w:val="auto"/>
              </w:rPr>
              <w:t>San Francisco</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Frankfurt</w:t>
            </w:r>
          </w:p>
        </w:tc>
        <w:tc>
          <w:tcPr>
            <w:tcW w:w="1480" w:type="dxa"/>
            <w:vAlign w:val="bottom"/>
          </w:tcPr>
          <w:p>
            <w:pPr>
              <w:ind w:left="200"/>
              <w:spacing w:after="0"/>
              <w:rPr>
                <w:sz w:val="20"/>
                <w:szCs w:val="20"/>
                <w:color w:val="auto"/>
              </w:rPr>
            </w:pPr>
            <w:r>
              <w:rPr>
                <w:rFonts w:ascii="Arial" w:cs="Arial" w:eastAsia="Arial" w:hAnsi="Arial"/>
                <w:sz w:val="18"/>
                <w:szCs w:val="18"/>
                <w:color w:val="auto"/>
              </w:rPr>
              <w:t>Seoul</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Hamburg</w:t>
            </w:r>
          </w:p>
        </w:tc>
        <w:tc>
          <w:tcPr>
            <w:tcW w:w="1480" w:type="dxa"/>
            <w:vAlign w:val="bottom"/>
          </w:tcPr>
          <w:p>
            <w:pPr>
              <w:ind w:left="200"/>
              <w:spacing w:after="0"/>
              <w:rPr>
                <w:sz w:val="20"/>
                <w:szCs w:val="20"/>
                <w:color w:val="auto"/>
              </w:rPr>
            </w:pPr>
            <w:r>
              <w:rPr>
                <w:rFonts w:ascii="Arial" w:cs="Arial" w:eastAsia="Arial" w:hAnsi="Arial"/>
                <w:sz w:val="18"/>
                <w:szCs w:val="18"/>
                <w:color w:val="auto"/>
              </w:rPr>
              <w:t>Shanghai</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Hong Kong</w:t>
            </w:r>
          </w:p>
        </w:tc>
        <w:tc>
          <w:tcPr>
            <w:tcW w:w="1480" w:type="dxa"/>
            <w:vAlign w:val="bottom"/>
          </w:tcPr>
          <w:p>
            <w:pPr>
              <w:ind w:left="200"/>
              <w:spacing w:after="0"/>
              <w:rPr>
                <w:sz w:val="20"/>
                <w:szCs w:val="20"/>
                <w:color w:val="auto"/>
              </w:rPr>
            </w:pPr>
            <w:r>
              <w:rPr>
                <w:rFonts w:ascii="Arial" w:cs="Arial" w:eastAsia="Arial" w:hAnsi="Arial"/>
                <w:sz w:val="18"/>
                <w:szCs w:val="18"/>
                <w:color w:val="auto"/>
              </w:rPr>
              <w:t>Silicon Valley</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Houston</w:t>
            </w:r>
          </w:p>
        </w:tc>
        <w:tc>
          <w:tcPr>
            <w:tcW w:w="1480" w:type="dxa"/>
            <w:vAlign w:val="bottom"/>
          </w:tcPr>
          <w:p>
            <w:pPr>
              <w:ind w:left="200"/>
              <w:spacing w:after="0"/>
              <w:rPr>
                <w:sz w:val="20"/>
                <w:szCs w:val="20"/>
                <w:color w:val="auto"/>
              </w:rPr>
            </w:pPr>
            <w:r>
              <w:rPr>
                <w:rFonts w:ascii="Arial" w:cs="Arial" w:eastAsia="Arial" w:hAnsi="Arial"/>
                <w:sz w:val="18"/>
                <w:szCs w:val="18"/>
                <w:color w:val="auto"/>
              </w:rPr>
              <w:t>Singapore</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London</w:t>
            </w:r>
          </w:p>
        </w:tc>
        <w:tc>
          <w:tcPr>
            <w:tcW w:w="1480" w:type="dxa"/>
            <w:vAlign w:val="bottom"/>
          </w:tcPr>
          <w:p>
            <w:pPr>
              <w:ind w:left="200"/>
              <w:spacing w:after="0"/>
              <w:rPr>
                <w:sz w:val="20"/>
                <w:szCs w:val="20"/>
                <w:color w:val="auto"/>
              </w:rPr>
            </w:pPr>
            <w:r>
              <w:rPr>
                <w:rFonts w:ascii="Arial" w:cs="Arial" w:eastAsia="Arial" w:hAnsi="Arial"/>
                <w:sz w:val="18"/>
                <w:szCs w:val="18"/>
                <w:color w:val="auto"/>
              </w:rPr>
              <w:t>Tel Aviv</w:t>
            </w:r>
          </w:p>
        </w:tc>
      </w:tr>
      <w:tr>
        <w:trPr>
          <w:trHeight w:val="216"/>
        </w:trPr>
        <w:tc>
          <w:tcPr>
            <w:tcW w:w="4100" w:type="dxa"/>
            <w:vAlign w:val="bottom"/>
          </w:tcPr>
          <w:p>
            <w:pPr>
              <w:spacing w:after="0"/>
              <w:rPr>
                <w:sz w:val="18"/>
                <w:szCs w:val="18"/>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Los Angeles</w:t>
            </w:r>
          </w:p>
        </w:tc>
        <w:tc>
          <w:tcPr>
            <w:tcW w:w="1480" w:type="dxa"/>
            <w:vAlign w:val="bottom"/>
          </w:tcPr>
          <w:p>
            <w:pPr>
              <w:ind w:left="200"/>
              <w:spacing w:after="0"/>
              <w:rPr>
                <w:sz w:val="20"/>
                <w:szCs w:val="20"/>
                <w:color w:val="auto"/>
              </w:rPr>
            </w:pPr>
            <w:r>
              <w:rPr>
                <w:rFonts w:ascii="Arial" w:cs="Arial" w:eastAsia="Arial" w:hAnsi="Arial"/>
                <w:sz w:val="18"/>
                <w:szCs w:val="18"/>
                <w:color w:val="auto"/>
              </w:rPr>
              <w:t>Tokyo</w:t>
            </w:r>
          </w:p>
        </w:tc>
      </w:tr>
      <w:tr>
        <w:trPr>
          <w:trHeight w:val="230"/>
        </w:trPr>
        <w:tc>
          <w:tcPr>
            <w:tcW w:w="4100" w:type="dxa"/>
            <w:vAlign w:val="bottom"/>
          </w:tcPr>
          <w:p>
            <w:pPr>
              <w:spacing w:after="0"/>
              <w:rPr>
                <w:sz w:val="20"/>
                <w:szCs w:val="20"/>
                <w:color w:val="auto"/>
              </w:rPr>
            </w:pPr>
          </w:p>
        </w:tc>
        <w:tc>
          <w:tcPr>
            <w:tcW w:w="4360" w:type="dxa"/>
            <w:vAlign w:val="bottom"/>
          </w:tcPr>
          <w:p>
            <w:pPr>
              <w:ind w:left="3220"/>
              <w:spacing w:after="0"/>
              <w:rPr>
                <w:sz w:val="20"/>
                <w:szCs w:val="20"/>
                <w:color w:val="auto"/>
              </w:rPr>
            </w:pPr>
            <w:r>
              <w:rPr>
                <w:rFonts w:ascii="Arial" w:cs="Arial" w:eastAsia="Arial" w:hAnsi="Arial"/>
                <w:sz w:val="18"/>
                <w:szCs w:val="18"/>
                <w:color w:val="auto"/>
              </w:rPr>
              <w:t>Madrid</w:t>
            </w:r>
          </w:p>
        </w:tc>
        <w:tc>
          <w:tcPr>
            <w:tcW w:w="1480" w:type="dxa"/>
            <w:vAlign w:val="bottom"/>
          </w:tcPr>
          <w:p>
            <w:pPr>
              <w:ind w:left="200"/>
              <w:spacing w:after="0"/>
              <w:rPr>
                <w:sz w:val="20"/>
                <w:szCs w:val="20"/>
                <w:color w:val="auto"/>
              </w:rPr>
            </w:pPr>
            <w:r>
              <w:rPr>
                <w:rFonts w:ascii="Arial" w:cs="Arial" w:eastAsia="Arial" w:hAnsi="Arial"/>
                <w:sz w:val="18"/>
                <w:szCs w:val="18"/>
                <w:color w:val="auto"/>
                <w:w w:val="89"/>
              </w:rPr>
              <w:t>Washington, D.C.</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Central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CF10 1FS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Verona Pharma plc – Registration Statement on Form S-8 Exhibit 5.1</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have acted as English legal advisers to Verona Pharma plc, a public limited company incorporated in England and Wales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and filing of the registration statement on Form S-8 to which this opinion letter is attached as an exhibit (such registration statement, as amended, including the documents incorporated by reference therein,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pursuant to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set out in the Registration Statement, it is proposed that up to 24,000,000 ordinary shares of the Company each having a nominal value of £0.05 (the “</w:t>
      </w:r>
      <w:r>
        <w:rPr>
          <w:rFonts w:ascii="Arial" w:cs="Arial" w:eastAsia="Arial" w:hAnsi="Arial"/>
          <w:sz w:val="18"/>
          <w:szCs w:val="18"/>
          <w:b w:val="1"/>
          <w:bCs w:val="1"/>
          <w:color w:val="auto"/>
        </w:rPr>
        <w:t>Shares</w:t>
      </w:r>
      <w:r>
        <w:rPr>
          <w:rFonts w:ascii="Arial" w:cs="Arial" w:eastAsia="Arial" w:hAnsi="Arial"/>
          <w:sz w:val="18"/>
          <w:szCs w:val="18"/>
          <w:color w:val="auto"/>
        </w:rPr>
        <w:t>”) will be issued upon the exercise or settlement of equity awards granted under the Verona Pharma plc Second Amended and Restated 2017 Incentive Award Plan adopted on 14 March 2023 (the “</w:t>
      </w:r>
      <w:r>
        <w:rPr>
          <w:rFonts w:ascii="Arial" w:cs="Arial" w:eastAsia="Arial" w:hAnsi="Arial"/>
          <w:sz w:val="18"/>
          <w:szCs w:val="18"/>
          <w:b w:val="1"/>
          <w:bCs w:val="1"/>
          <w:color w:val="auto"/>
        </w:rPr>
        <w:t>Equity Plan</w:t>
      </w:r>
      <w:r>
        <w:rPr>
          <w:rFonts w:ascii="Arial" w:cs="Arial" w:eastAsia="Arial" w:hAnsi="Arial"/>
          <w:sz w:val="18"/>
          <w:szCs w:val="18"/>
          <w:color w:val="auto"/>
        </w:rPr>
        <w:t>”).</w:t>
      </w:r>
    </w:p>
    <w:p>
      <w:pPr>
        <w:spacing w:after="0" w:line="180"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In connection with the Registration Statement, we have been asked to provide an opinion on certain matters, as set out below. We have taken instruction in this regard solely from the Company.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cooperation with the Law Firm of Salman M. Al-Sudairi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7447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4744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1280" w:hanging="624"/>
        <w:spacing w:after="0" w:line="277"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 and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Legal review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purpose of issuing this letter, we have reviewed only the following documents and conducted only the following enquiries and searches:</w:t>
      </w:r>
    </w:p>
    <w:p>
      <w:pPr>
        <w:spacing w:after="0" w:line="248" w:lineRule="exact"/>
        <w:rPr>
          <w:sz w:val="20"/>
          <w:szCs w:val="20"/>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online search at UK Companies House in respect of the Company conducted on 9 May 2023;</w:t>
      </w:r>
    </w:p>
    <w:p>
      <w:pPr>
        <w:spacing w:after="0" w:line="225" w:lineRule="exact"/>
        <w:rPr>
          <w:rFonts w:ascii="Arial" w:cs="Arial" w:eastAsia="Arial" w:hAnsi="Arial"/>
          <w:sz w:val="18"/>
          <w:szCs w:val="18"/>
          <w:color w:val="auto"/>
        </w:rPr>
      </w:pPr>
    </w:p>
    <w:p>
      <w:pPr>
        <w:ind w:left="1280" w:hanging="624"/>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enquiry at the Central Registry of Winding Up Petitions, London on 9 May 2023 at 10:06 am (London time) ((a) and (b)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copies of the written resolutions of the board of directors of the Company dated 14 November 2022 and 14 March 2023;</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copy of the Verona Pharma 2017 Incentive Award Plan;</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copy of the Equity Plan;</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dated 24 February 2005;</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copy of the certificate of incorporation on change of name of the Company dated 18 September 2006;</w:t>
      </w:r>
    </w:p>
    <w:p>
      <w:pPr>
        <w:spacing w:after="0" w:line="225" w:lineRule="exact"/>
        <w:rPr>
          <w:rFonts w:ascii="Arial" w:cs="Arial" w:eastAsia="Arial" w:hAnsi="Arial"/>
          <w:sz w:val="18"/>
          <w:szCs w:val="18"/>
          <w:color w:val="auto"/>
        </w:rPr>
      </w:pPr>
    </w:p>
    <w:p>
      <w:pPr>
        <w:ind w:left="1280" w:right="20" w:hanging="624"/>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copy of the current articles of association of the Company adopted pursuant to a special resolution of the shareholders passed at the general meeting held on 18 December 2020; and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draft copy of the Registration Statement as at 9 May 2023 and to be filed with the SEC on 9 May 2023.</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shall be construed in accordance with English law, and relate only to English law as applied by the English courts as at today’s date. In particular:</w:t>
      </w:r>
    </w:p>
    <w:p>
      <w:pPr>
        <w:spacing w:after="0" w:line="184" w:lineRule="exact"/>
        <w:rPr>
          <w:sz w:val="20"/>
          <w:szCs w:val="20"/>
          <w:color w:val="auto"/>
        </w:rPr>
      </w:pPr>
    </w:p>
    <w:p>
      <w:pPr>
        <w:ind w:left="1280" w:hanging="624"/>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(including, for the avoidance of doubt, European Union law on and after 1 January 2021), affects any of the opinions stated below; and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7447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4744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opinions given in this letter are given on the basis of each of the assumptions set out in Schedule 1 (</w:t>
      </w:r>
      <w:r>
        <w:rPr>
          <w:rFonts w:ascii="Arial" w:cs="Arial" w:eastAsia="Arial" w:hAnsi="Arial"/>
          <w:sz w:val="16"/>
          <w:szCs w:val="16"/>
          <w:i w:val="1"/>
          <w:iCs w:val="1"/>
          <w:color w:val="auto"/>
        </w:rPr>
        <w:t>Assumptions</w:t>
      </w:r>
      <w:r>
        <w:rPr>
          <w:rFonts w:ascii="Arial" w:cs="Arial" w:eastAsia="Arial" w:hAnsi="Arial"/>
          <w:sz w:val="16"/>
          <w:szCs w:val="16"/>
          <w:color w:val="auto"/>
        </w:rPr>
        <w:t>) and are subject to each of the reservations set out in Schedule 2 (</w:t>
      </w:r>
      <w:r>
        <w:rPr>
          <w:rFonts w:ascii="Arial" w:cs="Arial" w:eastAsia="Arial" w:hAnsi="Arial"/>
          <w:sz w:val="16"/>
          <w:szCs w:val="16"/>
          <w:i w:val="1"/>
          <w:iCs w:val="1"/>
          <w:color w:val="auto"/>
        </w:rPr>
        <w:t>Reservations</w:t>
      </w:r>
      <w:r>
        <w:rPr>
          <w:rFonts w:ascii="Arial" w:cs="Arial" w:eastAsia="Arial" w:hAnsi="Arial"/>
          <w:sz w:val="16"/>
          <w:szCs w:val="16"/>
          <w:color w:val="auto"/>
        </w:rPr>
        <w:t>) to this letter. The opinions given in this letter are strictly limited to the matters stated in paragraph 2 (</w:t>
      </w:r>
      <w:r>
        <w:rPr>
          <w:rFonts w:ascii="Arial" w:cs="Arial" w:eastAsia="Arial" w:hAnsi="Arial"/>
          <w:sz w:val="16"/>
          <w:szCs w:val="16"/>
          <w:i w:val="1"/>
          <w:iCs w:val="1"/>
          <w:color w:val="auto"/>
        </w:rPr>
        <w:t>Opinions</w:t>
      </w:r>
      <w:r>
        <w:rPr>
          <w:rFonts w:ascii="Arial" w:cs="Arial" w:eastAsia="Arial" w:hAnsi="Arial"/>
          <w:sz w:val="16"/>
          <w:szCs w:val="16"/>
          <w:color w:val="auto"/>
        </w:rPr>
        <w:t>) below and do not extend, and should not be read as extending, by implication or otherwise, to any other matters.</w:t>
      </w:r>
    </w:p>
    <w:p>
      <w:pPr>
        <w:spacing w:after="0" w:line="14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and subject further to the following:</w:t>
      </w:r>
    </w:p>
    <w:p>
      <w:pPr>
        <w:spacing w:after="0" w:line="236" w:lineRule="exact"/>
        <w:rPr>
          <w:rFonts w:ascii="Arial" w:cs="Arial" w:eastAsia="Arial" w:hAnsi="Arial"/>
          <w:sz w:val="18"/>
          <w:szCs w:val="18"/>
          <w:b w:val="1"/>
          <w:bCs w:val="1"/>
          <w:color w:val="auto"/>
        </w:rPr>
      </w:pPr>
    </w:p>
    <w:p>
      <w:pPr>
        <w:ind w:left="1280" w:hanging="62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Registration Statement, as finally amended, having become effective under the Securities Act;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shareholders of the Company in a general meeting or within the Company’s articles of association duly and validly having resolved:</w:t>
      </w:r>
    </w:p>
    <w:p>
      <w:pPr>
        <w:spacing w:after="0" w:line="46" w:lineRule="exact"/>
        <w:rPr>
          <w:rFonts w:ascii="Arial" w:cs="Arial" w:eastAsia="Arial" w:hAnsi="Arial"/>
          <w:sz w:val="16"/>
          <w:szCs w:val="16"/>
          <w:color w:val="auto"/>
        </w:rPr>
      </w:pPr>
    </w:p>
    <w:p>
      <w:pPr>
        <w:jc w:val="both"/>
        <w:ind w:left="1280"/>
        <w:spacing w:after="0" w:line="252" w:lineRule="auto"/>
        <w:rPr>
          <w:rFonts w:ascii="Arial" w:cs="Arial" w:eastAsia="Arial" w:hAnsi="Arial"/>
          <w:sz w:val="16"/>
          <w:szCs w:val="16"/>
          <w:color w:val="auto"/>
        </w:rPr>
      </w:pPr>
      <w:r>
        <w:rPr>
          <w:rFonts w:ascii="Arial" w:cs="Arial" w:eastAsia="Arial" w:hAnsi="Arial"/>
          <w:sz w:val="18"/>
          <w:szCs w:val="18"/>
          <w:color w:val="auto"/>
        </w:rPr>
        <w:t>(i) as may be required, as an ordinary resolution, or within the Company’s articles of association, to authorise the board of directors of the Company pursuant to section 551 of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to allot Shares, or to grant rights to subscribe for Shares, pursuant to the Equity Plan;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193" w:lineRule="exact"/>
        <w:rPr>
          <w:rFonts w:ascii="Arial" w:cs="Arial" w:eastAsia="Arial" w:hAnsi="Arial"/>
          <w:sz w:val="16"/>
          <w:szCs w:val="16"/>
          <w:color w:val="auto"/>
        </w:rPr>
      </w:pPr>
    </w:p>
    <w:p>
      <w:pPr>
        <w:ind w:left="1280" w:hanging="62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directors of the Company and the shareholders of the Company having validly approved the Equity Plan;</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directors of the Company having validly granted the awards in respect of the Shares under the Equity Plan;</w:t>
      </w:r>
    </w:p>
    <w:p>
      <w:pPr>
        <w:spacing w:after="0" w:line="225" w:lineRule="exact"/>
        <w:rPr>
          <w:rFonts w:ascii="Arial" w:cs="Arial" w:eastAsia="Arial" w:hAnsi="Arial"/>
          <w:sz w:val="18"/>
          <w:szCs w:val="18"/>
          <w:color w:val="auto"/>
        </w:rPr>
      </w:pPr>
    </w:p>
    <w:p>
      <w:pPr>
        <w:jc w:val="both"/>
        <w:ind w:left="1280" w:hanging="624"/>
        <w:spacing w:after="0" w:line="286" w:lineRule="auto"/>
        <w:tabs>
          <w:tab w:leader="none" w:pos="12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directors of the Company having validly resolved to allot and issue the Shares, or grant rights to subscribe for the Shares, at duly convened and quorate meetings of the board of directors of the Company or by way of duly passed written resolutions of the board of directors of the Company and such resolutions being in full force and effect and not having been rescinded or amended;</w:t>
      </w:r>
    </w:p>
    <w:p>
      <w:pPr>
        <w:spacing w:after="0" w:line="165" w:lineRule="exact"/>
        <w:rPr>
          <w:rFonts w:ascii="Arial" w:cs="Arial" w:eastAsia="Arial" w:hAnsi="Arial"/>
          <w:sz w:val="17"/>
          <w:szCs w:val="17"/>
          <w:color w:val="auto"/>
        </w:rPr>
      </w:pPr>
    </w:p>
    <w:p>
      <w:pPr>
        <w:jc w:val="both"/>
        <w:ind w:left="1280" w:hanging="624"/>
        <w:spacing w:after="0" w:line="257" w:lineRule="auto"/>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Equity Plan are duly authorised by all necessary corporate action (as described in (d) above) and duly granted or awarded and exercised in accordance with the requirements of law, the Company’s articles of association and the Equity Plan (and the agreements and awards duly adopted thereunder and in accordance therewith); and</w:t>
      </w:r>
    </w:p>
    <w:p>
      <w:pPr>
        <w:spacing w:after="0" w:line="187" w:lineRule="exact"/>
        <w:rPr>
          <w:rFonts w:ascii="Arial" w:cs="Arial" w:eastAsia="Arial" w:hAnsi="Arial"/>
          <w:sz w:val="18"/>
          <w:szCs w:val="18"/>
          <w:color w:val="auto"/>
        </w:rPr>
      </w:pPr>
    </w:p>
    <w:p>
      <w:pPr>
        <w:ind w:left="1280" w:hanging="624"/>
        <w:spacing w:after="0"/>
        <w:tabs>
          <w:tab w:leader="none" w:pos="1280" w:val="left"/>
        </w:tabs>
        <w:numPr>
          <w:ilvl w:val="1"/>
          <w:numId w:val="5"/>
        </w:numPr>
        <w:rPr>
          <w:rFonts w:ascii="Arial" w:cs="Arial" w:eastAsia="Arial" w:hAnsi="Arial"/>
          <w:sz w:val="17"/>
          <w:szCs w:val="17"/>
          <w:color w:val="auto"/>
        </w:rPr>
      </w:pPr>
      <w:r>
        <w:rPr>
          <w:rFonts w:ascii="Arial" w:cs="Arial" w:eastAsia="Arial" w:hAnsi="Arial"/>
          <w:sz w:val="17"/>
          <w:szCs w:val="17"/>
          <w:color w:val="auto"/>
        </w:rPr>
        <w:t>valid entries having been made in relation to the allotment and issue of the Shares in the books and registers of the Company,</w:t>
      </w:r>
    </w:p>
    <w:p>
      <w:pPr>
        <w:spacing w:after="0" w:line="23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it is our opinion that the Shares, if and when allotted and issued, registered in the name of the recipient in the register of members of the Company and delivered in accordance with the terms and conditions referred to above and/or in the Equity Plan,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7447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4744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Equity Plan.</w:t>
      </w:r>
    </w:p>
    <w:p>
      <w:pPr>
        <w:spacing w:after="0" w:line="170" w:lineRule="exact"/>
        <w:rPr>
          <w:rFonts w:ascii="Arial" w:cs="Arial" w:eastAsia="Arial" w:hAnsi="Arial"/>
          <w:sz w:val="18"/>
          <w:szCs w:val="18"/>
          <w:b w:val="1"/>
          <w:bCs w:val="1"/>
          <w:color w:val="auto"/>
        </w:rPr>
      </w:pPr>
    </w:p>
    <w:p>
      <w:pPr>
        <w:jc w:val="both"/>
        <w:ind w:left="6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44"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AND RELIANCE</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LATHAM &amp; WATKINS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7447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4744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225"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articles of association of the Company referred to in paragraph 1.3 (h)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that the Equity Plan remains in full force and effect and no alteration has been made or will be made to the Equity Plan prior to an Allotment Date;</w:t>
      </w:r>
    </w:p>
    <w:p>
      <w:pPr>
        <w:spacing w:after="0" w:line="248"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165" w:lineRule="exact"/>
        <w:rPr>
          <w:rFonts w:ascii="Arial" w:cs="Arial" w:eastAsia="Arial" w:hAnsi="Arial"/>
          <w:sz w:val="17"/>
          <w:szCs w:val="17"/>
          <w:color w:val="auto"/>
        </w:rPr>
      </w:pPr>
    </w:p>
    <w:p>
      <w:pPr>
        <w:jc w:val="both"/>
        <w:ind w:left="660" w:hanging="652"/>
        <w:spacing w:after="0" w:line="30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that the resolutions described in the written resolutions of the board of directors of the Company provided to us in connection with the giving of this opinion or otherwise contemplated in connection with the matters referred to herein were and/or will be duly passed as written resolutions of the board of directors of the Company, as applicable, all constitutional, statutory and other formalities were and/or will be observed and such resolutions have not been, and will not be, revoked or varied and remain in full force and effect and will remain so at each Allotment Date;</w:t>
      </w:r>
    </w:p>
    <w:p>
      <w:pPr>
        <w:spacing w:after="0" w:line="157" w:lineRule="exact"/>
        <w:rPr>
          <w:rFonts w:ascii="Arial" w:cs="Arial" w:eastAsia="Arial" w:hAnsi="Arial"/>
          <w:sz w:val="16"/>
          <w:szCs w:val="16"/>
          <w:color w:val="auto"/>
        </w:rPr>
      </w:pPr>
    </w:p>
    <w:p>
      <w:pPr>
        <w:jc w:val="both"/>
        <w:ind w:left="660" w:hanging="652"/>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the resolutions of the shareholders of the Company provided to us in connection with the giving of this opinion and as referred to at paragraph 2(b) 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176"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7447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4744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relation to any allotment and issue of any Shares by the Company pursuant to the Equity Plan, that the recipient will have become entitled to such Shares under the terms of the Equity Plan such Shares will, where applicable, be fully vested each in accordance with the terms of the Equity Plan and such recipient has or will have complied with all other requirements of the Equity Plan in connection with the allotment and issue of such Shares;</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all awards have been made under the terms of the Equity Plan, that the terms of all awards have not materially deviated from the terms set out in the Equity Plan and that any Shares will be allotted and issued in accordance with the terms set out in the Equity Plan and in accordance with the Company’s articles of association;</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the Equity Plan has been validly adopted and no alteration has been or shall be made to the Equity Plan since the date of adoption except to the extent expressly set out in this letter;</w:t>
      </w:r>
    </w:p>
    <w:p>
      <w:pPr>
        <w:spacing w:after="0" w:line="170"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that immediately prior to each Allotment Date, the directors of the Company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17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in relation to the allotment and issuance of Shares pursuant to the Equity Plan or otherwise to an employee benefit trust, that such Shares will be allotted and issued in accordance with the terms of the relevant Equity Plan, the Company’s articles of association and the requirements of all applicable laws;</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no Shares shall be allotted or issued, or are or shall be committed to be allotted or issued, at a discount to their nominal value (whether in dollars or equivalent in any other currency);</w:t>
      </w:r>
    </w:p>
    <w:p>
      <w:pPr>
        <w:spacing w:after="0" w:line="170"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no Shares or rights to subscribe for Shares have been or shall be offered to the public in the United Kingdom in breach of the Financial Services and Markets Act 2000 (“</w:t>
      </w:r>
      <w:r>
        <w:rPr>
          <w:rFonts w:ascii="Arial" w:cs="Arial" w:eastAsia="Arial" w:hAnsi="Arial"/>
          <w:sz w:val="16"/>
          <w:szCs w:val="16"/>
          <w:b w:val="1"/>
          <w:bCs w:val="1"/>
          <w:color w:val="auto"/>
        </w:rPr>
        <w:t>FSMA</w:t>
      </w:r>
      <w:r>
        <w:rPr>
          <w:rFonts w:ascii="Arial" w:cs="Arial" w:eastAsia="Arial" w:hAnsi="Arial"/>
          <w:sz w:val="16"/>
          <w:szCs w:val="16"/>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157"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in issuing and allotting and granting rights to acquire Shares and administering the Equity Plan, the Company is not carrying on a regulated activity for the purposes of section 19 of FSMA;</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the Company has complied and will comply with all applicable anti-terrorism, anti-money laundering, sanctions and human rights laws and regulations and that each allotment and issue of Shares and grant of rights to acquire Shares pursuant to the Equity Plan will be consistent with all such laws and regulations;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7447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4744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hanging="652"/>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Equity Plan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Equity Plan and the allotment and issue of the Shares will promote the success of the Company for the benefit of its members as a whole; and</w:t>
      </w:r>
    </w:p>
    <w:p>
      <w:pPr>
        <w:spacing w:after="0" w:line="186"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Company has not taken any corporate or other action nor have any steps been taken or legal proceedings been started against the Company for: (i) the liquidation, administration, winding up, dissolution, reorganisation, or bankruptcy or similar procedures in other relevant jurisdictions, of; or (ii) the commencement of a moratorium in respect of; or (iii) 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or is insolvent or has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7447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4744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are subject to the following reservations:</w:t>
      </w:r>
    </w:p>
    <w:p>
      <w:pPr>
        <w:spacing w:after="0" w:line="225" w:lineRule="exact"/>
        <w:rPr>
          <w:sz w:val="20"/>
          <w:szCs w:val="20"/>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83"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opinions set out in this letter are subject to (i) any limitations arising from applicable laws relating to insolvency, bankruptcy, administration, reorganisation, liquidation, moratoria, schemes, restructuring plans or analogous circumstances; and (ii) an English court exercising its discretion under section 426 of the Insolvency Act 1986 (</w:t>
      </w:r>
      <w:r>
        <w:rPr>
          <w:rFonts w:ascii="Arial" w:cs="Arial" w:eastAsia="Arial" w:hAnsi="Arial"/>
          <w:sz w:val="17"/>
          <w:szCs w:val="17"/>
          <w:i w:val="1"/>
          <w:iCs w:val="1"/>
          <w:color w:val="auto"/>
        </w:rPr>
        <w:t>co-operation between courts exercising jurisdiction in relation to insolvency</w:t>
      </w:r>
      <w:r>
        <w:rPr>
          <w:rFonts w:ascii="Arial" w:cs="Arial" w:eastAsia="Arial" w:hAnsi="Arial"/>
          <w:sz w:val="17"/>
          <w:szCs w:val="17"/>
          <w:color w:val="auto"/>
        </w:rPr>
        <w:t>) to assist the courts having the corresponding jurisdiction in any part of the United Kingdom or any relevant country or territory;</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225"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express no opinion on the compliance of the Equity Plan, or the compliance of any award made under the Equity Plan, with the rules or regulations of the NASDAQ Stock Market LLC or the rules or regulations of any other securities exchange that are applicable to the Company;</w:t>
      </w:r>
    </w:p>
    <w:p>
      <w:pPr>
        <w:spacing w:after="0" w:line="123" w:lineRule="exact"/>
        <w:rPr>
          <w:rFonts w:ascii="Arial" w:cs="Arial" w:eastAsia="Arial" w:hAnsi="Arial"/>
          <w:sz w:val="16"/>
          <w:szCs w:val="16"/>
          <w:color w:val="auto"/>
        </w:rPr>
      </w:pPr>
    </w:p>
    <w:p>
      <w:pPr>
        <w:jc w:val="both"/>
        <w:ind w:left="660" w:hanging="652"/>
        <w:spacing w:after="0" w:line="27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express no opinion in relation to the legality, enforceability or validity of the Equity Plan or any award agreement entered into pursuant to such Equity Plan. In particular, but without prejudice to the generality of the foregoing, we have assumed that the Shares to be allotted under the Equity Plan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177"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any award of Restricted Stock Units under an Equity Plan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 and</w:t>
      </w:r>
    </w:p>
    <w:p>
      <w:pPr>
        <w:spacing w:after="0" w:line="179"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not undertaken any consideration, analysis or assessment of whether the National Security &amp; Investment Act 2021 (</w:t>
      </w:r>
      <w:r>
        <w:rPr>
          <w:rFonts w:ascii="Arial" w:cs="Arial" w:eastAsia="Arial" w:hAnsi="Arial"/>
          <w:sz w:val="18"/>
          <w:szCs w:val="18"/>
          <w:b w:val="1"/>
          <w:bCs w:val="1"/>
          <w:color w:val="auto"/>
        </w:rPr>
        <w:t>NS&amp;IA</w:t>
      </w:r>
      <w:r>
        <w:rPr>
          <w:rFonts w:ascii="Arial" w:cs="Arial" w:eastAsia="Arial" w:hAnsi="Arial"/>
          <w:sz w:val="18"/>
          <w:szCs w:val="18"/>
          <w:color w:val="auto"/>
        </w:rPr>
        <w:t>) may or will apply to any of the transactions contemplated herein for the purposes of the opinions in this letter. We express no opinion on the application or potential application of the NS&amp;IA in relation to the Company or any transaction contemplated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left="40" w:hanging="36"/>
        <w:spacing w:after="0" w:line="357" w:lineRule="auto"/>
        <w:rPr>
          <w:sz w:val="20"/>
          <w:szCs w:val="20"/>
          <w:color w:val="auto"/>
        </w:rPr>
      </w:pPr>
      <w:r>
        <w:rPr>
          <w:rFonts w:ascii="Arial" w:cs="Arial" w:eastAsia="Arial" w:hAnsi="Arial"/>
          <w:sz w:val="17"/>
          <w:szCs w:val="17"/>
          <w:color w:val="auto"/>
        </w:rPr>
        <w:t>We hereby consent to the incorporation by reference in this Registration Statement on Form S-8 of Verona Pharma plc of our report dated March 7, 2023 relating to the financial statements, which appear in Verona Pharma plc's Annual Report on Form 10-K for the year ended December 31,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0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Security</w:t>
            </w:r>
          </w:p>
        </w:tc>
        <w:tc>
          <w:tcPr>
            <w:tcW w:w="13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Security Class</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150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Amount of</w:t>
            </w:r>
          </w:p>
        </w:tc>
      </w:tr>
      <w:tr>
        <w:trPr>
          <w:trHeight w:val="216"/>
        </w:trPr>
        <w:tc>
          <w:tcPr>
            <w:tcW w:w="110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Type</w:t>
            </w:r>
          </w:p>
        </w:tc>
        <w:tc>
          <w:tcPr>
            <w:tcW w:w="1380" w:type="dxa"/>
            <w:vAlign w:val="bottom"/>
            <w:tcBorders>
              <w:right w:val="single" w:sz="8" w:color="auto"/>
            </w:tcBorders>
          </w:tcPr>
          <w:p>
            <w:pPr>
              <w:ind w:left="500"/>
              <w:spacing w:after="0"/>
              <w:rPr>
                <w:sz w:val="20"/>
                <w:szCs w:val="20"/>
                <w:color w:val="auto"/>
              </w:rPr>
            </w:pPr>
            <w:r>
              <w:rPr>
                <w:rFonts w:ascii="Arial" w:cs="Arial" w:eastAsia="Arial" w:hAnsi="Arial"/>
                <w:sz w:val="18"/>
                <w:szCs w:val="18"/>
                <w:b w:val="1"/>
                <w:bCs w:val="1"/>
                <w:color w:val="auto"/>
              </w:rPr>
              <w:t>Title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Calculation</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w w:val="96"/>
              </w:rPr>
              <w:t>Registration Fee</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 (1)</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34"/>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Per Unit</w:t>
            </w: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Equity</w:t>
            </w:r>
          </w:p>
        </w:tc>
        <w:tc>
          <w:tcPr>
            <w:tcW w:w="13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Ordinary</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Rule 457(c) and</w:t>
            </w:r>
          </w:p>
        </w:tc>
        <w:tc>
          <w:tcPr>
            <w:tcW w:w="2000" w:type="dxa"/>
            <w:vAlign w:val="bottom"/>
            <w:tcBorders>
              <w:right w:val="single" w:sz="8" w:color="auto"/>
            </w:tcBorders>
          </w:tcPr>
          <w:p>
            <w:pPr>
              <w:jc w:val="right"/>
              <w:ind w:right="750"/>
              <w:spacing w:after="0" w:line="195" w:lineRule="exact"/>
              <w:rPr>
                <w:sz w:val="20"/>
                <w:szCs w:val="20"/>
                <w:color w:val="auto"/>
              </w:rPr>
            </w:pPr>
            <w:r>
              <w:rPr>
                <w:rFonts w:ascii="Arial" w:cs="Arial" w:eastAsia="Arial" w:hAnsi="Arial"/>
                <w:sz w:val="18"/>
                <w:szCs w:val="18"/>
                <w:color w:val="auto"/>
                <w:w w:val="97"/>
              </w:rPr>
              <w:t>24,000,000 (2)</w:t>
            </w:r>
          </w:p>
        </w:tc>
        <w:tc>
          <w:tcPr>
            <w:tcW w:w="1320" w:type="dxa"/>
            <w:vAlign w:val="bottom"/>
            <w:tcBorders>
              <w:right w:val="single" w:sz="8" w:color="auto"/>
            </w:tcBorders>
          </w:tcPr>
          <w:p>
            <w:pPr>
              <w:jc w:val="right"/>
              <w:ind w:right="330"/>
              <w:spacing w:after="0" w:line="195" w:lineRule="exact"/>
              <w:rPr>
                <w:sz w:val="20"/>
                <w:szCs w:val="20"/>
                <w:color w:val="auto"/>
              </w:rPr>
            </w:pPr>
            <w:r>
              <w:rPr>
                <w:rFonts w:ascii="Arial" w:cs="Arial" w:eastAsia="Arial" w:hAnsi="Arial"/>
                <w:sz w:val="18"/>
                <w:szCs w:val="18"/>
                <w:color w:val="auto"/>
              </w:rPr>
              <w:t>$2.60 (3)</w:t>
            </w:r>
          </w:p>
        </w:tc>
        <w:tc>
          <w:tcPr>
            <w:tcW w:w="146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w w:val="95"/>
              </w:rPr>
              <w:t>$62,400,000.00</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$110.20 per</w:t>
            </w:r>
          </w:p>
        </w:tc>
        <w:tc>
          <w:tcPr>
            <w:tcW w:w="15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$6,876.48</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Shares, nominal</w:t>
            </w:r>
          </w:p>
        </w:tc>
        <w:tc>
          <w:tcPr>
            <w:tcW w:w="1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Rule 457(h)</w:t>
            </w:r>
          </w:p>
        </w:tc>
        <w:tc>
          <w:tcPr>
            <w:tcW w:w="20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w w:val="97"/>
              </w:rPr>
              <w:t>$1,000,000</w:t>
            </w:r>
          </w:p>
        </w:tc>
        <w:tc>
          <w:tcPr>
            <w:tcW w:w="150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value £0.05 per</w:t>
            </w:r>
          </w:p>
        </w:tc>
        <w:tc>
          <w:tcPr>
            <w:tcW w:w="1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share</w:t>
            </w:r>
          </w:p>
        </w:tc>
        <w:tc>
          <w:tcPr>
            <w:tcW w:w="1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248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Total Offering Amounts</w:t>
            </w:r>
          </w:p>
        </w:tc>
        <w:tc>
          <w:tcPr>
            <w:tcW w:w="136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w w:val="95"/>
              </w:rPr>
              <w:t>$62,400,000.00</w:t>
            </w:r>
          </w:p>
        </w:tc>
        <w:tc>
          <w:tcPr>
            <w:tcW w:w="1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$6,876.48</w:t>
            </w:r>
          </w:p>
        </w:tc>
      </w:tr>
      <w:tr>
        <w:trPr>
          <w:trHeight w:val="209"/>
        </w:trPr>
        <w:tc>
          <w:tcPr>
            <w:tcW w:w="248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Total Fee Offsets (4)</w:t>
            </w:r>
          </w:p>
        </w:tc>
        <w:tc>
          <w:tcPr>
            <w:tcW w:w="136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10"/>
        </w:trPr>
        <w:tc>
          <w:tcPr>
            <w:tcW w:w="1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0"/>
              </w:rPr>
              <w:t>Net Fee Due</w:t>
            </w:r>
          </w:p>
        </w:tc>
        <w:tc>
          <w:tcPr>
            <w:tcW w:w="1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$6,876.48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860" w:right="60" w:hanging="650"/>
        <w:spacing w:after="0" w:line="342" w:lineRule="auto"/>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123" w:lineRule="exact"/>
        <w:rPr>
          <w:rFonts w:ascii="Arial" w:cs="Arial" w:eastAsia="Arial" w:hAnsi="Arial"/>
          <w:sz w:val="16"/>
          <w:szCs w:val="16"/>
          <w:color w:val="auto"/>
        </w:rPr>
      </w:pPr>
    </w:p>
    <w:p>
      <w:pPr>
        <w:ind w:left="860" w:hanging="650"/>
        <w:spacing w:after="0" w:line="275"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Consists of an additional 24,000,000 ordinary shares, nominal value £0.05 per share (“Ordinary Shares”), of Verona Pharma plc (the “Registrant”) that may become issuable under the Verona Pharma plc Second Amended and Restated 2017 Incentive Award Plan (the “2017 Plan”) pursuant to the terms of the 2017 Plan. These shares may be represented by the Registrant’s American Depositary Shares (“ADSs”), each of which represents eight Ordinary Shares. The Registrant’s ADSs issuable upon deposit of the Ordinary Shares registered hereby have been registered under a separate registration statement on Form F-6 (File No. 333-217353).</w:t>
      </w:r>
    </w:p>
    <w:p>
      <w:pPr>
        <w:spacing w:after="0" w:line="176" w:lineRule="exact"/>
        <w:rPr>
          <w:rFonts w:ascii="Arial" w:cs="Arial" w:eastAsia="Arial" w:hAnsi="Arial"/>
          <w:sz w:val="17"/>
          <w:szCs w:val="17"/>
          <w:color w:val="auto"/>
        </w:rPr>
      </w:pPr>
    </w:p>
    <w:p>
      <w:pPr>
        <w:ind w:left="860" w:right="500" w:hanging="650"/>
        <w:spacing w:after="0" w:line="286"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Rules 457(c) and 457(h) of the Securities Act of 1933, as amended, and based upon the average of the high and low prices of the ADSs as reported on The Nasdaq Global Market on May 4, 2023, divided by eight to reflect the ratio of ADSs to Ordinary Shares as described in footnote (2) above.</w:t>
      </w:r>
    </w:p>
    <w:p>
      <w:pPr>
        <w:spacing w:after="0" w:line="165" w:lineRule="exact"/>
        <w:rPr>
          <w:rFonts w:ascii="Arial" w:cs="Arial" w:eastAsia="Arial" w:hAnsi="Arial"/>
          <w:sz w:val="17"/>
          <w:szCs w:val="17"/>
          <w:color w:val="auto"/>
        </w:rPr>
      </w:pPr>
    </w:p>
    <w:p>
      <w:pPr>
        <w:ind w:left="860" w:hanging="650"/>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2"/>
    </w:lvl>
    <w:lvl w:ilvl="1">
      <w:lvlJc w:val="left"/>
      <w:lvlText w:val="(%2)"/>
      <w:numFmt w:val="lowerLetter"/>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9"/>
    </w:lvl>
  </w:abstractNum>
  <w:abstractNum w:abstractNumId="8">
    <w:nsid w:val="4DB127F8"/>
    <w:multiLevelType w:val="hybridMultilevel"/>
    <w:lvl w:ilvl="0">
      <w:lvlJc w:val="left"/>
      <w:lvlText w:val="(%1)"/>
      <w:numFmt w:val="lowerLetter"/>
      <w:start w:val="18"/>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jpeg"/><Relationship Id="rId24" Type="http://schemas.openxmlformats.org/officeDocument/2006/relationships/image" Target="media/image11.png"/><Relationship Id="rId25" Type="http://schemas.openxmlformats.org/officeDocument/2006/relationships/image" Target="media/image12.jpeg"/><Relationship Id="rId26" Type="http://schemas.openxmlformats.org/officeDocument/2006/relationships/image" Target="media/image13.png"/><Relationship Id="rId27" Type="http://schemas.openxmlformats.org/officeDocument/2006/relationships/image" Target="media/image14.jpeg"/><Relationship Id="rId28" Type="http://schemas.openxmlformats.org/officeDocument/2006/relationships/image" Target="media/image15.png"/><Relationship Id="rId29" Type="http://schemas.openxmlformats.org/officeDocument/2006/relationships/image" Target="media/image16.jpeg"/><Relationship Id="rId30" Type="http://schemas.openxmlformats.org/officeDocument/2006/relationships/image" Target="media/image17.png"/><Relationship Id="rId31" Type="http://schemas.openxmlformats.org/officeDocument/2006/relationships/image" Target="media/image18.jpeg"/><Relationship Id="rId32" Type="http://schemas.openxmlformats.org/officeDocument/2006/relationships/image" Target="media/image19.png"/><Relationship Id="rId33" Type="http://schemas.openxmlformats.org/officeDocument/2006/relationships/image" Target="media/image20.jpeg"/><Relationship Id="rId34" Type="http://schemas.openxmlformats.org/officeDocument/2006/relationships/image" Target="media/image21.png"/><Relationship Id="rId35" Type="http://schemas.openxmlformats.org/officeDocument/2006/relationships/image" Target="media/image22.jpe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3" Type="http://schemas.openxmlformats.org/officeDocument/2006/relationships/hyperlink" Target="https://www.sec.gov/Archives/edgar/data/1657312/000110465917027148/a16-21903_12s8.htm" TargetMode="External"/><Relationship Id="rId14" Type="http://schemas.openxmlformats.org/officeDocument/2006/relationships/hyperlink" Target="https://www.sec.gov/Archives/edgar/data/1657312/000110465920054419/tm2018038d1_s8.htm" TargetMode="External"/><Relationship Id="rId15" Type="http://schemas.openxmlformats.org/officeDocument/2006/relationships/hyperlink" Target="https://www.sec.gov/Archives/edgar/data/1657312/000110465920097235/tm2028905-1_s8.htm" TargetMode="External"/><Relationship Id="rId16" Type="http://schemas.openxmlformats.org/officeDocument/2006/relationships/hyperlink" Target="https://www.sec.gov/Archives/edgar/data/1657312/000110465922119131/tm2230441d1_s8.htm" TargetMode="External"/><Relationship Id="rId17" Type="http://schemas.openxmlformats.org/officeDocument/2006/relationships/hyperlink" Target="https://www.sec.gov/Archives/edgar/data/1657312/000110465920140541/tm2039594d1_ex1.htm" TargetMode="External"/><Relationship Id="rId18" Type="http://schemas.openxmlformats.org/officeDocument/2006/relationships/hyperlink" Target="https://www.sec.gov/Archives/edgar/data/1657312/000110465923054551/tm231423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2023-05-09T15:41:33Z</dcterms:created>
  <dcterms:modified xsi:type="dcterms:W3CDTF">2023-05-09T15:41:33Z</dcterms:modified>
</cp:coreProperties>
</file>