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40" w:right="8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-230505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4" w:lineRule="exact"/>
        <w:rPr>
          <w:sz w:val="24"/>
          <w:szCs w:val="24"/>
          <w:color w:val="auto"/>
        </w:rPr>
      </w:pPr>
    </w:p>
    <w:p>
      <w:pPr>
        <w:ind w:left="340"/>
        <w:spacing w:after="0" w:line="248"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-572770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9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3961765</wp:posOffset>
            </wp:positionH>
            <wp:positionV relativeFrom="paragraph">
              <wp:posOffset>-619760</wp:posOffset>
            </wp:positionV>
            <wp:extent cx="57785" cy="63309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735330</wp:posOffset>
            </wp:positionV>
            <wp:extent cx="7047230" cy="49530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4953000"/>
                    </a:xfrm>
                    <a:prstGeom prst="rect">
                      <a:avLst/>
                    </a:prstGeom>
                    <a:noFill/>
                  </pic:spPr>
                </pic:pic>
              </a:graphicData>
            </a:graphic>
          </wp:anchor>
        </w:drawing>
      </w:r>
    </w:p>
    <w:p>
      <w:pPr>
        <w:spacing w:after="0" w:line="1208" w:lineRule="exact"/>
        <w:rPr>
          <w:sz w:val="24"/>
          <w:szCs w:val="24"/>
          <w:color w:val="auto"/>
        </w:rPr>
      </w:pPr>
    </w:p>
    <w:p>
      <w:pPr>
        <w:sectPr>
          <w:pgSz w:w="11900" w:h="16838" w:orient="portrait"/>
          <w:cols w:equalWidth="0" w:num="2">
            <w:col w:w="2300" w:space="300"/>
            <w:col w:w="8480"/>
          </w:cols>
          <w:pgMar w:left="460" w:top="216" w:right="359" w:bottom="1440" w:gutter="0" w:footer="0" w:header="0"/>
        </w:sectPr>
      </w:pPr>
    </w:p>
    <w:p>
      <w:pPr>
        <w:spacing w:after="0" w:line="1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Fisher Andrew</w:t>
        </w:r>
      </w:hyperlink>
    </w:p>
    <w:p>
      <w:pPr>
        <w:spacing w:after="0" w:line="29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 MORE LONDON</w:t>
      </w:r>
    </w:p>
    <w:p>
      <w:pPr>
        <w:spacing w:after="0" w:line="6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RIVERSIDE</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Verona Pharma plc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VRNA</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06/16/2025</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2" w:lineRule="exact"/>
        <w:rPr>
          <w:sz w:val="24"/>
          <w:szCs w:val="24"/>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4"/>
          <w:szCs w:val="24"/>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0" w:lineRule="exact"/>
        <w:rPr>
          <w:sz w:val="24"/>
          <w:szCs w:val="24"/>
          <w:color w:val="auto"/>
        </w:rPr>
      </w:pPr>
    </w:p>
    <w:p>
      <w:pPr>
        <w:ind w:left="1024"/>
        <w:spacing w:after="0"/>
        <w:rPr>
          <w:sz w:val="20"/>
          <w:szCs w:val="20"/>
          <w:color w:val="auto"/>
        </w:rPr>
      </w:pPr>
      <w:r>
        <w:rPr>
          <w:rFonts w:ascii="Times New Roman" w:cs="Times New Roman" w:eastAsia="Times New Roman" w:hAnsi="Times New Roman"/>
          <w:sz w:val="17"/>
          <w:szCs w:val="17"/>
          <w:color w:val="0000FF"/>
        </w:rPr>
        <w:t>General Counsel</w:t>
      </w:r>
    </w:p>
    <w:p>
      <w:pPr>
        <w:spacing w:after="0" w:line="387" w:lineRule="exact"/>
        <w:rPr>
          <w:sz w:val="24"/>
          <w:szCs w:val="24"/>
          <w:color w:val="auto"/>
        </w:rPr>
      </w:pPr>
    </w:p>
    <w:p>
      <w:pPr>
        <w:sectPr>
          <w:pgSz w:w="11900" w:h="16838" w:orient="portrait"/>
          <w:cols w:equalWidth="0" w:num="3">
            <w:col w:w="3180" w:space="720"/>
            <w:col w:w="3116" w:space="720"/>
            <w:col w:w="334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100" w:type="dxa"/>
            <w:vAlign w:val="bottom"/>
            <w:tcBorders>
              <w:bottom w:val="single" w:sz="8" w:color="9A9A9A"/>
            </w:tcBorders>
          </w:tcPr>
          <w:p>
            <w:pPr>
              <w:spacing w:after="0"/>
              <w:rPr>
                <w:sz w:val="14"/>
                <w:szCs w:val="14"/>
                <w:color w:val="auto"/>
              </w:rPr>
            </w:pPr>
          </w:p>
        </w:tc>
        <w:tc>
          <w:tcPr>
            <w:tcW w:w="140" w:type="dxa"/>
            <w:vAlign w:val="bottom"/>
            <w:tcBorders>
              <w:bottom w:val="single" w:sz="8" w:color="9A9A9A"/>
            </w:tcBorders>
          </w:tcPr>
          <w:p>
            <w:pPr>
              <w:spacing w:after="0"/>
              <w:rPr>
                <w:sz w:val="14"/>
                <w:szCs w:val="14"/>
                <w:color w:val="auto"/>
              </w:rPr>
            </w:pPr>
          </w:p>
        </w:tc>
        <w:tc>
          <w:tcPr>
            <w:tcW w:w="3620" w:type="dxa"/>
            <w:vAlign w:val="bottom"/>
            <w:gridSpan w:val="6"/>
          </w:tcPr>
          <w:p>
            <w:pPr>
              <w:jc w:val="right"/>
              <w:ind w:right="178"/>
              <w:spacing w:after="0"/>
              <w:rPr>
                <w:sz w:val="20"/>
                <w:szCs w:val="20"/>
                <w:color w:val="auto"/>
              </w:rPr>
            </w:pPr>
            <w:r>
              <w:rPr>
                <w:rFonts w:ascii="Arial" w:cs="Arial" w:eastAsia="Arial" w:hAnsi="Arial"/>
                <w:sz w:val="13"/>
                <w:szCs w:val="13"/>
                <w:color w:val="auto"/>
              </w:rPr>
              <w:t>4. If Amendment, Date of Original Filed (Month/Day/Year)</w:t>
            </w:r>
          </w:p>
        </w:tc>
        <w:tc>
          <w:tcPr>
            <w:tcW w:w="3700" w:type="dxa"/>
            <w:vAlign w:val="bottom"/>
            <w:gridSpan w:val="10"/>
          </w:tcPr>
          <w:p>
            <w:pPr>
              <w:ind w:left="3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80" w:type="dxa"/>
            <w:vAlign w:val="bottom"/>
            <w:gridSpan w:val="2"/>
          </w:tcPr>
          <w:p>
            <w:pPr>
              <w:ind w:left="360"/>
              <w:spacing w:after="0"/>
              <w:rPr>
                <w:sz w:val="20"/>
                <w:szCs w:val="20"/>
                <w:color w:val="auto"/>
              </w:rPr>
            </w:pPr>
            <w:r>
              <w:rPr>
                <w:rFonts w:ascii="Arial" w:cs="Arial" w:eastAsia="Arial" w:hAnsi="Arial"/>
                <w:sz w:val="13"/>
                <w:szCs w:val="13"/>
                <w:color w:val="auto"/>
              </w:rPr>
              <w:t>Line)</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560" w:type="dxa"/>
            <w:vAlign w:val="bottom"/>
          </w:tcPr>
          <w:p>
            <w:pPr>
              <w:spacing w:after="0"/>
              <w:rPr>
                <w:sz w:val="7"/>
                <w:szCs w:val="7"/>
                <w:color w:val="auto"/>
              </w:rPr>
            </w:pPr>
          </w:p>
        </w:tc>
        <w:tc>
          <w:tcPr>
            <w:tcW w:w="6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LONDON</w:t>
            </w: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X0</w:t>
            </w:r>
          </w:p>
        </w:tc>
        <w:tc>
          <w:tcPr>
            <w:tcW w:w="11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SE1 2RE</w:t>
            </w: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40" w:type="dxa"/>
            <w:vAlign w:val="bottom"/>
          </w:tcPr>
          <w:p>
            <w:pPr>
              <w:spacing w:after="0"/>
              <w:rPr>
                <w:sz w:val="9"/>
                <w:szCs w:val="9"/>
                <w:color w:val="auto"/>
              </w:rPr>
            </w:pPr>
          </w:p>
        </w:tc>
        <w:tc>
          <w:tcPr>
            <w:tcW w:w="4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6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294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294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69"/>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1060" w:type="dxa"/>
            <w:vAlign w:val="bottom"/>
            <w:tcBorders>
              <w:bottom w:val="single" w:sz="8" w:color="9A9A9A"/>
            </w:tcBorders>
          </w:tcPr>
          <w:p>
            <w:pPr>
              <w:spacing w:after="0"/>
              <w:rPr>
                <w:sz w:val="6"/>
                <w:szCs w:val="6"/>
                <w:color w:val="auto"/>
              </w:rPr>
            </w:pPr>
          </w:p>
        </w:tc>
        <w:tc>
          <w:tcPr>
            <w:tcW w:w="1100" w:type="dxa"/>
            <w:vAlign w:val="bottom"/>
            <w:tcBorders>
              <w:bottom w:val="single" w:sz="8" w:color="9A9A9A"/>
            </w:tcBorders>
          </w:tcPr>
          <w:p>
            <w:pPr>
              <w:spacing w:after="0"/>
              <w:rPr>
                <w:sz w:val="6"/>
                <w:szCs w:val="6"/>
                <w:color w:val="auto"/>
              </w:rPr>
            </w:pPr>
          </w:p>
        </w:tc>
        <w:tc>
          <w:tcPr>
            <w:tcW w:w="140" w:type="dxa"/>
            <w:vAlign w:val="bottom"/>
            <w:tcBorders>
              <w:bottom w:val="single" w:sz="8" w:color="9A9A9A"/>
            </w:tcBorders>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restart"/>
          </w:tcPr>
          <w:p>
            <w:pPr>
              <w:spacing w:after="0"/>
              <w:rPr>
                <w:sz w:val="6"/>
                <w:szCs w:val="6"/>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6"/>
                <w:szCs w:val="6"/>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560" w:type="dxa"/>
            <w:vAlign w:val="bottom"/>
          </w:tcPr>
          <w:p>
            <w:pPr>
              <w:spacing w:after="0"/>
              <w:rPr>
                <w:sz w:val="6"/>
                <w:szCs w:val="6"/>
                <w:color w:val="auto"/>
              </w:rPr>
            </w:pPr>
          </w:p>
        </w:tc>
        <w:tc>
          <w:tcPr>
            <w:tcW w:w="6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1200" w:type="dxa"/>
            <w:vAlign w:val="bottom"/>
            <w:gridSpan w:val="2"/>
            <w:vMerge w:val="continue"/>
          </w:tcPr>
          <w:p>
            <w:pPr>
              <w:spacing w:after="0"/>
              <w:rPr>
                <w:sz w:val="18"/>
                <w:szCs w:val="18"/>
                <w:color w:val="auto"/>
              </w:rPr>
            </w:pPr>
          </w:p>
        </w:tc>
        <w:tc>
          <w:tcPr>
            <w:tcW w:w="110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4240" w:type="dxa"/>
            <w:vAlign w:val="bottom"/>
            <w:tcBorders>
              <w:bottom w:val="single" w:sz="8" w:color="2C2C2C"/>
            </w:tcBorders>
            <w:gridSpan w:val="7"/>
          </w:tcPr>
          <w:p>
            <w:pPr>
              <w:spacing w:after="0"/>
              <w:rPr>
                <w:sz w:val="10"/>
                <w:szCs w:val="10"/>
                <w:color w:val="auto"/>
              </w:rPr>
            </w:pPr>
          </w:p>
        </w:tc>
        <w:tc>
          <w:tcPr>
            <w:tcW w:w="14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2"/>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700" w:type="dxa"/>
            <w:vAlign w:val="bottom"/>
            <w:tcBorders>
              <w:bottom w:val="single" w:sz="8" w:color="2C2C2C"/>
            </w:tcBorders>
            <w:gridSpan w:val="3"/>
          </w:tcPr>
          <w:p>
            <w:pPr>
              <w:spacing w:after="0"/>
              <w:rPr>
                <w:sz w:val="2"/>
                <w:szCs w:val="2"/>
                <w:color w:val="auto"/>
              </w:rPr>
            </w:pPr>
          </w:p>
        </w:tc>
        <w:tc>
          <w:tcPr>
            <w:tcW w:w="1060" w:type="dxa"/>
            <w:vAlign w:val="bottom"/>
            <w:tcBorders>
              <w:bottom w:val="single" w:sz="8" w:color="2C2C2C"/>
            </w:tcBorders>
            <w:gridSpan w:val="2"/>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3"/>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4"/>
          </w:tcPr>
          <w:p>
            <w:pPr>
              <w:ind w:left="40"/>
              <w:spacing w:after="0"/>
              <w:rPr>
                <w:sz w:val="20"/>
                <w:szCs w:val="20"/>
                <w:color w:val="auto"/>
              </w:rPr>
            </w:pPr>
            <w:r>
              <w:rPr>
                <w:rFonts w:ascii="Arial" w:cs="Arial" w:eastAsia="Arial" w:hAnsi="Arial"/>
                <w:sz w:val="11"/>
                <w:szCs w:val="11"/>
                <w:b w:val="1"/>
                <w:bCs w:val="1"/>
                <w:color w:val="auto"/>
              </w:rPr>
              <w:t>4. Securities Acquired (A) or</w:t>
            </w:r>
          </w:p>
        </w:tc>
        <w:tc>
          <w:tcPr>
            <w:tcW w:w="80" w:type="dxa"/>
            <w:vAlign w:val="bottom"/>
          </w:tcPr>
          <w:p>
            <w:pPr>
              <w:spacing w:after="0"/>
              <w:rPr>
                <w:sz w:val="14"/>
                <w:szCs w:val="14"/>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680"/>
              <w:spacing w:after="0"/>
              <w:rPr>
                <w:sz w:val="20"/>
                <w:szCs w:val="20"/>
                <w:color w:val="auto"/>
              </w:rPr>
            </w:pPr>
            <w:r>
              <w:rPr>
                <w:rFonts w:ascii="Arial" w:cs="Arial" w:eastAsia="Arial" w:hAnsi="Arial"/>
                <w:sz w:val="11"/>
                <w:szCs w:val="11"/>
                <w:b w:val="1"/>
                <w:bCs w:val="1"/>
                <w:color w:val="auto"/>
              </w:rPr>
              <w:t>Date</w:t>
            </w: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2000" w:type="dxa"/>
            <w:vAlign w:val="bottom"/>
            <w:gridSpan w:val="4"/>
          </w:tcPr>
          <w:p>
            <w:pPr>
              <w:ind w:left="40"/>
              <w:spacing w:after="0"/>
              <w:rPr>
                <w:sz w:val="20"/>
                <w:szCs w:val="20"/>
                <w:color w:val="auto"/>
              </w:rPr>
            </w:pPr>
            <w:r>
              <w:rPr>
                <w:rFonts w:ascii="Arial" w:cs="Arial" w:eastAsia="Arial" w:hAnsi="Arial"/>
                <w:sz w:val="11"/>
                <w:szCs w:val="11"/>
                <w:b w:val="1"/>
                <w:bCs w:val="1"/>
                <w:color w:val="auto"/>
              </w:rPr>
              <w:t>Disposed Of (D) (Instr. 3, 4 and 5)</w:t>
            </w:r>
          </w:p>
        </w:tc>
        <w:tc>
          <w:tcPr>
            <w:tcW w:w="8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1"/>
                <w:szCs w:val="11"/>
                <w:color w:val="auto"/>
              </w:rPr>
            </w:pP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00" w:type="dxa"/>
            <w:vAlign w:val="bottom"/>
            <w:gridSpan w:val="3"/>
          </w:tcPr>
          <w:p>
            <w:pPr>
              <w:ind w:left="680"/>
              <w:spacing w:after="0"/>
              <w:rPr>
                <w:sz w:val="20"/>
                <w:szCs w:val="20"/>
                <w:color w:val="auto"/>
              </w:rPr>
            </w:pPr>
            <w:r>
              <w:rPr>
                <w:rFonts w:ascii="Arial" w:cs="Arial" w:eastAsia="Arial" w:hAnsi="Arial"/>
                <w:sz w:val="11"/>
                <w:szCs w:val="11"/>
                <w:b w:val="1"/>
                <w:bCs w:val="1"/>
                <w:color w:val="auto"/>
              </w:rPr>
              <w:t>(Month/Day/Year)</w:t>
            </w: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if any</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60" w:type="dxa"/>
            <w:vAlign w:val="bottom"/>
            <w:gridSpan w:val="2"/>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6"/>
                <w:szCs w:val="6"/>
                <w:color w:val="auto"/>
              </w:rPr>
            </w:pPr>
          </w:p>
        </w:tc>
        <w:tc>
          <w:tcPr>
            <w:tcW w:w="280" w:type="dxa"/>
            <w:vAlign w:val="bottom"/>
          </w:tcPr>
          <w:p>
            <w:pPr>
              <w:spacing w:after="0"/>
              <w:rPr>
                <w:sz w:val="6"/>
                <w:szCs w:val="6"/>
                <w:color w:val="auto"/>
              </w:rPr>
            </w:pPr>
          </w:p>
        </w:tc>
        <w:tc>
          <w:tcPr>
            <w:tcW w:w="66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60" w:type="dxa"/>
            <w:vAlign w:val="bottom"/>
            <w:vMerge w:val="restart"/>
          </w:tcPr>
          <w:p>
            <w:pPr>
              <w:ind w:left="40"/>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6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Price</w:t>
            </w:r>
          </w:p>
        </w:tc>
        <w:tc>
          <w:tcPr>
            <w:tcW w:w="8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5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(D)</w:t>
            </w:r>
          </w:p>
        </w:tc>
        <w:tc>
          <w:tcPr>
            <w:tcW w:w="680" w:type="dxa"/>
            <w:vAlign w:val="bottom"/>
            <w:gridSpan w:val="2"/>
            <w:vMerge w:val="continue"/>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40" w:type="dxa"/>
            <w:vAlign w:val="bottom"/>
          </w:tcPr>
          <w:p>
            <w:pPr>
              <w:spacing w:after="0"/>
              <w:rPr>
                <w:sz w:val="5"/>
                <w:szCs w:val="5"/>
                <w:color w:val="auto"/>
              </w:rPr>
            </w:pPr>
          </w:p>
        </w:tc>
        <w:tc>
          <w:tcPr>
            <w:tcW w:w="4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2"/>
        </w:trPr>
        <w:tc>
          <w:tcPr>
            <w:tcW w:w="20" w:type="dxa"/>
            <w:vAlign w:val="bottom"/>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5"/>
              </w:rPr>
              <w:t>Ordinary Shares</w:t>
            </w:r>
            <w:r>
              <w:rPr>
                <w:rFonts w:ascii="Times New Roman" w:cs="Times New Roman" w:eastAsia="Times New Roman" w:hAnsi="Times New Roman"/>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06/16/2025</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80,000</w:t>
            </w:r>
          </w:p>
        </w:tc>
        <w:tc>
          <w:tcPr>
            <w:tcW w:w="560" w:type="dxa"/>
            <w:vAlign w:val="bottom"/>
            <w:tcBorders>
              <w:bottom w:val="single" w:sz="8" w:color="2C2C2C"/>
            </w:tcBorders>
          </w:tcPr>
          <w:p>
            <w:pPr>
              <w:jc w:val="right"/>
              <w:ind w:right="178"/>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2.0113</w:t>
            </w:r>
          </w:p>
        </w:tc>
        <w:tc>
          <w:tcPr>
            <w:tcW w:w="60" w:type="dxa"/>
            <w:vAlign w:val="bottom"/>
            <w:tcBorders>
              <w:bottom w:val="single" w:sz="8" w:color="2C2C2C"/>
            </w:tcBorders>
          </w:tcPr>
          <w:p>
            <w:pPr>
              <w:spacing w:after="0"/>
              <w:rPr>
                <w:sz w:val="24"/>
                <w:szCs w:val="24"/>
                <w:color w:val="auto"/>
              </w:rPr>
            </w:pPr>
          </w:p>
        </w:tc>
        <w:tc>
          <w:tcPr>
            <w:tcW w:w="126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439,999</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2"/>
        </w:trPr>
        <w:tc>
          <w:tcPr>
            <w:tcW w:w="20" w:type="dxa"/>
            <w:vAlign w:val="bottom"/>
            <w:tcBorders>
              <w:bottom w:val="single" w:sz="8" w:color="2C2C2C"/>
            </w:tcBorders>
          </w:tcPr>
          <w:p>
            <w:pPr>
              <w:spacing w:after="0"/>
              <w:rPr>
                <w:sz w:val="24"/>
                <w:szCs w:val="24"/>
                <w:color w:val="auto"/>
              </w:rPr>
            </w:pPr>
          </w:p>
        </w:tc>
        <w:tc>
          <w:tcPr>
            <w:tcW w:w="13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w w:val="95"/>
              </w:rPr>
              <w:t>Ordinary Shares</w:t>
            </w:r>
            <w:r>
              <w:rPr>
                <w:rFonts w:ascii="Times New Roman" w:cs="Times New Roman" w:eastAsia="Times New Roman" w:hAnsi="Times New Roman"/>
                <w:sz w:val="21"/>
                <w:szCs w:val="21"/>
                <w:color w:val="008000"/>
                <w:w w:val="95"/>
                <w:vertAlign w:val="superscript"/>
              </w:rPr>
              <w:t>(1)</w:t>
            </w:r>
          </w:p>
        </w:tc>
        <w:tc>
          <w:tcPr>
            <w:tcW w:w="14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tcPr>
          <w:p>
            <w:pPr>
              <w:spacing w:after="0"/>
              <w:rPr>
                <w:sz w:val="24"/>
                <w:szCs w:val="24"/>
                <w:color w:val="auto"/>
              </w:rPr>
            </w:pPr>
          </w:p>
        </w:tc>
        <w:tc>
          <w:tcPr>
            <w:tcW w:w="1700" w:type="dxa"/>
            <w:vAlign w:val="bottom"/>
            <w:tcBorders>
              <w:bottom w:val="single" w:sz="8" w:color="2C2C2C"/>
            </w:tcBorders>
            <w:gridSpan w:val="3"/>
          </w:tcPr>
          <w:p>
            <w:pPr>
              <w:ind w:left="760"/>
              <w:spacing w:after="0"/>
              <w:rPr>
                <w:sz w:val="20"/>
                <w:szCs w:val="20"/>
                <w:color w:val="auto"/>
              </w:rPr>
            </w:pPr>
            <w:r>
              <w:rPr>
                <w:rFonts w:ascii="Times New Roman" w:cs="Times New Roman" w:eastAsia="Times New Roman" w:hAnsi="Times New Roman"/>
                <w:sz w:val="17"/>
                <w:szCs w:val="17"/>
                <w:color w:val="0000FF"/>
              </w:rPr>
              <w:t>06/16/2025</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5"/>
                <w:szCs w:val="25"/>
                <w:color w:val="0000FF"/>
                <w:vertAlign w:val="subscript"/>
              </w:rPr>
              <w:t>S</w:t>
            </w:r>
            <w:r>
              <w:rPr>
                <w:rFonts w:ascii="Times New Roman" w:cs="Times New Roman" w:eastAsia="Times New Roman" w:hAnsi="Times New Roman"/>
                <w:sz w:val="11"/>
                <w:szCs w:val="11"/>
                <w:color w:val="008000"/>
              </w:rPr>
              <w:t>(2)</w:t>
            </w:r>
          </w:p>
        </w:tc>
        <w:tc>
          <w:tcPr>
            <w:tcW w:w="76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80,000</w:t>
            </w:r>
          </w:p>
        </w:tc>
        <w:tc>
          <w:tcPr>
            <w:tcW w:w="560" w:type="dxa"/>
            <w:vAlign w:val="bottom"/>
            <w:tcBorders>
              <w:bottom w:val="single" w:sz="8" w:color="2C2C2C"/>
            </w:tcBorders>
          </w:tcPr>
          <w:p>
            <w:pPr>
              <w:jc w:val="right"/>
              <w:ind w:right="178"/>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tcBorders>
              <w:bottom w:val="single" w:sz="8" w:color="2C2C2C"/>
            </w:tcBorders>
            <w:gridSpan w:val="2"/>
          </w:tcPr>
          <w:p>
            <w:pPr>
              <w:jc w:val="right"/>
              <w:spacing w:after="0"/>
              <w:rPr>
                <w:sz w:val="20"/>
                <w:szCs w:val="20"/>
                <w:color w:val="auto"/>
              </w:rPr>
            </w:pPr>
            <w:r>
              <w:rPr>
                <w:rFonts w:ascii="Arial" w:cs="Arial" w:eastAsia="Arial" w:hAnsi="Arial"/>
                <w:sz w:val="17"/>
                <w:szCs w:val="17"/>
                <w:color w:val="auto"/>
                <w:w w:val="90"/>
              </w:rPr>
              <w:t>$</w:t>
            </w:r>
            <w:r>
              <w:rPr>
                <w:rFonts w:ascii="Times New Roman" w:cs="Times New Roman" w:eastAsia="Times New Roman" w:hAnsi="Times New Roman"/>
                <w:sz w:val="17"/>
                <w:szCs w:val="17"/>
                <w:color w:val="0000FF"/>
                <w:w w:val="90"/>
              </w:rPr>
              <w:t>11.525</w:t>
            </w:r>
            <w:r>
              <w:rPr>
                <w:rFonts w:ascii="Times New Roman" w:cs="Times New Roman" w:eastAsia="Times New Roman" w:hAnsi="Times New Roman"/>
                <w:sz w:val="21"/>
                <w:szCs w:val="21"/>
                <w:color w:val="008000"/>
                <w:w w:val="90"/>
                <w:vertAlign w:val="superscript"/>
              </w:rPr>
              <w:t>(3)</w:t>
            </w:r>
          </w:p>
        </w:tc>
        <w:tc>
          <w:tcPr>
            <w:tcW w:w="1260" w:type="dxa"/>
            <w:vAlign w:val="bottom"/>
            <w:tcBorders>
              <w:bottom w:val="single" w:sz="8" w:color="2C2C2C"/>
            </w:tcBorders>
            <w:gridSpan w:val="3"/>
          </w:tcPr>
          <w:p>
            <w:pPr>
              <w:jc w:val="center"/>
              <w:ind w:right="202"/>
              <w:spacing w:after="0"/>
              <w:rPr>
                <w:sz w:val="20"/>
                <w:szCs w:val="20"/>
                <w:color w:val="auto"/>
              </w:rPr>
            </w:pPr>
            <w:r>
              <w:rPr>
                <w:rFonts w:ascii="Times New Roman" w:cs="Times New Roman" w:eastAsia="Times New Roman" w:hAnsi="Times New Roman"/>
                <w:sz w:val="17"/>
                <w:szCs w:val="17"/>
                <w:color w:val="0000FF"/>
              </w:rPr>
              <w:t>359,999</w:t>
            </w:r>
            <w:r>
              <w:rPr>
                <w:rFonts w:ascii="Times New Roman" w:cs="Times New Roman" w:eastAsia="Times New Roman" w:hAnsi="Times New Roman"/>
                <w:sz w:val="21"/>
                <w:szCs w:val="21"/>
                <w:color w:val="008000"/>
                <w:vertAlign w:val="superscript"/>
              </w:rPr>
              <w:t>(4)</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2"/>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10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gridSpan w:val="2"/>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tcPr>
          <w:p>
            <w:pPr>
              <w:spacing w:after="0"/>
              <w:rPr>
                <w:sz w:val="2"/>
                <w:szCs w:val="2"/>
                <w:color w:val="auto"/>
              </w:rPr>
            </w:pPr>
          </w:p>
        </w:tc>
        <w:tc>
          <w:tcPr>
            <w:tcW w:w="1540" w:type="dxa"/>
            <w:vAlign w:val="bottom"/>
            <w:tcBorders>
              <w:bottom w:val="single" w:sz="8" w:color="2C2C2C"/>
            </w:tcBorders>
            <w:gridSpan w:val="2"/>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40" w:type="dxa"/>
            <w:vAlign w:val="bottom"/>
            <w:tcBorders>
              <w:bottom w:val="single" w:sz="8" w:color="2C2C2C"/>
            </w:tcBorders>
            <w:gridSpan w:val="2"/>
          </w:tcPr>
          <w:p>
            <w:pPr>
              <w:spacing w:after="0"/>
              <w:rPr>
                <w:sz w:val="2"/>
                <w:szCs w:val="2"/>
                <w:color w:val="auto"/>
              </w:rPr>
            </w:pPr>
          </w:p>
        </w:tc>
        <w:tc>
          <w:tcPr>
            <w:tcW w:w="6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180" w:type="dxa"/>
            <w:vAlign w:val="bottom"/>
          </w:tcPr>
          <w:p>
            <w:pPr>
              <w:spacing w:after="0"/>
              <w:rPr>
                <w:sz w:val="14"/>
                <w:szCs w:val="14"/>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5. Number of</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6. Date Exercisable and</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Transaction</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Expiration Date</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Amount of</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56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8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3"/>
          </w:tcPr>
          <w:p>
            <w:pPr>
              <w:ind w:left="60"/>
              <w:spacing w:after="0"/>
              <w:rPr>
                <w:sz w:val="20"/>
                <w:szCs w:val="20"/>
                <w:color w:val="auto"/>
              </w:rPr>
            </w:pPr>
            <w:r>
              <w:rPr>
                <w:rFonts w:ascii="Arial" w:cs="Arial" w:eastAsia="Arial" w:hAnsi="Arial"/>
                <w:sz w:val="11"/>
                <w:szCs w:val="11"/>
                <w:b w:val="1"/>
                <w:bCs w:val="1"/>
                <w:color w:val="auto"/>
              </w:rPr>
              <w:t>Code (Instr.</w:t>
            </w: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1540" w:type="dxa"/>
            <w:vAlign w:val="bottom"/>
            <w:gridSpan w:val="2"/>
          </w:tcPr>
          <w:p>
            <w:pPr>
              <w:ind w:left="100"/>
              <w:spacing w:after="0"/>
              <w:rPr>
                <w:sz w:val="20"/>
                <w:szCs w:val="20"/>
                <w:color w:val="auto"/>
              </w:rPr>
            </w:pPr>
            <w:r>
              <w:rPr>
                <w:rFonts w:ascii="Arial" w:cs="Arial" w:eastAsia="Arial" w:hAnsi="Arial"/>
                <w:sz w:val="11"/>
                <w:szCs w:val="11"/>
                <w:b w:val="1"/>
                <w:bCs w:val="1"/>
                <w:color w:val="auto"/>
              </w:rPr>
              <w:t>(Month/Day/Year)</w:t>
            </w: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Securities</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Security</w:t>
            </w:r>
          </w:p>
        </w:tc>
        <w:tc>
          <w:tcPr>
            <w:tcW w:w="56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Underlying</w:t>
            </w:r>
          </w:p>
        </w:tc>
        <w:tc>
          <w:tcPr>
            <w:tcW w:w="700" w:type="dxa"/>
            <w:vAlign w:val="bottom"/>
            <w:gridSpan w:val="2"/>
          </w:tcPr>
          <w:p>
            <w:pPr>
              <w:spacing w:after="0"/>
              <w:rPr>
                <w:sz w:val="20"/>
                <w:szCs w:val="20"/>
                <w:color w:val="auto"/>
              </w:rPr>
            </w:pPr>
            <w:r>
              <w:rPr>
                <w:rFonts w:ascii="Arial" w:cs="Arial" w:eastAsia="Arial" w:hAnsi="Arial"/>
                <w:sz w:val="11"/>
                <w:szCs w:val="11"/>
                <w:b w:val="1"/>
                <w:bCs w:val="1"/>
                <w:color w:val="auto"/>
              </w:rPr>
              <w:t>(Instr. 5)</w:t>
            </w:r>
          </w:p>
        </w:tc>
        <w:tc>
          <w:tcPr>
            <w:tcW w:w="84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of (D) (Instr. 3,</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4 and 5)</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6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2"/>
            <w:vMerge w:val="continue"/>
          </w:tcPr>
          <w:p>
            <w:pPr>
              <w:spacing w:after="0"/>
              <w:rPr>
                <w:sz w:val="3"/>
                <w:szCs w:val="3"/>
                <w:color w:val="auto"/>
              </w:rPr>
            </w:pPr>
          </w:p>
        </w:tc>
        <w:tc>
          <w:tcPr>
            <w:tcW w:w="6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Amount</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or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Number</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76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1"/>
                <w:szCs w:val="11"/>
                <w:color w:val="auto"/>
              </w:rPr>
            </w:pP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of</w:t>
            </w: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180" w:type="dxa"/>
            <w:vAlign w:val="bottom"/>
          </w:tcPr>
          <w:p>
            <w:pPr>
              <w:spacing w:after="0"/>
              <w:rPr>
                <w:sz w:val="13"/>
                <w:szCs w:val="13"/>
                <w:color w:val="auto"/>
              </w:rPr>
            </w:pPr>
          </w:p>
        </w:tc>
        <w:tc>
          <w:tcPr>
            <w:tcW w:w="88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tcPr>
          <w:p>
            <w:pPr>
              <w:ind w:left="100"/>
              <w:spacing w:after="0"/>
              <w:rPr>
                <w:sz w:val="20"/>
                <w:szCs w:val="20"/>
                <w:color w:val="auto"/>
              </w:rPr>
            </w:pPr>
            <w:r>
              <w:rPr>
                <w:rFonts w:ascii="Arial" w:cs="Arial" w:eastAsia="Arial" w:hAnsi="Arial"/>
                <w:sz w:val="11"/>
                <w:szCs w:val="11"/>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80" w:type="dxa"/>
            <w:vAlign w:val="bottom"/>
            <w:gridSpan w:val="2"/>
          </w:tcPr>
          <w:p>
            <w:pPr>
              <w:ind w:left="100"/>
              <w:spacing w:after="0"/>
              <w:rPr>
                <w:sz w:val="20"/>
                <w:szCs w:val="20"/>
                <w:color w:val="auto"/>
              </w:rPr>
            </w:pPr>
            <w:r>
              <w:rPr>
                <w:rFonts w:ascii="Arial" w:cs="Arial" w:eastAsia="Arial" w:hAnsi="Arial"/>
                <w:sz w:val="11"/>
                <w:szCs w:val="11"/>
                <w:b w:val="1"/>
                <w:bCs w:val="1"/>
                <w:color w:val="auto"/>
              </w:rPr>
              <w:t>Shares</w:t>
            </w: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Share</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6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Options</w:t>
            </w:r>
          </w:p>
        </w:tc>
        <w:tc>
          <w:tcPr>
            <w:tcW w:w="760" w:type="dxa"/>
            <w:vAlign w:val="bottom"/>
            <w:gridSpan w:val="2"/>
            <w:vMerge w:val="restart"/>
          </w:tcPr>
          <w:p>
            <w:pPr>
              <w:ind w:left="1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2.0113</w:t>
            </w:r>
            <w:r>
              <w:rPr>
                <w:rFonts w:ascii="Times New Roman" w:cs="Times New Roman" w:eastAsia="Times New Roman" w:hAnsi="Times New Roman"/>
                <w:sz w:val="21"/>
                <w:szCs w:val="21"/>
                <w:color w:val="008000"/>
                <w:vertAlign w:val="superscript"/>
              </w:rPr>
              <w:t>(5)</w:t>
            </w: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06/16/2025</w:t>
            </w:r>
          </w:p>
        </w:tc>
        <w:tc>
          <w:tcPr>
            <w:tcW w:w="1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6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11"/>
                <w:szCs w:val="11"/>
                <w:color w:val="auto"/>
              </w:rPr>
            </w:pPr>
          </w:p>
        </w:tc>
        <w:tc>
          <w:tcPr>
            <w:tcW w:w="88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w w:val="92"/>
              </w:rPr>
              <w:t>80,000</w:t>
            </w:r>
            <w:r>
              <w:rPr>
                <w:rFonts w:ascii="Times New Roman" w:cs="Times New Roman" w:eastAsia="Times New Roman" w:hAnsi="Times New Roman"/>
                <w:sz w:val="21"/>
                <w:szCs w:val="21"/>
                <w:color w:val="008000"/>
                <w:w w:val="92"/>
                <w:vertAlign w:val="superscript"/>
              </w:rPr>
              <w:t>(5)</w:t>
            </w:r>
          </w:p>
        </w:tc>
        <w:tc>
          <w:tcPr>
            <w:tcW w:w="780" w:type="dxa"/>
            <w:vAlign w:val="bottom"/>
            <w:vMerge w:val="restart"/>
          </w:tcPr>
          <w:p>
            <w:pPr>
              <w:ind w:left="380"/>
              <w:spacing w:after="0"/>
              <w:rPr>
                <w:sz w:val="20"/>
                <w:szCs w:val="20"/>
                <w:color w:val="auto"/>
              </w:rPr>
            </w:pPr>
            <w:r>
              <w:rPr>
                <w:rFonts w:ascii="Times New Roman" w:cs="Times New Roman" w:eastAsia="Times New Roman" w:hAnsi="Times New Roman"/>
                <w:sz w:val="11"/>
                <w:szCs w:val="11"/>
                <w:color w:val="008000"/>
              </w:rPr>
              <w:t>(6)</w:t>
            </w: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rPr>
              <w:t>03/31/2034</w:t>
            </w:r>
          </w:p>
        </w:tc>
        <w:tc>
          <w:tcPr>
            <w:tcW w:w="560" w:type="dxa"/>
            <w:vAlign w:val="bottom"/>
            <w:vMerge w:val="continue"/>
          </w:tcPr>
          <w:p>
            <w:pPr>
              <w:spacing w:after="0"/>
              <w:rPr>
                <w:sz w:val="11"/>
                <w:szCs w:val="11"/>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80,000</w:t>
            </w:r>
          </w:p>
        </w:tc>
        <w:tc>
          <w:tcPr>
            <w:tcW w:w="60" w:type="dxa"/>
            <w:vAlign w:val="bottom"/>
          </w:tcPr>
          <w:p>
            <w:pPr>
              <w:spacing w:after="0"/>
              <w:rPr>
                <w:sz w:val="11"/>
                <w:szCs w:val="11"/>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3"/>
                <w:szCs w:val="13"/>
                <w:color w:val="0000FF"/>
              </w:rPr>
              <w:t>2,240,000</w:t>
            </w:r>
          </w:p>
        </w:tc>
        <w:tc>
          <w:tcPr>
            <w:tcW w:w="66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60" w:type="dxa"/>
            <w:vAlign w:val="bottom"/>
            <w:gridSpan w:val="2"/>
            <w:vMerge w:val="continue"/>
          </w:tcPr>
          <w:p>
            <w:pPr>
              <w:spacing w:after="0"/>
              <w:rPr>
                <w:sz w:val="14"/>
                <w:szCs w:val="14"/>
                <w:color w:val="auto"/>
              </w:rPr>
            </w:pPr>
          </w:p>
        </w:tc>
        <w:tc>
          <w:tcPr>
            <w:tcW w:w="1060" w:type="dxa"/>
            <w:vAlign w:val="bottom"/>
            <w:vMerge w:val="continue"/>
          </w:tcPr>
          <w:p>
            <w:pPr>
              <w:spacing w:after="0"/>
              <w:rPr>
                <w:sz w:val="14"/>
                <w:szCs w:val="14"/>
                <w:color w:val="auto"/>
              </w:rPr>
            </w:pPr>
          </w:p>
        </w:tc>
        <w:tc>
          <w:tcPr>
            <w:tcW w:w="1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vMerge w:val="continue"/>
          </w:tcPr>
          <w:p>
            <w:pPr>
              <w:spacing w:after="0"/>
              <w:rPr>
                <w:sz w:val="14"/>
                <w:szCs w:val="14"/>
                <w:color w:val="auto"/>
              </w:rPr>
            </w:pPr>
          </w:p>
        </w:tc>
        <w:tc>
          <w:tcPr>
            <w:tcW w:w="780" w:type="dxa"/>
            <w:vAlign w:val="bottom"/>
            <w:vMerge w:val="continue"/>
          </w:tcPr>
          <w:p>
            <w:pPr>
              <w:spacing w:after="0"/>
              <w:rPr>
                <w:sz w:val="14"/>
                <w:szCs w:val="14"/>
                <w:color w:val="auto"/>
              </w:rPr>
            </w:pPr>
          </w:p>
        </w:tc>
        <w:tc>
          <w:tcPr>
            <w:tcW w:w="760" w:type="dxa"/>
            <w:vAlign w:val="bottom"/>
            <w:vMerge w:val="continue"/>
          </w:tcPr>
          <w:p>
            <w:pPr>
              <w:spacing w:after="0"/>
              <w:rPr>
                <w:sz w:val="14"/>
                <w:szCs w:val="14"/>
                <w:color w:val="auto"/>
              </w:rPr>
            </w:pPr>
          </w:p>
        </w:tc>
        <w:tc>
          <w:tcPr>
            <w:tcW w:w="560" w:type="dxa"/>
            <w:vAlign w:val="bottom"/>
          </w:tcPr>
          <w:p>
            <w:pPr>
              <w:ind w:left="60"/>
              <w:spacing w:after="0" w:line="167" w:lineRule="exact"/>
              <w:rPr>
                <w:sz w:val="20"/>
                <w:szCs w:val="20"/>
                <w:color w:val="auto"/>
              </w:rPr>
            </w:pPr>
            <w:r>
              <w:rPr>
                <w:rFonts w:ascii="Times New Roman" w:cs="Times New Roman" w:eastAsia="Times New Roman" w:hAnsi="Times New Roman"/>
                <w:sz w:val="12"/>
                <w:szCs w:val="12"/>
                <w:color w:val="0000FF"/>
              </w:rPr>
              <w:t>Shares</w:t>
            </w:r>
            <w:r>
              <w:rPr>
                <w:rFonts w:ascii="Times New Roman" w:cs="Times New Roman" w:eastAsia="Times New Roman" w:hAnsi="Times New Roman"/>
                <w:sz w:val="19"/>
                <w:szCs w:val="19"/>
                <w:color w:val="008000"/>
                <w:vertAlign w:val="superscript"/>
              </w:rPr>
              <w:t>(5)</w:t>
            </w:r>
          </w:p>
        </w:tc>
        <w:tc>
          <w:tcPr>
            <w:tcW w:w="62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660" w:type="dxa"/>
            <w:vAlign w:val="bottom"/>
            <w:vMerge w:val="continue"/>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Reported securities are represented by American Depositary Shares ("ADSs"), each of which represents eight (8) Ordinary Shares of the Issuer.</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in this Form 4 was effected pursuant to a Rule 10b5-1 plan entered into on January 15, 2025.</w:t>
      </w:r>
    </w:p>
    <w:p>
      <w:pPr>
        <w:spacing w:after="0" w:line="41" w:lineRule="exact"/>
        <w:rPr>
          <w:rFonts w:ascii="Times New Roman" w:cs="Times New Roman" w:eastAsia="Times New Roman" w:hAnsi="Times New Roman"/>
          <w:sz w:val="13"/>
          <w:szCs w:val="13"/>
          <w:color w:val="008000"/>
        </w:rPr>
      </w:pPr>
    </w:p>
    <w:p>
      <w:pPr>
        <w:jc w:val="both"/>
        <w:ind w:left="40" w:right="520"/>
        <w:spacing w:after="0" w:line="238"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represents a weighted average price of the ADSs divided by eight (8). The securities were sold in multiple transactions at prices ranging from $11.3994 to $11.7825 per Ordinary Share, inclusive (or $91.195 to $94.26 per ADS, inclusive). The Reporting Person undertakes to provide to the Issuer, any securityholder of the Issuer, or the staff of the Securities and Exchange Commission, upon request, full information regarding the number of securities sold at each separate price within the range set forth in this footnote.</w:t>
      </w:r>
    </w:p>
    <w:p>
      <w:pPr>
        <w:spacing w:after="0" w:line="27" w:lineRule="exact"/>
        <w:rPr>
          <w:rFonts w:ascii="Times New Roman" w:cs="Times New Roman" w:eastAsia="Times New Roman" w:hAnsi="Times New Roman"/>
          <w:sz w:val="13"/>
          <w:szCs w:val="13"/>
          <w:color w:val="008000"/>
        </w:rPr>
      </w:pPr>
    </w:p>
    <w:p>
      <w:pPr>
        <w:ind w:left="40" w:right="30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Consists of (i) 300,000 Ordinary Shares underlying Restricted Share Units, each of which represents a contingent right to receive one (1) Ordinary Share of the Issuer (which are represented by 37,500 ADSs), (ii) 59,992 Ordinary Shares underlying 7,499 ADSs, and (iii) 7 Ordinary Shares.</w:t>
      </w:r>
    </w:p>
    <w:p>
      <w:pPr>
        <w:spacing w:after="0" w:line="19" w:lineRule="exact"/>
        <w:rPr>
          <w:rFonts w:ascii="Times New Roman" w:cs="Times New Roman" w:eastAsia="Times New Roman" w:hAnsi="Times New Roman"/>
          <w:sz w:val="13"/>
          <w:szCs w:val="13"/>
          <w:color w:val="008000"/>
        </w:rPr>
      </w:pPr>
    </w:p>
    <w:p>
      <w:pPr>
        <w:ind w:left="40" w:right="580"/>
        <w:spacing w:after="0" w:line="251" w:lineRule="auto"/>
        <w:tabs>
          <w:tab w:leader="none" w:pos="16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number of securities underlying the option and the exercise price therefor are listed in terms of Ordinary Shares, however, each security is represented by American Depositary Shares, each of which represents eight (8) Ordinary Shares of the Issuer.</w:t>
      </w:r>
    </w:p>
    <w:p>
      <w:pPr>
        <w:spacing w:after="0" w:line="19"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vested and became exercisable as to 25% on March 4, 2025. The remainder of the shares vested or will vest in 36 equal monthly installments thereafter.</w:t>
      </w:r>
    </w:p>
    <w:p>
      <w:pPr>
        <w:spacing w:after="0" w:line="51"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Andrew Fisher</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06/18/2025</w:t>
            </w:r>
          </w:p>
        </w:tc>
      </w:tr>
      <w:tr>
        <w:trPr>
          <w:trHeight w:val="20"/>
        </w:trPr>
        <w:tc>
          <w:tcPr>
            <w:tcW w:w="11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4"/>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4"/>
          <w:szCs w:val="24"/>
          <w:color w:val="auto"/>
        </w:rPr>
      </w:pPr>
    </w:p>
    <w:p>
      <w:pPr>
        <w:jc w:val="both"/>
        <w:ind w:left="40" w:right="3680"/>
        <w:spacing w:after="0" w:line="332" w:lineRule="auto"/>
        <w:tabs>
          <w:tab w:leader="none" w:pos="17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2014301" TargetMode="External"/><Relationship Id="rId14" Type="http://schemas.openxmlformats.org/officeDocument/2006/relationships/hyperlink" Target="http://www.sec.gov/cgi-bin/browse-edgar?action=getcompany&amp;CIK=000165731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2025-06-18T15:36:11Z</dcterms:created>
  <dcterms:modified xsi:type="dcterms:W3CDTF">2025-06-18T15:36:11Z</dcterms:modified>
</cp:coreProperties>
</file>