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RULE 13a-16 OR 15d-16</w:t>
      </w:r>
    </w:p>
    <w:p>
      <w:pPr>
        <w:jc w:val="center"/>
        <w:ind w:right="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Verona Pharma plc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On April 10, 2018, Kenneth Newman, M.D. tendered his resignation as the Chief Medical Officer of Verona Pharma plc (the “</w:t>
      </w:r>
      <w:r>
        <w:rPr>
          <w:rFonts w:ascii="Arial" w:cs="Arial" w:eastAsia="Arial" w:hAnsi="Arial"/>
          <w:sz w:val="18"/>
          <w:szCs w:val="18"/>
          <w:u w:val="single" w:color="auto"/>
          <w:color w:val="auto"/>
        </w:rPr>
        <w:t>Company</w:t>
      </w:r>
      <w:r>
        <w:rPr>
          <w:rFonts w:ascii="Arial" w:cs="Arial" w:eastAsia="Arial" w:hAnsi="Arial"/>
          <w:sz w:val="18"/>
          <w:szCs w:val="18"/>
          <w:color w:val="auto"/>
        </w:rPr>
        <w:t>”), which will be effective on April 30, 2018.</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On April 11, 2018, the Company issued a press release announcing Dr. Newman’s resignation, which is furnished herewith as Exhibit 1.</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April 11, 2018, of Verona Pharma plc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60"/>
          </w:cols>
          <w:pgMar w:left="240" w:top="544" w:right="1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April 18, 2018</w:t>
            </w:r>
          </w:p>
        </w:tc>
        <w:tc>
          <w:tcPr>
            <w:tcW w:w="7840" w:type="dxa"/>
            <w:vAlign w:val="bottom"/>
            <w:gridSpan w:val="3"/>
          </w:tcPr>
          <w:p>
            <w:pPr>
              <w:ind w:left="2140"/>
              <w:spacing w:after="0"/>
              <w:rPr>
                <w:sz w:val="20"/>
                <w:szCs w:val="20"/>
                <w:color w:val="auto"/>
              </w:rPr>
            </w:pPr>
            <w:r>
              <w:rPr>
                <w:rFonts w:ascii="Arial" w:cs="Arial" w:eastAsia="Arial" w:hAnsi="Arial"/>
                <w:sz w:val="18"/>
                <w:szCs w:val="18"/>
                <w:color w:val="auto"/>
              </w:rPr>
              <w:t>By:   /s/ Jan-Anders Karlsson</w:t>
            </w:r>
          </w:p>
        </w:tc>
        <w:tc>
          <w:tcPr>
            <w:tcW w:w="40" w:type="dxa"/>
            <w:vAlign w:val="bottom"/>
          </w:tcPr>
          <w:p>
            <w:pPr>
              <w:spacing w:after="0"/>
              <w:rPr>
                <w:sz w:val="20"/>
                <w:szCs w:val="20"/>
                <w:color w:val="auto"/>
              </w:rPr>
            </w:pPr>
          </w:p>
        </w:tc>
      </w:tr>
      <w:tr>
        <w:trPr>
          <w:trHeight w:val="195"/>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Jan-Anders Karlsson, Ph.D.</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62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154940</wp:posOffset>
            </wp:positionV>
            <wp:extent cx="2769870" cy="1071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987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11 April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Verona Pharma Announces Departure of Chief Medical Officer</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LONDON, April 11, 2018 (GLOBE NEWSWIRE) — Verona Pharma plc (AIM:VRP) (Nasdaq:VRNA) (“Verona Pharma” or “the Company”), a clinical-stage biopharmaceutical company focused on developing and commercializing innovative therapies for respiratory diseases, today announces that Kenneth Newman, M.D., has resigned from his position as Chief Medical Officer, effective April 30, 2018, to pursue other opportunities. The Company has commenced an executive search for a replacement.</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Jan-Anders Karlsson, PhD, CEO of Verona Pharma, commented, “We thank Ken for his outstanding service and many contributions to the Company. Over the past three years, he has led the acceleration of RPL554’s clinical development program into Phase 2b trials and overseen seven successful clinical trials. He played an instrumental role in establishing our U.S. presence and we wish him the best in his future endeavors.”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Verona Pharma is a clinical-stage biopharmaceutical company focused on developing and commercializing innovative therapies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as compared to placebo, and has shown clinically meaningful and statistically significant improvements in lung function when administered in addition to frequently used short- and long-acting bronchodilators as compared to such bronchodilators administered as a single agent. Verona Pharma is developing RPL554 for the treatment of chronic obstructive pulmonary disease (COPD), cystic fibrosis (CF), and potentially asthma.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press release contains forward-looking statements. All statements contained in this press release that do not relate to matters of historical fact should be considered forward-looking statements, including, but not limited to, statements regarding the recruitment of a replacement Chief Medical Officer.</w:t>
      </w:r>
    </w:p>
    <w:p>
      <w:pPr>
        <w:spacing w:after="0" w:line="1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the loss of any key personnel and our ability to recruit replacement personnel,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and other important factors under the caption “Risk Factors” in our Annual Report on Form 20-F filed with the Securities and Exchange Commission (“SEC”) on February 27, 2018 relating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Registration Statement on Form F-1,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Verona Pharma plc</w:t>
            </w:r>
          </w:p>
        </w:tc>
        <w:tc>
          <w:tcPr>
            <w:tcW w:w="1560" w:type="dxa"/>
            <w:vAlign w:val="bottom"/>
          </w:tcPr>
          <w:p>
            <w:pPr>
              <w:ind w:left="940"/>
              <w:spacing w:after="0"/>
              <w:rPr>
                <w:sz w:val="20"/>
                <w:szCs w:val="20"/>
                <w:color w:val="auto"/>
              </w:rPr>
            </w:pPr>
            <w:r>
              <w:rPr>
                <w:rFonts w:ascii="Arial" w:cs="Arial" w:eastAsia="Arial" w:hAnsi="Arial"/>
                <w:sz w:val="18"/>
                <w:szCs w:val="18"/>
                <w:color w:val="auto"/>
                <w:w w:val="91"/>
              </w:rPr>
              <w:t>Tel: +44</w:t>
            </w:r>
          </w:p>
        </w:tc>
        <w:tc>
          <w:tcPr>
            <w:tcW w:w="1840" w:type="dxa"/>
            <w:vAlign w:val="bottom"/>
          </w:tcPr>
          <w:p>
            <w:pPr>
              <w:ind w:left="20"/>
              <w:spacing w:after="0"/>
              <w:rPr>
                <w:sz w:val="20"/>
                <w:szCs w:val="20"/>
                <w:color w:val="auto"/>
              </w:rPr>
            </w:pPr>
            <w:r>
              <w:rPr>
                <w:rFonts w:ascii="Arial" w:cs="Arial" w:eastAsia="Arial" w:hAnsi="Arial"/>
                <w:sz w:val="18"/>
                <w:szCs w:val="18"/>
                <w:color w:val="auto"/>
              </w:rPr>
              <w:t>(0)20 3283 4200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Jan-Anders Karlsson, Chief Executive Officer</w:t>
            </w:r>
          </w:p>
        </w:tc>
        <w:tc>
          <w:tcPr>
            <w:tcW w:w="3400" w:type="dxa"/>
            <w:vAlign w:val="bottom"/>
            <w:gridSpan w:val="2"/>
          </w:tcPr>
          <w:p>
            <w:pPr>
              <w:ind w:left="940"/>
              <w:spacing w:after="0"/>
              <w:rPr>
                <w:sz w:val="20"/>
                <w:szCs w:val="20"/>
                <w:color w:val="auto"/>
              </w:rPr>
            </w:pPr>
            <w:r>
              <w:rPr>
                <w:rFonts w:ascii="Arial" w:cs="Arial" w:eastAsia="Arial" w:hAnsi="Arial"/>
                <w:sz w:val="18"/>
                <w:szCs w:val="18"/>
                <w:color w:val="auto"/>
              </w:rPr>
              <w:t>info@veronapharma.com</w:t>
            </w: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Stifel Nicolaus Europe Limited (Nominated Adviser and UK Broker)</w:t>
            </w:r>
          </w:p>
        </w:tc>
        <w:tc>
          <w:tcPr>
            <w:tcW w:w="1560" w:type="dxa"/>
            <w:vAlign w:val="bottom"/>
          </w:tcPr>
          <w:p>
            <w:pPr>
              <w:ind w:left="940"/>
              <w:spacing w:after="0"/>
              <w:rPr>
                <w:sz w:val="20"/>
                <w:szCs w:val="20"/>
                <w:color w:val="auto"/>
              </w:rPr>
            </w:pPr>
            <w:r>
              <w:rPr>
                <w:rFonts w:ascii="Arial" w:cs="Arial" w:eastAsia="Arial" w:hAnsi="Arial"/>
                <w:sz w:val="18"/>
                <w:szCs w:val="18"/>
                <w:color w:val="auto"/>
                <w:w w:val="91"/>
              </w:rPr>
              <w:t>Tel: +44</w:t>
            </w:r>
          </w:p>
        </w:tc>
        <w:tc>
          <w:tcPr>
            <w:tcW w:w="1840" w:type="dxa"/>
            <w:vAlign w:val="bottom"/>
          </w:tcPr>
          <w:p>
            <w:pPr>
              <w:ind w:left="20"/>
              <w:spacing w:after="0"/>
              <w:rPr>
                <w:sz w:val="20"/>
                <w:szCs w:val="20"/>
                <w:color w:val="auto"/>
              </w:rPr>
            </w:pPr>
            <w:r>
              <w:rPr>
                <w:rFonts w:ascii="Arial" w:cs="Arial" w:eastAsia="Arial" w:hAnsi="Arial"/>
                <w:sz w:val="18"/>
                <w:szCs w:val="18"/>
                <w:color w:val="auto"/>
              </w:rPr>
              <w:t>(0) 20 7710 7600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Stewart Wallace / Jonathan Senior / Ben Maddison</w:t>
            </w:r>
          </w:p>
        </w:tc>
        <w:tc>
          <w:tcPr>
            <w:tcW w:w="3400" w:type="dxa"/>
            <w:vAlign w:val="bottom"/>
            <w:gridSpan w:val="2"/>
          </w:tcPr>
          <w:p>
            <w:pPr>
              <w:ind w:left="940"/>
              <w:spacing w:after="0"/>
              <w:rPr>
                <w:sz w:val="20"/>
                <w:szCs w:val="20"/>
                <w:color w:val="auto"/>
              </w:rPr>
            </w:pPr>
            <w:r>
              <w:rPr>
                <w:rFonts w:ascii="Arial" w:cs="Arial" w:eastAsia="Arial" w:hAnsi="Arial"/>
                <w:sz w:val="18"/>
                <w:szCs w:val="18"/>
                <w:color w:val="auto"/>
                <w:w w:val="92"/>
              </w:rPr>
              <w:t>SNELVeronaPharma@stifel.com</w:t>
            </w: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FTI Consulting (UK Media and Investor enquiries)</w:t>
            </w:r>
          </w:p>
        </w:tc>
        <w:tc>
          <w:tcPr>
            <w:tcW w:w="1560" w:type="dxa"/>
            <w:vAlign w:val="bottom"/>
          </w:tcPr>
          <w:p>
            <w:pPr>
              <w:ind w:left="940"/>
              <w:spacing w:after="0"/>
              <w:rPr>
                <w:sz w:val="20"/>
                <w:szCs w:val="20"/>
                <w:color w:val="auto"/>
              </w:rPr>
            </w:pPr>
            <w:r>
              <w:rPr>
                <w:rFonts w:ascii="Arial" w:cs="Arial" w:eastAsia="Arial" w:hAnsi="Arial"/>
                <w:sz w:val="18"/>
                <w:szCs w:val="18"/>
                <w:color w:val="auto"/>
                <w:w w:val="91"/>
              </w:rPr>
              <w:t>Tel: +44</w:t>
            </w:r>
          </w:p>
        </w:tc>
        <w:tc>
          <w:tcPr>
            <w:tcW w:w="1840" w:type="dxa"/>
            <w:vAlign w:val="bottom"/>
          </w:tcPr>
          <w:p>
            <w:pPr>
              <w:ind w:left="20"/>
              <w:spacing w:after="0"/>
              <w:rPr>
                <w:sz w:val="20"/>
                <w:szCs w:val="20"/>
                <w:color w:val="auto"/>
              </w:rPr>
            </w:pPr>
            <w:r>
              <w:rPr>
                <w:rFonts w:ascii="Arial" w:cs="Arial" w:eastAsia="Arial" w:hAnsi="Arial"/>
                <w:sz w:val="18"/>
                <w:szCs w:val="18"/>
                <w:color w:val="auto"/>
              </w:rPr>
              <w:t>(0)20 3727 1000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Simon Conway / Natalie Garland-Collins</w:t>
            </w:r>
          </w:p>
        </w:tc>
        <w:tc>
          <w:tcPr>
            <w:tcW w:w="3400" w:type="dxa"/>
            <w:vAlign w:val="bottom"/>
            <w:gridSpan w:val="2"/>
          </w:tcPr>
          <w:p>
            <w:pPr>
              <w:ind w:left="940"/>
              <w:spacing w:after="0"/>
              <w:rPr>
                <w:sz w:val="20"/>
                <w:szCs w:val="20"/>
                <w:color w:val="auto"/>
              </w:rPr>
            </w:pPr>
            <w:r>
              <w:rPr>
                <w:rFonts w:ascii="Arial" w:cs="Arial" w:eastAsia="Arial" w:hAnsi="Arial"/>
                <w:sz w:val="18"/>
                <w:szCs w:val="18"/>
                <w:color w:val="auto"/>
                <w:w w:val="90"/>
              </w:rPr>
              <w:t>veronapharma@fticonsulting.com</w:t>
            </w:r>
          </w:p>
        </w:tc>
      </w:tr>
    </w:tbl>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ICR, Inc. (US Media and Investor enquiries)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James Heins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+1 203-682-8251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James.Heins@icrinc.com</w:t>
      </w:r>
    </w:p>
    <w:p>
      <w:pPr>
        <w:spacing w:after="0" w:line="222" w:lineRule="exact"/>
        <w:rPr>
          <w:sz w:val="20"/>
          <w:szCs w:val="20"/>
          <w:color w:val="auto"/>
        </w:rPr>
      </w:pPr>
    </w:p>
    <w:p>
      <w:pPr>
        <w:sectPr>
          <w:pgSz w:w="11900" w:h="16838" w:orient="portrait"/>
          <w:cols w:equalWidth="0" w:num="2">
            <w:col w:w="6140" w:space="720"/>
            <w:col w:w="3359"/>
          </w:cols>
          <w:pgMar w:left="240" w:top="125" w:right="1440"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Stephanie Carrington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1337945" cy="506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+1 646-277-1282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Stephanie.Carrington@icrinc.com</w:t>
      </w:r>
    </w:p>
    <w:p>
      <w:pPr>
        <w:spacing w:after="0" w:line="200" w:lineRule="exact"/>
        <w:rPr>
          <w:sz w:val="20"/>
          <w:szCs w:val="20"/>
          <w:color w:val="auto"/>
        </w:rPr>
      </w:pPr>
    </w:p>
    <w:p>
      <w:pPr>
        <w:sectPr>
          <w:pgSz w:w="11900" w:h="16838" w:orient="portrait"/>
          <w:cols w:equalWidth="0" w:num="2">
            <w:col w:w="6140" w:space="720"/>
            <w:col w:w="3359"/>
          </w:cols>
          <w:pgMar w:left="24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Source: 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2019-12-08T14:25:36Z</dcterms:created>
  <dcterms:modified xsi:type="dcterms:W3CDTF">2019-12-08T14:25:36Z</dcterms:modified>
</cp:coreProperties>
</file>