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60" w:type="dxa"/>
            <w:vAlign w:val="bottom"/>
          </w:tcPr>
          <w:p>
            <w:pPr>
              <w:ind w:left="40"/>
              <w:spacing w:after="0"/>
              <w:rPr>
                <w:sz w:val="20"/>
                <w:szCs w:val="20"/>
                <w:color w:val="auto"/>
              </w:rPr>
            </w:pPr>
            <w:r>
              <w:rPr>
                <w:rFonts w:ascii="Arial" w:cs="Arial" w:eastAsia="Arial" w:hAnsi="Arial"/>
                <w:sz w:val="22"/>
                <w:szCs w:val="22"/>
                <w:color w:val="auto"/>
              </w:rPr>
              <w:t>0001157524</w:t>
            </w:r>
          </w:p>
        </w:tc>
        <w:tc>
          <w:tcPr>
            <w:tcW w:w="3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6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Arial" w:cs="Arial" w:eastAsia="Arial" w:hAnsi="Arial"/>
                <w:sz w:val="22"/>
                <w:szCs w:val="22"/>
                <w:color w:val="auto"/>
              </w:rPr>
              <w:t>Verona Pharma plc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6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Arial" w:cs="Arial" w:eastAsia="Arial" w:hAnsi="Arial"/>
                <w:sz w:val="22"/>
                <w:szCs w:val="22"/>
                <w:color w:val="auto"/>
              </w:rPr>
              <w:t>001-38067</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40" w:type="dxa"/>
            <w:vAlign w:val="bottom"/>
          </w:tcPr>
          <w:p>
            <w:pPr>
              <w:ind w:left="920"/>
              <w:spacing w:after="0"/>
              <w:rPr>
                <w:sz w:val="20"/>
                <w:szCs w:val="20"/>
                <w:color w:val="auto"/>
              </w:rPr>
            </w:pPr>
            <w:r>
              <w:rPr>
                <w:rFonts w:ascii="Arial" w:cs="Arial" w:eastAsia="Arial" w:hAnsi="Arial"/>
                <w:sz w:val="22"/>
                <w:szCs w:val="22"/>
                <w:color w:val="auto"/>
              </w:rPr>
              <w:t>3 More London Riverside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66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Arial" w:cs="Arial" w:eastAsia="Arial" w:hAnsi="Arial"/>
                <w:sz w:val="22"/>
                <w:szCs w:val="22"/>
                <w:color w:val="auto"/>
              </w:rPr>
              <w:t>LONDON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40" w:type="dxa"/>
            <w:vAlign w:val="bottom"/>
          </w:tcPr>
          <w:p>
            <w:pPr>
              <w:ind w:left="920"/>
              <w:spacing w:after="0"/>
              <w:rPr>
                <w:sz w:val="20"/>
                <w:szCs w:val="20"/>
                <w:color w:val="auto"/>
              </w:rPr>
            </w:pPr>
            <w:r>
              <w:rPr>
                <w:rFonts w:ascii="Arial" w:cs="Arial" w:eastAsia="Arial" w:hAnsi="Arial"/>
                <w:sz w:val="22"/>
                <w:szCs w:val="22"/>
                <w:color w:val="auto"/>
              </w:rPr>
              <w:t>SE1 2RE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Arial" w:cs="Arial" w:eastAsia="Arial" w:hAnsi="Arial"/>
                <w:sz w:val="22"/>
                <w:szCs w:val="22"/>
                <w:color w:val="auto"/>
              </w:rPr>
              <w:t>981489389</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Arial" w:cs="Arial" w:eastAsia="Arial" w:hAnsi="Arial"/>
                <w:sz w:val="22"/>
                <w:szCs w:val="22"/>
                <w:color w:val="auto"/>
                <w:w w:val="90"/>
              </w:rPr>
              <w:t>The Biotech Growth Trust PLC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Shareholder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64" w:lineRule="exact"/>
        <w:rPr>
          <w:sz w:val="24"/>
          <w:szCs w:val="24"/>
          <w:color w:val="auto"/>
        </w:rPr>
      </w:pPr>
    </w:p>
    <w:p>
      <w:pPr>
        <w:ind w:left="40"/>
        <w:spacing w:after="0"/>
        <w:tabs>
          <w:tab w:leader="none" w:pos="4080" w:val="left"/>
        </w:tabs>
        <w:rPr>
          <w:sz w:val="20"/>
          <w:szCs w:val="20"/>
          <w:color w:val="auto"/>
        </w:rPr>
      </w:pPr>
      <w:r>
        <w:rPr>
          <w:rFonts w:ascii="Arial" w:cs="Arial" w:eastAsia="Arial" w:hAnsi="Arial"/>
          <w:sz w:val="22"/>
          <w:szCs w:val="22"/>
          <w:color w:val="auto"/>
        </w:rPr>
        <w:t>Title of the Class of Securities To Be Sold</w:t>
      </w:r>
      <w:r>
        <w:rPr>
          <w:sz w:val="20"/>
          <w:szCs w:val="20"/>
          <w:color w:val="auto"/>
        </w:rPr>
        <w:tab/>
      </w:r>
      <w:r>
        <w:rPr>
          <w:rFonts w:ascii="Arial" w:cs="Arial" w:eastAsia="Arial" w:hAnsi="Arial"/>
          <w:sz w:val="19"/>
          <w:szCs w:val="19"/>
          <w:color w:val="auto"/>
        </w:rPr>
        <w:t>American Depository Shares</w:t>
      </w:r>
    </w:p>
    <w:p>
      <w:pPr>
        <w:spacing w:after="0" w:line="44" w:lineRule="exact"/>
        <w:rPr>
          <w:sz w:val="24"/>
          <w:szCs w:val="24"/>
          <w:color w:val="auto"/>
        </w:rPr>
      </w:pPr>
    </w:p>
    <w:p>
      <w:pPr>
        <w:ind w:left="4100"/>
        <w:spacing w:after="0"/>
        <w:rPr>
          <w:sz w:val="20"/>
          <w:szCs w:val="20"/>
          <w:color w:val="auto"/>
        </w:rPr>
      </w:pPr>
      <w:r>
        <w:rPr>
          <w:rFonts w:ascii="Arial" w:cs="Arial" w:eastAsia="Arial" w:hAnsi="Arial"/>
          <w:sz w:val="22"/>
          <w:szCs w:val="22"/>
          <w:color w:val="auto"/>
        </w:rPr>
        <w:t>Themis Trading LLC</w:t>
      </w:r>
    </w:p>
    <w:p>
      <w:pPr>
        <w:ind w:left="4100"/>
        <w:spacing w:after="0" w:line="238" w:lineRule="auto"/>
        <w:rPr>
          <w:sz w:val="20"/>
          <w:szCs w:val="20"/>
          <w:color w:val="auto"/>
        </w:rPr>
      </w:pPr>
      <w:r>
        <w:rPr>
          <w:rFonts w:ascii="Arial" w:cs="Arial" w:eastAsia="Arial" w:hAnsi="Arial"/>
          <w:sz w:val="22"/>
          <w:szCs w:val="22"/>
          <w:color w:val="auto"/>
        </w:rPr>
        <w:t>10 Town Square, Suite 100</w:t>
      </w:r>
    </w:p>
    <w:p>
      <w:pPr>
        <w:ind w:left="40"/>
        <w:spacing w:after="0"/>
        <w:tabs>
          <w:tab w:leader="none" w:pos="4080" w:val="left"/>
        </w:tabs>
        <w:rPr>
          <w:sz w:val="20"/>
          <w:szCs w:val="20"/>
          <w:color w:val="auto"/>
        </w:rPr>
      </w:pPr>
      <w:r>
        <w:rPr>
          <w:rFonts w:ascii="Arial" w:cs="Arial" w:eastAsia="Arial" w:hAnsi="Arial"/>
          <w:sz w:val="22"/>
          <w:szCs w:val="22"/>
          <w:color w:val="auto"/>
        </w:rPr>
        <w:t>Name and Address of the Broker</w:t>
      </w:r>
      <w:r>
        <w:rPr>
          <w:sz w:val="20"/>
          <w:szCs w:val="20"/>
          <w:color w:val="auto"/>
        </w:rPr>
        <w:tab/>
      </w:r>
      <w:r>
        <w:rPr>
          <w:rFonts w:ascii="Arial" w:cs="Arial" w:eastAsia="Arial" w:hAnsi="Arial"/>
          <w:sz w:val="19"/>
          <w:szCs w:val="19"/>
          <w:color w:val="auto"/>
        </w:rPr>
        <w:t>Chatham</w:t>
      </w:r>
    </w:p>
    <w:p>
      <w:pPr>
        <w:ind w:left="4100"/>
        <w:spacing w:after="0" w:line="231" w:lineRule="auto"/>
        <w:rPr>
          <w:sz w:val="20"/>
          <w:szCs w:val="20"/>
          <w:color w:val="auto"/>
        </w:rPr>
      </w:pPr>
      <w:r>
        <w:rPr>
          <w:rFonts w:ascii="Arial" w:cs="Arial" w:eastAsia="Arial" w:hAnsi="Arial"/>
          <w:sz w:val="22"/>
          <w:szCs w:val="22"/>
          <w:color w:val="auto"/>
        </w:rPr>
        <w:t>NJ</w:t>
      </w:r>
    </w:p>
    <w:p>
      <w:pPr>
        <w:ind w:left="4100"/>
        <w:spacing w:after="0"/>
        <w:rPr>
          <w:sz w:val="20"/>
          <w:szCs w:val="20"/>
          <w:color w:val="auto"/>
        </w:rPr>
      </w:pPr>
      <w:r>
        <w:rPr>
          <w:rFonts w:ascii="Arial" w:cs="Arial" w:eastAsia="Arial" w:hAnsi="Arial"/>
          <w:sz w:val="22"/>
          <w:szCs w:val="22"/>
          <w:color w:val="auto"/>
        </w:rPr>
        <w:t>07928</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Number of Shares or Other Units To Be Sold  311598</w:t>
      </w:r>
    </w:p>
    <w:p>
      <w:pPr>
        <w:spacing w:after="0" w:line="44" w:lineRule="exact"/>
        <w:rPr>
          <w:sz w:val="24"/>
          <w:szCs w:val="24"/>
          <w:color w:val="auto"/>
        </w:rPr>
      </w:pPr>
    </w:p>
    <w:p>
      <w:pPr>
        <w:ind w:left="40"/>
        <w:spacing w:after="0"/>
        <w:tabs>
          <w:tab w:leader="none" w:pos="4080" w:val="left"/>
        </w:tabs>
        <w:rPr>
          <w:sz w:val="20"/>
          <w:szCs w:val="20"/>
          <w:color w:val="auto"/>
        </w:rPr>
      </w:pPr>
      <w:r>
        <w:rPr>
          <w:rFonts w:ascii="Arial" w:cs="Arial" w:eastAsia="Arial" w:hAnsi="Arial"/>
          <w:sz w:val="22"/>
          <w:szCs w:val="22"/>
          <w:color w:val="auto"/>
        </w:rPr>
        <w:t>Aggregate Market Value</w:t>
      </w:r>
      <w:r>
        <w:rPr>
          <w:sz w:val="20"/>
          <w:szCs w:val="20"/>
          <w:color w:val="auto"/>
        </w:rPr>
        <w:tab/>
      </w:r>
      <w:r>
        <w:rPr>
          <w:rFonts w:ascii="Arial" w:cs="Arial" w:eastAsia="Arial" w:hAnsi="Arial"/>
          <w:sz w:val="19"/>
          <w:szCs w:val="19"/>
          <w:color w:val="auto"/>
        </w:rPr>
        <w:t>6403338.90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Number of Shares or Other Units Outstanding 75622575</w:t>
      </w:r>
    </w:p>
    <w:p>
      <w:pPr>
        <w:spacing w:after="0" w:line="44" w:lineRule="exact"/>
        <w:rPr>
          <w:sz w:val="24"/>
          <w:szCs w:val="24"/>
          <w:color w:val="auto"/>
        </w:rPr>
      </w:pPr>
    </w:p>
    <w:p>
      <w:pPr>
        <w:ind w:left="40"/>
        <w:spacing w:after="0"/>
        <w:tabs>
          <w:tab w:leader="none" w:pos="4080" w:val="left"/>
        </w:tabs>
        <w:rPr>
          <w:sz w:val="20"/>
          <w:szCs w:val="20"/>
          <w:color w:val="auto"/>
        </w:rPr>
      </w:pPr>
      <w:r>
        <w:rPr>
          <w:rFonts w:ascii="Arial" w:cs="Arial" w:eastAsia="Arial" w:hAnsi="Arial"/>
          <w:sz w:val="22"/>
          <w:szCs w:val="22"/>
          <w:color w:val="auto"/>
        </w:rPr>
        <w:t>Approximate Date of Sale</w:t>
      </w:r>
      <w:r>
        <w:rPr>
          <w:sz w:val="20"/>
          <w:szCs w:val="20"/>
          <w:color w:val="auto"/>
        </w:rPr>
        <w:tab/>
      </w:r>
      <w:r>
        <w:rPr>
          <w:rFonts w:ascii="Arial" w:cs="Arial" w:eastAsia="Arial" w:hAnsi="Arial"/>
          <w:sz w:val="19"/>
          <w:szCs w:val="19"/>
          <w:color w:val="auto"/>
        </w:rPr>
        <w:t>03/09/2023</w:t>
      </w:r>
    </w:p>
    <w:p>
      <w:pPr>
        <w:spacing w:after="0" w:line="44" w:lineRule="exact"/>
        <w:rPr>
          <w:sz w:val="24"/>
          <w:szCs w:val="24"/>
          <w:color w:val="auto"/>
        </w:rPr>
      </w:pPr>
    </w:p>
    <w:p>
      <w:pPr>
        <w:ind w:left="40"/>
        <w:spacing w:after="0"/>
        <w:tabs>
          <w:tab w:leader="none" w:pos="4080" w:val="left"/>
        </w:tabs>
        <w:rPr>
          <w:sz w:val="20"/>
          <w:szCs w:val="20"/>
          <w:color w:val="auto"/>
        </w:rPr>
      </w:pPr>
      <w:r>
        <w:rPr>
          <w:rFonts w:ascii="Arial" w:cs="Arial" w:eastAsia="Arial" w:hAnsi="Arial"/>
          <w:sz w:val="22"/>
          <w:szCs w:val="22"/>
          <w:color w:val="auto"/>
        </w:rPr>
        <w:t>Name the Securities Exchange</w:t>
      </w:r>
      <w:r>
        <w:rPr>
          <w:sz w:val="20"/>
          <w:szCs w:val="20"/>
          <w:color w:val="auto"/>
        </w:rPr>
        <w:tab/>
      </w:r>
      <w:r>
        <w:rPr>
          <w:rFonts w:ascii="Arial" w:cs="Arial" w:eastAsia="Arial" w:hAnsi="Arial"/>
          <w:sz w:val="19"/>
          <w:szCs w:val="19"/>
          <w:color w:val="auto"/>
        </w:rPr>
        <w:t>Nasdaq Stock Market</w:t>
      </w:r>
    </w:p>
    <w:p>
      <w:pPr>
        <w:spacing w:after="0" w:line="200" w:lineRule="exact"/>
        <w:rPr>
          <w:sz w:val="24"/>
          <w:szCs w:val="24"/>
          <w:color w:val="auto"/>
        </w:rPr>
      </w:pPr>
    </w:p>
    <w:p>
      <w:pPr>
        <w:spacing w:after="0" w:line="317"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74"/>
        </w:trPr>
        <w:tc>
          <w:tcPr>
            <w:tcW w:w="2740" w:type="dxa"/>
            <w:vAlign w:val="bottom"/>
            <w:gridSpan w:val="2"/>
          </w:tcPr>
          <w:p>
            <w:pPr>
              <w:spacing w:after="0"/>
              <w:rPr>
                <w:sz w:val="20"/>
                <w:szCs w:val="20"/>
                <w:color w:val="auto"/>
              </w:rPr>
            </w:pPr>
            <w:r>
              <w:rPr>
                <w:rFonts w:ascii="Arial" w:cs="Arial" w:eastAsia="Arial" w:hAnsi="Arial"/>
                <w:sz w:val="22"/>
                <w:szCs w:val="22"/>
                <w:color w:val="auto"/>
              </w:rPr>
              <w:t>Title of the Class</w:t>
            </w:r>
          </w:p>
        </w:tc>
        <w:tc>
          <w:tcPr>
            <w:tcW w:w="460" w:type="dxa"/>
            <w:vAlign w:val="bottom"/>
          </w:tcPr>
          <w:p>
            <w:pPr>
              <w:spacing w:after="0"/>
              <w:rPr>
                <w:sz w:val="23"/>
                <w:szCs w:val="23"/>
                <w:color w:val="auto"/>
              </w:rPr>
            </w:pPr>
          </w:p>
        </w:tc>
        <w:tc>
          <w:tcPr>
            <w:tcW w:w="2740" w:type="dxa"/>
            <w:vAlign w:val="bottom"/>
          </w:tcPr>
          <w:p>
            <w:pPr>
              <w:ind w:left="240"/>
              <w:spacing w:after="0"/>
              <w:rPr>
                <w:sz w:val="20"/>
                <w:szCs w:val="20"/>
                <w:color w:val="auto"/>
              </w:rPr>
            </w:pPr>
            <w:r>
              <w:rPr>
                <w:rFonts w:ascii="Arial" w:cs="Arial" w:eastAsia="Arial" w:hAnsi="Arial"/>
                <w:sz w:val="22"/>
                <w:szCs w:val="22"/>
                <w:color w:val="auto"/>
                <w:w w:val="88"/>
              </w:rPr>
              <w:t>American Depository Shares</w:t>
            </w:r>
          </w:p>
        </w:tc>
        <w:tc>
          <w:tcPr>
            <w:tcW w:w="0" w:type="dxa"/>
            <w:vAlign w:val="bottom"/>
          </w:tcPr>
          <w:p>
            <w:pPr>
              <w:spacing w:after="0"/>
              <w:rPr>
                <w:sz w:val="1"/>
                <w:szCs w:val="1"/>
                <w:color w:val="auto"/>
              </w:rPr>
            </w:pPr>
          </w:p>
        </w:tc>
      </w:tr>
      <w:tr>
        <w:trPr>
          <w:trHeight w:val="297"/>
        </w:trPr>
        <w:tc>
          <w:tcPr>
            <w:tcW w:w="2740" w:type="dxa"/>
            <w:vAlign w:val="bottom"/>
            <w:gridSpan w:val="2"/>
          </w:tcPr>
          <w:p>
            <w:pPr>
              <w:spacing w:after="0"/>
              <w:rPr>
                <w:sz w:val="20"/>
                <w:szCs w:val="20"/>
                <w:color w:val="auto"/>
              </w:rPr>
            </w:pPr>
            <w:r>
              <w:rPr>
                <w:rFonts w:ascii="Arial" w:cs="Arial" w:eastAsia="Arial" w:hAnsi="Arial"/>
                <w:sz w:val="22"/>
                <w:szCs w:val="22"/>
                <w:color w:val="auto"/>
              </w:rPr>
              <w:t>Date you Acquired</w:t>
            </w:r>
          </w:p>
        </w:tc>
        <w:tc>
          <w:tcPr>
            <w:tcW w:w="460" w:type="dxa"/>
            <w:vAlign w:val="bottom"/>
          </w:tcPr>
          <w:p>
            <w:pPr>
              <w:spacing w:after="0"/>
              <w:rPr>
                <w:sz w:val="24"/>
                <w:szCs w:val="24"/>
                <w:color w:val="auto"/>
              </w:rPr>
            </w:pPr>
          </w:p>
        </w:tc>
        <w:tc>
          <w:tcPr>
            <w:tcW w:w="2740" w:type="dxa"/>
            <w:vAlign w:val="bottom"/>
          </w:tcPr>
          <w:p>
            <w:pPr>
              <w:ind w:left="240"/>
              <w:spacing w:after="0"/>
              <w:rPr>
                <w:sz w:val="20"/>
                <w:szCs w:val="20"/>
                <w:color w:val="auto"/>
              </w:rPr>
            </w:pPr>
            <w:r>
              <w:rPr>
                <w:rFonts w:ascii="Arial" w:cs="Arial" w:eastAsia="Arial" w:hAnsi="Arial"/>
                <w:sz w:val="22"/>
                <w:szCs w:val="22"/>
                <w:color w:val="auto"/>
              </w:rPr>
              <w:t>07/17/2020</w:t>
            </w:r>
          </w:p>
        </w:tc>
        <w:tc>
          <w:tcPr>
            <w:tcW w:w="0" w:type="dxa"/>
            <w:vAlign w:val="bottom"/>
          </w:tcPr>
          <w:p>
            <w:pPr>
              <w:spacing w:after="0"/>
              <w:rPr>
                <w:sz w:val="1"/>
                <w:szCs w:val="1"/>
                <w:color w:val="auto"/>
              </w:rPr>
            </w:pPr>
          </w:p>
        </w:tc>
      </w:tr>
      <w:tr>
        <w:trPr>
          <w:trHeight w:val="297"/>
        </w:trPr>
        <w:tc>
          <w:tcPr>
            <w:tcW w:w="3200" w:type="dxa"/>
            <w:vAlign w:val="bottom"/>
            <w:gridSpan w:val="3"/>
          </w:tcPr>
          <w:p>
            <w:pPr>
              <w:spacing w:after="0"/>
              <w:rPr>
                <w:sz w:val="20"/>
                <w:szCs w:val="20"/>
                <w:color w:val="auto"/>
              </w:rPr>
            </w:pPr>
            <w:r>
              <w:rPr>
                <w:rFonts w:ascii="Arial" w:cs="Arial" w:eastAsia="Arial" w:hAnsi="Arial"/>
                <w:sz w:val="22"/>
                <w:szCs w:val="22"/>
                <w:color w:val="auto"/>
                <w:w w:val="98"/>
              </w:rPr>
              <w:t>Nature of Acquisition Transaction</w:t>
            </w:r>
          </w:p>
        </w:tc>
        <w:tc>
          <w:tcPr>
            <w:tcW w:w="2740" w:type="dxa"/>
            <w:vAlign w:val="bottom"/>
          </w:tcPr>
          <w:p>
            <w:pPr>
              <w:ind w:left="240"/>
              <w:spacing w:after="0"/>
              <w:rPr>
                <w:sz w:val="20"/>
                <w:szCs w:val="20"/>
                <w:color w:val="auto"/>
              </w:rPr>
            </w:pPr>
            <w:r>
              <w:rPr>
                <w:rFonts w:ascii="Arial" w:cs="Arial" w:eastAsia="Arial" w:hAnsi="Arial"/>
                <w:sz w:val="22"/>
                <w:szCs w:val="22"/>
                <w:color w:val="auto"/>
              </w:rPr>
              <w:t>public offering</w:t>
            </w:r>
          </w:p>
        </w:tc>
        <w:tc>
          <w:tcPr>
            <w:tcW w:w="0" w:type="dxa"/>
            <w:vAlign w:val="bottom"/>
          </w:tcPr>
          <w:p>
            <w:pPr>
              <w:spacing w:after="0"/>
              <w:rPr>
                <w:sz w:val="1"/>
                <w:szCs w:val="1"/>
                <w:color w:val="auto"/>
              </w:rPr>
            </w:pPr>
          </w:p>
        </w:tc>
      </w:tr>
      <w:tr>
        <w:trPr>
          <w:trHeight w:val="297"/>
        </w:trPr>
        <w:tc>
          <w:tcPr>
            <w:tcW w:w="5940" w:type="dxa"/>
            <w:vAlign w:val="bottom"/>
            <w:gridSpan w:val="4"/>
          </w:tcPr>
          <w:p>
            <w:pPr>
              <w:spacing w:after="0"/>
              <w:rPr>
                <w:sz w:val="20"/>
                <w:szCs w:val="20"/>
                <w:color w:val="auto"/>
              </w:rPr>
            </w:pPr>
            <w:r>
              <w:rPr>
                <w:rFonts w:ascii="Arial" w:cs="Arial" w:eastAsia="Arial" w:hAnsi="Arial"/>
                <w:sz w:val="22"/>
                <w:szCs w:val="22"/>
                <w:color w:val="auto"/>
              </w:rPr>
              <w:t>Name of Person from Whom Acquired Issuer</w:t>
            </w:r>
          </w:p>
        </w:tc>
        <w:tc>
          <w:tcPr>
            <w:tcW w:w="0" w:type="dxa"/>
            <w:vAlign w:val="bottom"/>
          </w:tcPr>
          <w:p>
            <w:pPr>
              <w:spacing w:after="0"/>
              <w:rPr>
                <w:sz w:val="1"/>
                <w:szCs w:val="1"/>
                <w:color w:val="auto"/>
              </w:rPr>
            </w:pPr>
          </w:p>
        </w:tc>
      </w:tr>
      <w:tr>
        <w:trPr>
          <w:trHeight w:val="306"/>
        </w:trPr>
        <w:tc>
          <w:tcPr>
            <w:tcW w:w="1320" w:type="dxa"/>
            <w:vAlign w:val="bottom"/>
            <w:vMerge w:val="restart"/>
          </w:tcPr>
          <w:p>
            <w:pPr>
              <w:ind w:left="40"/>
              <w:spacing w:after="0"/>
              <w:rPr>
                <w:sz w:val="20"/>
                <w:szCs w:val="20"/>
                <w:color w:val="auto"/>
              </w:rPr>
            </w:pPr>
            <w:r>
              <w:rPr>
                <w:rFonts w:ascii="Arial" w:cs="Arial" w:eastAsia="Arial" w:hAnsi="Arial"/>
                <w:sz w:val="22"/>
                <w:szCs w:val="22"/>
                <w:color w:val="auto"/>
                <w:w w:val="98"/>
              </w:rPr>
              <w:t>Is this a Gift?</w:t>
            </w:r>
          </w:p>
        </w:tc>
        <w:tc>
          <w:tcPr>
            <w:tcW w:w="1420" w:type="dxa"/>
            <w:vAlign w:val="bottom"/>
          </w:tcPr>
          <w:p>
            <w:pPr>
              <w:ind w:left="300"/>
              <w:spacing w:after="0"/>
              <w:rPr>
                <w:sz w:val="20"/>
                <w:szCs w:val="20"/>
                <w:color w:val="auto"/>
              </w:rPr>
            </w:pPr>
            <w:r>
              <w:rPr>
                <w:rFonts w:ascii="Arial" w:cs="Arial" w:eastAsia="Arial" w:hAnsi="Arial"/>
                <w:sz w:val="22"/>
                <w:szCs w:val="22"/>
                <w:color w:val="auto"/>
              </w:rPr>
              <w:t>Checkbox</w:t>
            </w:r>
          </w:p>
        </w:tc>
        <w:tc>
          <w:tcPr>
            <w:tcW w:w="3200" w:type="dxa"/>
            <w:vAlign w:val="bottom"/>
            <w:gridSpan w:val="2"/>
          </w:tcPr>
          <w:p>
            <w:pPr>
              <w:ind w:left="40"/>
              <w:spacing w:after="0"/>
              <w:rPr>
                <w:sz w:val="20"/>
                <w:szCs w:val="20"/>
                <w:color w:val="auto"/>
              </w:rPr>
            </w:pPr>
            <w:r>
              <w:rPr>
                <w:rFonts w:ascii="Arial" w:cs="Arial" w:eastAsia="Arial" w:hAnsi="Arial"/>
                <w:sz w:val="22"/>
                <w:szCs w:val="22"/>
                <w:color w:val="auto"/>
              </w:rPr>
              <w:t>Date Donor</w:t>
            </w:r>
          </w:p>
        </w:tc>
        <w:tc>
          <w:tcPr>
            <w:tcW w:w="0" w:type="dxa"/>
            <w:vAlign w:val="bottom"/>
          </w:tcPr>
          <w:p>
            <w:pPr>
              <w:spacing w:after="0"/>
              <w:rPr>
                <w:sz w:val="1"/>
                <w:szCs w:val="1"/>
                <w:color w:val="auto"/>
              </w:rPr>
            </w:pPr>
          </w:p>
        </w:tc>
      </w:tr>
      <w:tr>
        <w:trPr>
          <w:trHeight w:val="274"/>
        </w:trPr>
        <w:tc>
          <w:tcPr>
            <w:tcW w:w="1320" w:type="dxa"/>
            <w:vAlign w:val="bottom"/>
            <w:vMerge w:val="continue"/>
          </w:tcPr>
          <w:p>
            <w:pPr>
              <w:spacing w:after="0"/>
              <w:rPr>
                <w:sz w:val="23"/>
                <w:szCs w:val="23"/>
                <w:color w:val="auto"/>
              </w:rPr>
            </w:pPr>
          </w:p>
        </w:tc>
        <w:tc>
          <w:tcPr>
            <w:tcW w:w="1420" w:type="dxa"/>
            <w:vAlign w:val="bottom"/>
          </w:tcPr>
          <w:p>
            <w:pPr>
              <w:ind w:left="100"/>
              <w:spacing w:after="0"/>
              <w:rPr>
                <w:sz w:val="20"/>
                <w:szCs w:val="20"/>
                <w:color w:val="auto"/>
              </w:rPr>
            </w:pPr>
            <w:r>
              <w:rPr>
                <w:rFonts w:ascii="Arial" w:cs="Arial" w:eastAsia="Arial" w:hAnsi="Arial"/>
                <w:sz w:val="22"/>
                <w:szCs w:val="22"/>
                <w:color w:val="auto"/>
              </w:rPr>
              <w:t>not checked</w:t>
            </w:r>
          </w:p>
        </w:tc>
        <w:tc>
          <w:tcPr>
            <w:tcW w:w="3200" w:type="dxa"/>
            <w:vAlign w:val="bottom"/>
            <w:gridSpan w:val="2"/>
          </w:tcPr>
          <w:p>
            <w:pPr>
              <w:ind w:left="40"/>
              <w:spacing w:after="0"/>
              <w:rPr>
                <w:sz w:val="20"/>
                <w:szCs w:val="20"/>
                <w:color w:val="auto"/>
              </w:rPr>
            </w:pPr>
            <w:r>
              <w:rPr>
                <w:rFonts w:ascii="Arial" w:cs="Arial" w:eastAsia="Arial" w:hAnsi="Arial"/>
                <w:sz w:val="22"/>
                <w:szCs w:val="22"/>
                <w:color w:val="auto"/>
              </w:rPr>
              <w:t>Acquired</w:t>
            </w:r>
          </w:p>
        </w:tc>
        <w:tc>
          <w:tcPr>
            <w:tcW w:w="0" w:type="dxa"/>
            <w:vAlign w:val="bottom"/>
          </w:tcPr>
          <w:p>
            <w:pPr>
              <w:spacing w:after="0"/>
              <w:rPr>
                <w:sz w:val="1"/>
                <w:szCs w:val="1"/>
                <w:color w:val="auto"/>
              </w:rPr>
            </w:pPr>
          </w:p>
        </w:tc>
      </w:tr>
      <w:tr>
        <w:trPr>
          <w:trHeight w:val="338"/>
        </w:trPr>
        <w:tc>
          <w:tcPr>
            <w:tcW w:w="2740" w:type="dxa"/>
            <w:vAlign w:val="bottom"/>
            <w:gridSpan w:val="2"/>
          </w:tcPr>
          <w:p>
            <w:pPr>
              <w:spacing w:after="0"/>
              <w:rPr>
                <w:sz w:val="20"/>
                <w:szCs w:val="20"/>
                <w:color w:val="auto"/>
              </w:rPr>
            </w:pPr>
            <w:r>
              <w:rPr>
                <w:rFonts w:ascii="Arial" w:cs="Arial" w:eastAsia="Arial" w:hAnsi="Arial"/>
                <w:sz w:val="22"/>
                <w:szCs w:val="22"/>
                <w:color w:val="auto"/>
                <w:w w:val="91"/>
              </w:rPr>
              <w:t>Amount of Securities Acquired</w:t>
            </w:r>
          </w:p>
        </w:tc>
        <w:tc>
          <w:tcPr>
            <w:tcW w:w="460" w:type="dxa"/>
            <w:vAlign w:val="bottom"/>
          </w:tcPr>
          <w:p>
            <w:pPr>
              <w:spacing w:after="0"/>
              <w:rPr>
                <w:sz w:val="24"/>
                <w:szCs w:val="24"/>
                <w:color w:val="auto"/>
              </w:rPr>
            </w:pPr>
          </w:p>
        </w:tc>
        <w:tc>
          <w:tcPr>
            <w:tcW w:w="2740" w:type="dxa"/>
            <w:vAlign w:val="bottom"/>
          </w:tcPr>
          <w:p>
            <w:pPr>
              <w:ind w:left="240"/>
              <w:spacing w:after="0"/>
              <w:rPr>
                <w:sz w:val="20"/>
                <w:szCs w:val="20"/>
                <w:color w:val="auto"/>
              </w:rPr>
            </w:pPr>
            <w:r>
              <w:rPr>
                <w:rFonts w:ascii="Arial" w:cs="Arial" w:eastAsia="Arial" w:hAnsi="Arial"/>
                <w:sz w:val="22"/>
                <w:szCs w:val="22"/>
                <w:color w:val="auto"/>
              </w:rPr>
              <w:t>666667</w:t>
            </w:r>
          </w:p>
        </w:tc>
        <w:tc>
          <w:tcPr>
            <w:tcW w:w="0" w:type="dxa"/>
            <w:vAlign w:val="bottom"/>
          </w:tcPr>
          <w:p>
            <w:pPr>
              <w:spacing w:after="0"/>
              <w:rPr>
                <w:sz w:val="1"/>
                <w:szCs w:val="1"/>
                <w:color w:val="auto"/>
              </w:rPr>
            </w:pPr>
          </w:p>
        </w:tc>
      </w:tr>
      <w:tr>
        <w:trPr>
          <w:trHeight w:val="297"/>
        </w:trPr>
        <w:tc>
          <w:tcPr>
            <w:tcW w:w="2740" w:type="dxa"/>
            <w:vAlign w:val="bottom"/>
            <w:gridSpan w:val="2"/>
          </w:tcPr>
          <w:p>
            <w:pPr>
              <w:spacing w:after="0"/>
              <w:rPr>
                <w:sz w:val="20"/>
                <w:szCs w:val="20"/>
                <w:color w:val="auto"/>
              </w:rPr>
            </w:pPr>
            <w:r>
              <w:rPr>
                <w:rFonts w:ascii="Arial" w:cs="Arial" w:eastAsia="Arial" w:hAnsi="Arial"/>
                <w:sz w:val="22"/>
                <w:szCs w:val="22"/>
                <w:color w:val="auto"/>
              </w:rPr>
              <w:t>Date of Payment</w:t>
            </w:r>
          </w:p>
        </w:tc>
        <w:tc>
          <w:tcPr>
            <w:tcW w:w="460" w:type="dxa"/>
            <w:vAlign w:val="bottom"/>
          </w:tcPr>
          <w:p>
            <w:pPr>
              <w:spacing w:after="0"/>
              <w:rPr>
                <w:sz w:val="24"/>
                <w:szCs w:val="24"/>
                <w:color w:val="auto"/>
              </w:rPr>
            </w:pPr>
          </w:p>
        </w:tc>
        <w:tc>
          <w:tcPr>
            <w:tcW w:w="2740" w:type="dxa"/>
            <w:vAlign w:val="bottom"/>
          </w:tcPr>
          <w:p>
            <w:pPr>
              <w:ind w:left="240"/>
              <w:spacing w:after="0"/>
              <w:rPr>
                <w:sz w:val="20"/>
                <w:szCs w:val="20"/>
                <w:color w:val="auto"/>
              </w:rPr>
            </w:pPr>
            <w:r>
              <w:rPr>
                <w:rFonts w:ascii="Arial" w:cs="Arial" w:eastAsia="Arial" w:hAnsi="Arial"/>
                <w:sz w:val="22"/>
                <w:szCs w:val="22"/>
                <w:color w:val="auto"/>
              </w:rPr>
              <w:t>07/17/2020</w:t>
            </w:r>
          </w:p>
        </w:tc>
        <w:tc>
          <w:tcPr>
            <w:tcW w:w="0" w:type="dxa"/>
            <w:vAlign w:val="bottom"/>
          </w:tcPr>
          <w:p>
            <w:pPr>
              <w:spacing w:after="0"/>
              <w:rPr>
                <w:sz w:val="1"/>
                <w:szCs w:val="1"/>
                <w:color w:val="auto"/>
              </w:rPr>
            </w:pPr>
          </w:p>
        </w:tc>
      </w:tr>
      <w:tr>
        <w:trPr>
          <w:trHeight w:val="297"/>
        </w:trPr>
        <w:tc>
          <w:tcPr>
            <w:tcW w:w="2740" w:type="dxa"/>
            <w:vAlign w:val="bottom"/>
            <w:gridSpan w:val="2"/>
          </w:tcPr>
          <w:p>
            <w:pPr>
              <w:spacing w:after="0"/>
              <w:rPr>
                <w:sz w:val="20"/>
                <w:szCs w:val="20"/>
                <w:color w:val="auto"/>
              </w:rPr>
            </w:pPr>
            <w:r>
              <w:rPr>
                <w:rFonts w:ascii="Arial" w:cs="Arial" w:eastAsia="Arial" w:hAnsi="Arial"/>
                <w:sz w:val="22"/>
                <w:szCs w:val="22"/>
                <w:color w:val="auto"/>
              </w:rPr>
              <w:t>Nature of Payment</w:t>
            </w:r>
          </w:p>
        </w:tc>
        <w:tc>
          <w:tcPr>
            <w:tcW w:w="460" w:type="dxa"/>
            <w:vAlign w:val="bottom"/>
          </w:tcPr>
          <w:p>
            <w:pPr>
              <w:spacing w:after="0"/>
              <w:rPr>
                <w:sz w:val="24"/>
                <w:szCs w:val="24"/>
                <w:color w:val="auto"/>
              </w:rPr>
            </w:pPr>
          </w:p>
        </w:tc>
        <w:tc>
          <w:tcPr>
            <w:tcW w:w="2740" w:type="dxa"/>
            <w:vAlign w:val="bottom"/>
          </w:tcPr>
          <w:p>
            <w:pPr>
              <w:ind w:left="240"/>
              <w:spacing w:after="0"/>
              <w:rPr>
                <w:sz w:val="20"/>
                <w:szCs w:val="20"/>
                <w:color w:val="auto"/>
              </w:rPr>
            </w:pPr>
            <w:r>
              <w:rPr>
                <w:rFonts w:ascii="Arial" w:cs="Arial" w:eastAsia="Arial" w:hAnsi="Arial"/>
                <w:sz w:val="22"/>
                <w:szCs w:val="22"/>
                <w:color w:val="auto"/>
              </w:rPr>
              <w:t>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-906145</wp:posOffset>
            </wp:positionV>
            <wp:extent cx="13716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spacing w:after="0" w:line="238" w:lineRule="auto"/>
        <w:rPr>
          <w:sz w:val="20"/>
          <w:szCs w:val="20"/>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 and Address of Seller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 of Securities Sold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Sale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1"/>
          <w:szCs w:val="21"/>
          <w:color w:val="auto"/>
        </w:rPr>
        <w:t>Amount of Securities Sold</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2"/>
          <w:szCs w:val="22"/>
          <w:color w:val="auto"/>
        </w:rPr>
        <w:t>Gross Proceeds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The Biotech Growth Trust PLC</w:t>
      </w:r>
    </w:p>
    <w:p>
      <w:pPr>
        <w:spacing w:after="0" w:line="238" w:lineRule="auto"/>
        <w:rPr>
          <w:sz w:val="20"/>
          <w:szCs w:val="20"/>
          <w:color w:val="auto"/>
        </w:rPr>
      </w:pPr>
      <w:r>
        <w:rPr>
          <w:rFonts w:ascii="Arial" w:cs="Arial" w:eastAsia="Arial" w:hAnsi="Arial"/>
          <w:sz w:val="22"/>
          <w:szCs w:val="22"/>
          <w:color w:val="auto"/>
        </w:rPr>
        <w:t>c/o OrbiMed Capital LLC</w:t>
      </w:r>
    </w:p>
    <w:p>
      <w:pPr>
        <w:spacing w:after="0"/>
        <w:rPr>
          <w:sz w:val="20"/>
          <w:szCs w:val="20"/>
          <w:color w:val="auto"/>
        </w:rPr>
      </w:pPr>
      <w:r>
        <w:rPr>
          <w:rFonts w:ascii="Arial" w:cs="Arial" w:eastAsia="Arial" w:hAnsi="Arial"/>
          <w:sz w:val="19"/>
          <w:szCs w:val="19"/>
          <w:color w:val="auto"/>
        </w:rPr>
        <w:t>601 Lexington Avenue, 54th Floor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New York</w:t>
      </w:r>
    </w:p>
    <w:p>
      <w:pPr>
        <w:spacing w:after="0" w:line="230" w:lineRule="auto"/>
        <w:rPr>
          <w:sz w:val="20"/>
          <w:szCs w:val="20"/>
          <w:color w:val="auto"/>
        </w:rPr>
      </w:pPr>
      <w:r>
        <w:rPr>
          <w:rFonts w:ascii="Arial" w:cs="Arial" w:eastAsia="Arial" w:hAnsi="Arial"/>
          <w:sz w:val="22"/>
          <w:szCs w:val="22"/>
          <w:color w:val="auto"/>
        </w:rPr>
        <w:t>NY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10022</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American Depository Shares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12/22/2022</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229556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4997434.12</w:t>
      </w:r>
    </w:p>
    <w:p>
      <w:pPr>
        <w:spacing w:after="0" w:line="200" w:lineRule="exact"/>
        <w:rPr>
          <w:sz w:val="20"/>
          <w:szCs w:val="20"/>
          <w:color w:val="auto"/>
        </w:rPr>
      </w:pPr>
    </w:p>
    <w:p>
      <w:pPr>
        <w:sectPr>
          <w:pgSz w:w="11900" w:h="16838" w:orient="portrait"/>
          <w:cols w:equalWidth="0" w:num="2">
            <w:col w:w="2480" w:space="60"/>
            <w:col w:w="8700"/>
          </w:cols>
          <w:pgMar w:left="320" w:top="159"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p>
      <w:pPr>
        <w:ind w:left="940"/>
        <w:spacing w:after="0"/>
        <w:rPr>
          <w:sz w:val="20"/>
          <w:szCs w:val="20"/>
          <w:color w:val="auto"/>
        </w:rPr>
      </w:pPr>
      <w:r>
        <w:rPr>
          <w:rFonts w:ascii="Arial" w:cs="Arial" w:eastAsia="Arial" w:hAnsi="Arial"/>
          <w:sz w:val="19"/>
          <w:szCs w:val="19"/>
          <w:color w:val="auto"/>
        </w:rPr>
        <w:t>Additional sales in the last three months by The Biotech Growth Trust PLC (c/o OrbiMed Capital LLC 601 Lexington</w:t>
      </w:r>
    </w:p>
    <w:p>
      <w:pPr>
        <w:spacing w:after="0" w:line="43" w:lineRule="exact"/>
        <w:rPr>
          <w:sz w:val="20"/>
          <w:szCs w:val="20"/>
          <w:color w:val="auto"/>
        </w:rPr>
      </w:pPr>
    </w:p>
    <w:p>
      <w:pPr>
        <w:ind w:left="940" w:right="260" w:hanging="899"/>
        <w:spacing w:after="0" w:line="198" w:lineRule="auto"/>
        <w:tabs>
          <w:tab w:leader="none" w:pos="920" w:val="left"/>
        </w:tabs>
        <w:rPr>
          <w:sz w:val="20"/>
          <w:szCs w:val="20"/>
          <w:color w:val="auto"/>
        </w:rPr>
      </w:pPr>
      <w:r>
        <w:rPr>
          <w:rFonts w:ascii="Arial" w:cs="Arial" w:eastAsia="Arial" w:hAnsi="Arial"/>
          <w:sz w:val="33"/>
          <w:szCs w:val="33"/>
          <w:color w:val="auto"/>
          <w:vertAlign w:val="subscript"/>
        </w:rPr>
        <w:t>Remarks</w:t>
      </w:r>
      <w:r>
        <w:rPr>
          <w:sz w:val="20"/>
          <w:szCs w:val="20"/>
          <w:color w:val="auto"/>
        </w:rPr>
        <w:tab/>
      </w:r>
      <w:r>
        <w:rPr>
          <w:rFonts w:ascii="Arial" w:cs="Arial" w:eastAsia="Arial" w:hAnsi="Arial"/>
          <w:sz w:val="18"/>
          <w:szCs w:val="18"/>
          <w:color w:val="auto"/>
        </w:rPr>
        <w:t>Avenue, 54th Floor, New York, NY 10022) of American Depository Shares on 12/23/2022. 125,513 American Depository Shares were sold for gross proceeds of $2,866,716.92. OrbiMed Capital LLC is the portfolio manager of</w:t>
      </w:r>
    </w:p>
    <w:p>
      <w:pPr>
        <w:spacing w:after="0" w:line="2" w:lineRule="exact"/>
        <w:rPr>
          <w:sz w:val="20"/>
          <w:szCs w:val="20"/>
          <w:color w:val="auto"/>
        </w:rPr>
      </w:pPr>
    </w:p>
    <w:p>
      <w:pPr>
        <w:ind w:left="940"/>
        <w:spacing w:after="0"/>
        <w:rPr>
          <w:sz w:val="20"/>
          <w:szCs w:val="20"/>
          <w:color w:val="auto"/>
        </w:rPr>
      </w:pPr>
      <w:r>
        <w:rPr>
          <w:rFonts w:ascii="Arial" w:cs="Arial" w:eastAsia="Arial" w:hAnsi="Arial"/>
          <w:sz w:val="22"/>
          <w:szCs w:val="22"/>
          <w:color w:val="auto"/>
        </w:rPr>
        <w:t>The Biotech Growth Trust PLC.</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color w:val="auto"/>
              </w:rPr>
              <w:t>Date of</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w w:val="98"/>
              </w:rPr>
              <w:t>03/09/2023</w:t>
            </w:r>
          </w:p>
        </w:tc>
        <w:tc>
          <w:tcPr>
            <w:tcW w:w="0" w:type="dxa"/>
            <w:vAlign w:val="bottom"/>
          </w:tcPr>
          <w:p>
            <w:pPr>
              <w:spacing w:after="0"/>
              <w:rPr>
                <w:sz w:val="1"/>
                <w:szCs w:val="1"/>
                <w:color w:val="auto"/>
              </w:rPr>
            </w:pPr>
          </w:p>
        </w:tc>
      </w:tr>
      <w:tr>
        <w:trPr>
          <w:trHeight w:val="153"/>
        </w:trPr>
        <w:tc>
          <w:tcPr>
            <w:tcW w:w="780" w:type="dxa"/>
            <w:vAlign w:val="bottom"/>
            <w:vMerge w:val="restart"/>
          </w:tcPr>
          <w:p>
            <w:pPr>
              <w:spacing w:after="0"/>
              <w:rPr>
                <w:sz w:val="20"/>
                <w:szCs w:val="20"/>
                <w:color w:val="auto"/>
              </w:rPr>
            </w:pPr>
            <w:r>
              <w:rPr>
                <w:rFonts w:ascii="Arial" w:cs="Arial" w:eastAsia="Arial" w:hAnsi="Arial"/>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3"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40"/>
        <w:spacing w:after="0" w:line="181" w:lineRule="auto"/>
        <w:rPr>
          <w:sz w:val="20"/>
          <w:szCs w:val="20"/>
          <w:color w:val="auto"/>
        </w:rPr>
      </w:pPr>
      <w:r>
        <w:rPr>
          <w:rFonts w:ascii="Arial" w:cs="Arial" w:eastAsia="Arial" w:hAnsi="Arial"/>
          <w:sz w:val="33"/>
          <w:szCs w:val="33"/>
          <w:color w:val="auto"/>
          <w:vertAlign w:val="subscript"/>
        </w:rPr>
        <w:t>Signature</w:t>
      </w:r>
      <w:r>
        <w:rPr>
          <w:rFonts w:ascii="Arial" w:cs="Arial" w:eastAsia="Arial" w:hAnsi="Arial"/>
          <w:sz w:val="18"/>
          <w:szCs w:val="18"/>
          <w:color w:val="auto"/>
        </w:rPr>
        <w:t xml:space="preserve"> /s/ Douglas Coon, Chief Compliance Officer, OrbiMed Capital LLC, portfolio manager for The Biotech Growth Trust</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22"/>
          <w:szCs w:val="22"/>
          <w:color w:val="auto"/>
        </w:rPr>
        <w:t>PLC</w:t>
      </w:r>
    </w:p>
    <w:p>
      <w:pPr>
        <w:sectPr>
          <w:pgSz w:w="11900" w:h="16838" w:orient="portrait"/>
          <w:cols w:equalWidth="0" w:num="1">
            <w:col w:w="11240"/>
          </w:cols>
          <w:pgMar w:left="320" w:top="159" w:right="339" w:bottom="1440" w:gutter="0" w:footer="0" w:header="0"/>
          <w:type w:val="continuous"/>
        </w:sectPr>
      </w:pP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2023-03-10T05:17:47Z</dcterms:created>
  <dcterms:modified xsi:type="dcterms:W3CDTF">2023-03-10T05:17:47Z</dcterms:modified>
</cp:coreProperties>
</file>