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Hahn Mark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432,128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0.5225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15,394,032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closing price of the Issuer's ADSs on the Nasdaq Stock Market LLC on April 29, 2022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8,191,744 Ordinary Shares underlying Restricted Share Units, each of which represents a contingent right to receive one (1) Ordinary Share of the Issuer (which are represented by 1,023,968 ADSs); and (ii) 7,202,288 Ordinary Shares underlying 900,286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Mark Hahn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850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2022-05-03T19:22:32Z</dcterms:created>
  <dcterms:modified xsi:type="dcterms:W3CDTF">2022-05-03T19:22:32Z</dcterms:modified>
</cp:coreProperties>
</file>