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confidentially submitted to the Securities and Exchange Commission on March 2, 2017</w:t>
      </w:r>
    </w:p>
    <w:p>
      <w:pPr>
        <w:spacing w:after="0" w:line="217"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135255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Form F-1</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VERONA PHARMA PLC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(Translation of Registrant's Name into English)</w:t>
      </w:r>
    </w:p>
    <w:p>
      <w:pPr>
        <w:spacing w:after="0" w:line="199" w:lineRule="exact"/>
        <w:rPr>
          <w:sz w:val="24"/>
          <w:szCs w:val="24"/>
          <w:color w:val="auto"/>
        </w:rPr>
      </w:pPr>
    </w:p>
    <w:tbl>
      <w:tblPr>
        <w:tblLayout w:type="fixed"/>
        <w:tblInd w:w="2660" w:type="dxa"/>
        <w:tblCellMar>
          <w:top w:w="0" w:type="dxa"/>
          <w:left w:w="0" w:type="dxa"/>
          <w:bottom w:w="0" w:type="dxa"/>
          <w:right w:w="0" w:type="dxa"/>
        </w:tblCellMar>
      </w:tblPr>
      <w:tr>
        <w:trPr>
          <w:trHeight w:val="180"/>
        </w:trPr>
        <w:tc>
          <w:tcPr>
            <w:tcW w:w="1980" w:type="dxa"/>
            <w:vAlign w:val="bottom"/>
          </w:tcPr>
          <w:p>
            <w:pPr>
              <w:jc w:val="center"/>
              <w:ind w:right="88"/>
              <w:spacing w:after="0"/>
              <w:rPr>
                <w:sz w:val="20"/>
                <w:szCs w:val="20"/>
                <w:color w:val="auto"/>
              </w:rPr>
            </w:pPr>
            <w:r>
              <w:rPr>
                <w:rFonts w:ascii="Arial" w:cs="Arial" w:eastAsia="Arial" w:hAnsi="Arial"/>
                <w:sz w:val="14"/>
                <w:szCs w:val="14"/>
                <w:b w:val="1"/>
                <w:bCs w:val="1"/>
                <w:color w:val="auto"/>
              </w:rPr>
              <w:t>United Kingdom</w:t>
            </w:r>
          </w:p>
        </w:tc>
        <w:tc>
          <w:tcPr>
            <w:tcW w:w="2240" w:type="dxa"/>
            <w:vAlign w:val="bottom"/>
          </w:tcPr>
          <w:p>
            <w:pPr>
              <w:jc w:val="center"/>
              <w:ind w:right="48"/>
              <w:spacing w:after="0"/>
              <w:rPr>
                <w:sz w:val="20"/>
                <w:szCs w:val="20"/>
                <w:color w:val="auto"/>
              </w:rPr>
            </w:pPr>
            <w:r>
              <w:rPr>
                <w:rFonts w:ascii="Arial" w:cs="Arial" w:eastAsia="Arial" w:hAnsi="Arial"/>
                <w:sz w:val="14"/>
                <w:szCs w:val="14"/>
                <w:b w:val="1"/>
                <w:bCs w:val="1"/>
                <w:color w:val="auto"/>
              </w:rPr>
              <w:t>2834</w:t>
            </w:r>
          </w:p>
        </w:tc>
        <w:tc>
          <w:tcPr>
            <w:tcW w:w="1680" w:type="dxa"/>
            <w:vAlign w:val="bottom"/>
          </w:tcPr>
          <w:p>
            <w:pPr>
              <w:jc w:val="center"/>
              <w:ind w:left="20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1980" w:type="dxa"/>
            <w:vAlign w:val="bottom"/>
          </w:tcPr>
          <w:p>
            <w:pPr>
              <w:jc w:val="center"/>
              <w:ind w:right="68"/>
              <w:spacing w:after="0"/>
              <w:rPr>
                <w:sz w:val="20"/>
                <w:szCs w:val="20"/>
                <w:color w:val="auto"/>
              </w:rPr>
            </w:pPr>
            <w:r>
              <w:rPr>
                <w:rFonts w:ascii="Arial" w:cs="Arial" w:eastAsia="Arial" w:hAnsi="Arial"/>
                <w:sz w:val="14"/>
                <w:szCs w:val="14"/>
                <w:color w:val="auto"/>
              </w:rPr>
              <w:t>(State or other Jurisdiction of</w:t>
            </w:r>
          </w:p>
        </w:tc>
        <w:tc>
          <w:tcPr>
            <w:tcW w:w="2240" w:type="dxa"/>
            <w:vAlign w:val="bottom"/>
          </w:tcPr>
          <w:p>
            <w:pPr>
              <w:jc w:val="center"/>
              <w:ind w:right="28"/>
              <w:spacing w:after="0"/>
              <w:rPr>
                <w:sz w:val="20"/>
                <w:szCs w:val="20"/>
                <w:color w:val="auto"/>
              </w:rPr>
            </w:pPr>
            <w:r>
              <w:rPr>
                <w:rFonts w:ascii="Arial" w:cs="Arial" w:eastAsia="Arial" w:hAnsi="Arial"/>
                <w:sz w:val="14"/>
                <w:szCs w:val="14"/>
                <w:color w:val="auto"/>
              </w:rPr>
              <w:t>(Primary Standard Industrial</w:t>
            </w:r>
          </w:p>
        </w:tc>
        <w:tc>
          <w:tcPr>
            <w:tcW w:w="1680" w:type="dxa"/>
            <w:vAlign w:val="bottom"/>
          </w:tcPr>
          <w:p>
            <w:pPr>
              <w:jc w:val="center"/>
              <w:ind w:left="188"/>
              <w:spacing w:after="0"/>
              <w:rPr>
                <w:sz w:val="20"/>
                <w:szCs w:val="20"/>
                <w:color w:val="auto"/>
              </w:rPr>
            </w:pPr>
            <w:r>
              <w:rPr>
                <w:rFonts w:ascii="Arial" w:cs="Arial" w:eastAsia="Arial" w:hAnsi="Arial"/>
                <w:sz w:val="14"/>
                <w:szCs w:val="14"/>
                <w:color w:val="auto"/>
              </w:rPr>
              <w:t>(I.R.S. Employer</w:t>
            </w:r>
          </w:p>
        </w:tc>
      </w:tr>
      <w:tr>
        <w:trPr>
          <w:trHeight w:val="162"/>
        </w:trPr>
        <w:tc>
          <w:tcPr>
            <w:tcW w:w="1980" w:type="dxa"/>
            <w:vAlign w:val="bottom"/>
          </w:tcPr>
          <w:p>
            <w:pPr>
              <w:jc w:val="center"/>
              <w:ind w:right="88"/>
              <w:spacing w:after="0"/>
              <w:rPr>
                <w:sz w:val="20"/>
                <w:szCs w:val="20"/>
                <w:color w:val="auto"/>
              </w:rPr>
            </w:pPr>
            <w:r>
              <w:rPr>
                <w:rFonts w:ascii="Arial" w:cs="Arial" w:eastAsia="Arial" w:hAnsi="Arial"/>
                <w:sz w:val="14"/>
                <w:szCs w:val="14"/>
                <w:color w:val="auto"/>
              </w:rPr>
              <w:t>Incorporation or</w:t>
            </w:r>
          </w:p>
        </w:tc>
        <w:tc>
          <w:tcPr>
            <w:tcW w:w="2240" w:type="dxa"/>
            <w:vAlign w:val="bottom"/>
          </w:tcPr>
          <w:p>
            <w:pPr>
              <w:jc w:val="center"/>
              <w:ind w:right="28"/>
              <w:spacing w:after="0"/>
              <w:rPr>
                <w:sz w:val="20"/>
                <w:szCs w:val="20"/>
                <w:color w:val="auto"/>
              </w:rPr>
            </w:pPr>
            <w:r>
              <w:rPr>
                <w:rFonts w:ascii="Arial" w:cs="Arial" w:eastAsia="Arial" w:hAnsi="Arial"/>
                <w:sz w:val="14"/>
                <w:szCs w:val="14"/>
                <w:color w:val="auto"/>
              </w:rPr>
              <w:t>Classification Code Number)</w:t>
            </w:r>
          </w:p>
        </w:tc>
        <w:tc>
          <w:tcPr>
            <w:tcW w:w="1680" w:type="dxa"/>
            <w:vAlign w:val="bottom"/>
          </w:tcPr>
          <w:p>
            <w:pPr>
              <w:jc w:val="center"/>
              <w:ind w:left="208"/>
              <w:spacing w:after="0"/>
              <w:rPr>
                <w:sz w:val="20"/>
                <w:szCs w:val="20"/>
                <w:color w:val="auto"/>
              </w:rPr>
            </w:pPr>
            <w:r>
              <w:rPr>
                <w:rFonts w:ascii="Arial" w:cs="Arial" w:eastAsia="Arial" w:hAnsi="Arial"/>
                <w:sz w:val="14"/>
                <w:szCs w:val="14"/>
                <w:color w:val="auto"/>
              </w:rPr>
              <w:t>Identification Number)</w:t>
            </w:r>
          </w:p>
        </w:tc>
      </w:tr>
      <w:tr>
        <w:trPr>
          <w:trHeight w:val="172"/>
        </w:trPr>
        <w:tc>
          <w:tcPr>
            <w:tcW w:w="1980" w:type="dxa"/>
            <w:vAlign w:val="bottom"/>
          </w:tcPr>
          <w:p>
            <w:pPr>
              <w:jc w:val="center"/>
              <w:ind w:right="88"/>
              <w:spacing w:after="0"/>
              <w:rPr>
                <w:sz w:val="20"/>
                <w:szCs w:val="20"/>
                <w:color w:val="auto"/>
              </w:rPr>
            </w:pPr>
            <w:r>
              <w:rPr>
                <w:rFonts w:ascii="Arial" w:cs="Arial" w:eastAsia="Arial" w:hAnsi="Arial"/>
                <w:sz w:val="14"/>
                <w:szCs w:val="14"/>
                <w:color w:val="auto"/>
              </w:rPr>
              <w:t>Organization)</w:t>
            </w: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3 More London Riverside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London SE1 2RE UK</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Tel: +44 203 283 4200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National Corporate Research, Ltd.</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10 East 40th Street, 10th Floor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New York, New York 10016</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+1 800 221-0102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Copies of all communications, including communications sent to agent for service, should be sent to:</w:t>
      </w:r>
    </w:p>
    <w:p>
      <w:pPr>
        <w:spacing w:after="0" w:line="244" w:lineRule="exact"/>
        <w:rPr>
          <w:sz w:val="24"/>
          <w:szCs w:val="24"/>
          <w:color w:val="auto"/>
        </w:rPr>
      </w:pPr>
    </w:p>
    <w:tbl>
      <w:tblPr>
        <w:tblLayout w:type="fixed"/>
        <w:tblInd w:w="1480" w:type="dxa"/>
        <w:tblCellMar>
          <w:top w:w="0" w:type="dxa"/>
          <w:left w:w="0" w:type="dxa"/>
          <w:bottom w:w="0" w:type="dxa"/>
          <w:right w:w="0" w:type="dxa"/>
        </w:tblCellMar>
      </w:tblPr>
      <w:tr>
        <w:trPr>
          <w:trHeight w:val="162"/>
        </w:trPr>
        <w:tc>
          <w:tcPr>
            <w:tcW w:w="1960" w:type="dxa"/>
            <w:vAlign w:val="bottom"/>
          </w:tcPr>
          <w:p>
            <w:pPr>
              <w:jc w:val="center"/>
              <w:ind w:right="308"/>
              <w:spacing w:after="0"/>
              <w:rPr>
                <w:sz w:val="20"/>
                <w:szCs w:val="20"/>
                <w:color w:val="auto"/>
              </w:rPr>
            </w:pPr>
            <w:r>
              <w:rPr>
                <w:rFonts w:ascii="Arial" w:cs="Arial" w:eastAsia="Arial" w:hAnsi="Arial"/>
                <w:sz w:val="14"/>
                <w:szCs w:val="14"/>
                <w:b w:val="1"/>
                <w:bCs w:val="1"/>
                <w:color w:val="auto"/>
              </w:rPr>
              <w:t>Peter N. Handrinos</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Claire A. Keast-Butler</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Jonathan Parry</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Nathan Ajiashvili</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Latham &amp; Watkins LLP</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White &amp; Case LLP</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Latham &amp; Watkins LLP</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99 Bishopsgate</w:t>
            </w:r>
          </w:p>
        </w:tc>
        <w:tc>
          <w:tcPr>
            <w:tcW w:w="2080" w:type="dxa"/>
            <w:vAlign w:val="bottom"/>
          </w:tcPr>
          <w:p>
            <w:pPr>
              <w:jc w:val="center"/>
              <w:ind w:left="28"/>
              <w:spacing w:after="0"/>
              <w:rPr>
                <w:sz w:val="20"/>
                <w:szCs w:val="20"/>
                <w:color w:val="auto"/>
              </w:rPr>
            </w:pPr>
            <w:r>
              <w:rPr>
                <w:rFonts w:ascii="Arial" w:cs="Arial" w:eastAsia="Arial" w:hAnsi="Arial"/>
                <w:sz w:val="14"/>
                <w:szCs w:val="14"/>
                <w:b w:val="1"/>
                <w:bCs w:val="1"/>
                <w:color w:val="auto"/>
              </w:rPr>
              <w:t>5 Old Broad Street</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200 Clarendon Street</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London EC2M 3XF</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London EC2N 1DW</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1960" w:type="dxa"/>
            <w:vAlign w:val="bottom"/>
          </w:tcPr>
          <w:p>
            <w:pPr>
              <w:jc w:val="center"/>
              <w:ind w:right="288"/>
              <w:spacing w:after="0"/>
              <w:rPr>
                <w:sz w:val="20"/>
                <w:szCs w:val="20"/>
                <w:color w:val="auto"/>
              </w:rPr>
            </w:pPr>
            <w:r>
              <w:rPr>
                <w:rFonts w:ascii="Arial" w:cs="Arial" w:eastAsia="Arial" w:hAnsi="Arial"/>
                <w:sz w:val="14"/>
                <w:szCs w:val="14"/>
                <w:b w:val="1"/>
                <w:bCs w:val="1"/>
                <w:color w:val="auto"/>
              </w:rPr>
              <w:t>Boston, Massachusetts</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United Kingdom</w:t>
            </w:r>
          </w:p>
        </w:tc>
        <w:tc>
          <w:tcPr>
            <w:tcW w:w="2080" w:type="dxa"/>
            <w:vAlign w:val="bottom"/>
          </w:tcPr>
          <w:p>
            <w:pPr>
              <w:jc w:val="center"/>
              <w:ind w:left="48"/>
              <w:spacing w:after="0"/>
              <w:rPr>
                <w:sz w:val="20"/>
                <w:szCs w:val="20"/>
                <w:color w:val="auto"/>
              </w:rPr>
            </w:pPr>
            <w:r>
              <w:rPr>
                <w:rFonts w:ascii="Arial" w:cs="Arial" w:eastAsia="Arial" w:hAnsi="Arial"/>
                <w:sz w:val="14"/>
                <w:szCs w:val="14"/>
                <w:b w:val="1"/>
                <w:bCs w:val="1"/>
                <w:color w:val="auto"/>
              </w:rPr>
              <w:t>United Kingdom</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1114 Avenue of the Americas</w:t>
            </w:r>
          </w:p>
        </w:tc>
      </w:tr>
      <w:tr>
        <w:trPr>
          <w:trHeight w:val="162"/>
        </w:trPr>
        <w:tc>
          <w:tcPr>
            <w:tcW w:w="1960" w:type="dxa"/>
            <w:vAlign w:val="bottom"/>
          </w:tcPr>
          <w:p>
            <w:pPr>
              <w:jc w:val="right"/>
              <w:ind w:right="888"/>
              <w:spacing w:after="0"/>
              <w:rPr>
                <w:sz w:val="20"/>
                <w:szCs w:val="20"/>
                <w:color w:val="auto"/>
              </w:rPr>
            </w:pPr>
            <w:r>
              <w:rPr>
                <w:rFonts w:ascii="Arial" w:cs="Arial" w:eastAsia="Arial" w:hAnsi="Arial"/>
                <w:sz w:val="14"/>
                <w:szCs w:val="14"/>
                <w:b w:val="1"/>
                <w:bCs w:val="1"/>
                <w:color w:val="auto"/>
              </w:rPr>
              <w:t>02116</w:t>
            </w:r>
          </w:p>
        </w:tc>
        <w:tc>
          <w:tcPr>
            <w:tcW w:w="2320" w:type="dxa"/>
            <w:vAlign w:val="bottom"/>
          </w:tcPr>
          <w:p>
            <w:pPr>
              <w:jc w:val="center"/>
              <w:ind w:right="8"/>
              <w:spacing w:after="0"/>
              <w:rPr>
                <w:sz w:val="20"/>
                <w:szCs w:val="20"/>
                <w:color w:val="auto"/>
              </w:rPr>
            </w:pPr>
            <w:r>
              <w:rPr>
                <w:rFonts w:ascii="Arial" w:cs="Arial" w:eastAsia="Arial" w:hAnsi="Arial"/>
                <w:sz w:val="14"/>
                <w:szCs w:val="14"/>
                <w:b w:val="1"/>
                <w:bCs w:val="1"/>
                <w:color w:val="auto"/>
              </w:rPr>
              <w:t>+44 20 7710-1000</w:t>
            </w:r>
          </w:p>
        </w:tc>
        <w:tc>
          <w:tcPr>
            <w:tcW w:w="2080" w:type="dxa"/>
            <w:vAlign w:val="bottom"/>
          </w:tcPr>
          <w:p>
            <w:pPr>
              <w:jc w:val="center"/>
              <w:ind w:left="28"/>
              <w:spacing w:after="0"/>
              <w:rPr>
                <w:sz w:val="20"/>
                <w:szCs w:val="20"/>
                <w:color w:val="auto"/>
              </w:rPr>
            </w:pPr>
            <w:r>
              <w:rPr>
                <w:rFonts w:ascii="Arial" w:cs="Arial" w:eastAsia="Arial" w:hAnsi="Arial"/>
                <w:sz w:val="14"/>
                <w:szCs w:val="14"/>
                <w:b w:val="1"/>
                <w:bCs w:val="1"/>
                <w:color w:val="auto"/>
              </w:rPr>
              <w:t>+44 20 7532-1000</w:t>
            </w: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New York, New York 10036</w:t>
            </w:r>
          </w:p>
        </w:tc>
      </w:tr>
      <w:tr>
        <w:trPr>
          <w:trHeight w:val="190"/>
        </w:trPr>
        <w:tc>
          <w:tcPr>
            <w:tcW w:w="1960" w:type="dxa"/>
            <w:vAlign w:val="bottom"/>
          </w:tcPr>
          <w:p>
            <w:pPr>
              <w:jc w:val="right"/>
              <w:ind w:right="548"/>
              <w:spacing w:after="0"/>
              <w:rPr>
                <w:sz w:val="20"/>
                <w:szCs w:val="20"/>
                <w:color w:val="auto"/>
              </w:rPr>
            </w:pPr>
            <w:r>
              <w:rPr>
                <w:rFonts w:ascii="Arial" w:cs="Arial" w:eastAsia="Arial" w:hAnsi="Arial"/>
                <w:sz w:val="14"/>
                <w:szCs w:val="14"/>
                <w:b w:val="1"/>
                <w:bCs w:val="1"/>
                <w:color w:val="auto"/>
              </w:rPr>
              <w:t>+1 617 948-6000</w:t>
            </w:r>
          </w:p>
        </w:tc>
        <w:tc>
          <w:tcPr>
            <w:tcW w:w="2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00" w:type="dxa"/>
            <w:vAlign w:val="bottom"/>
          </w:tcPr>
          <w:p>
            <w:pPr>
              <w:jc w:val="center"/>
              <w:ind w:left="248"/>
              <w:spacing w:after="0"/>
              <w:rPr>
                <w:sz w:val="20"/>
                <w:szCs w:val="20"/>
                <w:color w:val="auto"/>
              </w:rPr>
            </w:pPr>
            <w:r>
              <w:rPr>
                <w:rFonts w:ascii="Arial" w:cs="Arial" w:eastAsia="Arial" w:hAnsi="Arial"/>
                <w:sz w:val="14"/>
                <w:szCs w:val="14"/>
                <w:b w:val="1"/>
                <w:bCs w:val="1"/>
                <w:color w:val="auto"/>
              </w:rPr>
              <w:t>+1 212 479-6000</w:t>
            </w:r>
          </w:p>
        </w:tc>
      </w:tr>
    </w:tbl>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17"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208" w:lineRule="exact"/>
        <w:rPr>
          <w:sz w:val="24"/>
          <w:szCs w:val="24"/>
          <w:color w:val="auto"/>
        </w:rPr>
      </w:pPr>
    </w:p>
    <w:p>
      <w:pPr>
        <w:ind w:right="140"/>
        <w:spacing w:after="0" w:line="258"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8"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8"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4"/>
          <w:szCs w:val="24"/>
          <w:color w:val="auto"/>
        </w:rPr>
      </w:pPr>
    </w:p>
    <w:p>
      <w:pPr>
        <w:spacing w:after="0" w:line="253" w:lineRule="exact"/>
        <w:rPr>
          <w:sz w:val="24"/>
          <w:szCs w:val="24"/>
          <w:color w:val="auto"/>
        </w:rPr>
      </w:pPr>
    </w:p>
    <w:tbl>
      <w:tblPr>
        <w:tblLayout w:type="fixed"/>
        <w:tblInd w:w="620" w:type="dxa"/>
        <w:tblCellMar>
          <w:top w:w="0" w:type="dxa"/>
          <w:left w:w="0" w:type="dxa"/>
          <w:bottom w:w="0" w:type="dxa"/>
          <w:right w:w="0" w:type="dxa"/>
        </w:tblCellMar>
      </w:tblPr>
      <w:tr>
        <w:trPr>
          <w:trHeight w:val="40"/>
        </w:trPr>
        <w:tc>
          <w:tcPr>
            <w:tcW w:w="5740" w:type="dxa"/>
            <w:vAlign w:val="bottom"/>
            <w:tcBorders>
              <w:top w:val="single" w:sz="8" w:color="auto"/>
              <w:bottom w:val="single" w:sz="8" w:color="auto"/>
            </w:tcBorders>
          </w:tcPr>
          <w:p>
            <w:pPr>
              <w:spacing w:after="0"/>
              <w:rPr>
                <w:sz w:val="3"/>
                <w:szCs w:val="3"/>
                <w:color w:val="auto"/>
              </w:rPr>
            </w:pPr>
          </w:p>
        </w:tc>
        <w:tc>
          <w:tcPr>
            <w:tcW w:w="282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29"/>
        </w:trPr>
        <w:tc>
          <w:tcPr>
            <w:tcW w:w="5740" w:type="dxa"/>
            <w:vAlign w:val="bottom"/>
          </w:tcPr>
          <w:p>
            <w:pPr>
              <w:spacing w:after="0"/>
              <w:rPr>
                <w:sz w:val="11"/>
                <w:szCs w:val="11"/>
                <w:color w:val="auto"/>
              </w:rPr>
            </w:pPr>
          </w:p>
        </w:tc>
        <w:tc>
          <w:tcPr>
            <w:tcW w:w="2820" w:type="dxa"/>
            <w:vAlign w:val="bottom"/>
          </w:tcPr>
          <w:p>
            <w:pPr>
              <w:jc w:val="center"/>
              <w:ind w:left="913"/>
              <w:spacing w:after="0" w:line="129" w:lineRule="exact"/>
              <w:rPr>
                <w:sz w:val="20"/>
                <w:szCs w:val="20"/>
                <w:color w:val="auto"/>
              </w:rPr>
            </w:pPr>
            <w:r>
              <w:rPr>
                <w:rFonts w:ascii="Arial" w:cs="Arial" w:eastAsia="Arial" w:hAnsi="Arial"/>
                <w:sz w:val="14"/>
                <w:szCs w:val="14"/>
                <w:b w:val="1"/>
                <w:bCs w:val="1"/>
                <w:color w:val="auto"/>
              </w:rPr>
              <w:t>PROPOSED MAXIMUM</w:t>
            </w:r>
          </w:p>
        </w:tc>
        <w:tc>
          <w:tcPr>
            <w:tcW w:w="1640" w:type="dxa"/>
            <w:vAlign w:val="bottom"/>
          </w:tcPr>
          <w:p>
            <w:pPr>
              <w:spacing w:after="0"/>
              <w:rPr>
                <w:sz w:val="11"/>
                <w:szCs w:val="11"/>
                <w:color w:val="auto"/>
              </w:rPr>
            </w:pPr>
          </w:p>
        </w:tc>
      </w:tr>
      <w:tr>
        <w:trPr>
          <w:trHeight w:val="175"/>
        </w:trPr>
        <w:tc>
          <w:tcPr>
            <w:tcW w:w="5740" w:type="dxa"/>
            <w:vAlign w:val="bottom"/>
          </w:tcPr>
          <w:p>
            <w:pPr>
              <w:jc w:val="center"/>
              <w:ind w:left="828"/>
              <w:spacing w:after="0"/>
              <w:rPr>
                <w:sz w:val="20"/>
                <w:szCs w:val="20"/>
                <w:color w:val="auto"/>
              </w:rPr>
            </w:pPr>
            <w:r>
              <w:rPr>
                <w:rFonts w:ascii="Arial" w:cs="Arial" w:eastAsia="Arial" w:hAnsi="Arial"/>
                <w:sz w:val="14"/>
                <w:szCs w:val="14"/>
                <w:b w:val="1"/>
                <w:bCs w:val="1"/>
                <w:color w:val="auto"/>
              </w:rPr>
              <w:t>TITLE OF EACH CLASS OF SECURITIES</w:t>
            </w:r>
          </w:p>
        </w:tc>
        <w:tc>
          <w:tcPr>
            <w:tcW w:w="2820" w:type="dxa"/>
            <w:vAlign w:val="bottom"/>
          </w:tcPr>
          <w:p>
            <w:pPr>
              <w:jc w:val="center"/>
              <w:ind w:left="893"/>
              <w:spacing w:after="0"/>
              <w:rPr>
                <w:sz w:val="20"/>
                <w:szCs w:val="20"/>
                <w:color w:val="auto"/>
              </w:rPr>
            </w:pPr>
            <w:r>
              <w:rPr>
                <w:rFonts w:ascii="Arial" w:cs="Arial" w:eastAsia="Arial" w:hAnsi="Arial"/>
                <w:sz w:val="14"/>
                <w:szCs w:val="14"/>
                <w:b w:val="1"/>
                <w:bCs w:val="1"/>
                <w:color w:val="auto"/>
              </w:rPr>
              <w:t>AGGREGATE OFFERING</w:t>
            </w:r>
          </w:p>
        </w:tc>
        <w:tc>
          <w:tcPr>
            <w:tcW w:w="1640" w:type="dxa"/>
            <w:vAlign w:val="bottom"/>
          </w:tcPr>
          <w:p>
            <w:pPr>
              <w:ind w:left="420"/>
              <w:spacing w:after="0"/>
              <w:rPr>
                <w:sz w:val="20"/>
                <w:szCs w:val="20"/>
                <w:color w:val="auto"/>
              </w:rPr>
            </w:pPr>
            <w:r>
              <w:rPr>
                <w:rFonts w:ascii="Arial" w:cs="Arial" w:eastAsia="Arial" w:hAnsi="Arial"/>
                <w:sz w:val="14"/>
                <w:szCs w:val="14"/>
                <w:b w:val="1"/>
                <w:bCs w:val="1"/>
                <w:color w:val="auto"/>
              </w:rPr>
              <w:t>AMOUNT OF</w:t>
            </w:r>
          </w:p>
        </w:tc>
      </w:tr>
      <w:tr>
        <w:trPr>
          <w:trHeight w:val="216"/>
        </w:trPr>
        <w:tc>
          <w:tcPr>
            <w:tcW w:w="574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b w:val="1"/>
                <w:bCs w:val="1"/>
                <w:color w:val="auto"/>
              </w:rPr>
              <w:t>TO BE REGISTERED</w:t>
            </w:r>
          </w:p>
        </w:tc>
        <w:tc>
          <w:tcPr>
            <w:tcW w:w="2820" w:type="dxa"/>
            <w:vAlign w:val="bottom"/>
            <w:tcBorders>
              <w:bottom w:val="single" w:sz="8" w:color="auto"/>
            </w:tcBorders>
          </w:tcPr>
          <w:p>
            <w:pPr>
              <w:jc w:val="center"/>
              <w:ind w:left="893"/>
              <w:spacing w:after="0" w:line="216" w:lineRule="exact"/>
              <w:rPr>
                <w:sz w:val="20"/>
                <w:szCs w:val="20"/>
                <w:color w:val="auto"/>
              </w:rPr>
            </w:pPr>
            <w:r>
              <w:rPr>
                <w:rFonts w:ascii="Arial" w:cs="Arial" w:eastAsia="Arial" w:hAnsi="Arial"/>
                <w:sz w:val="25"/>
                <w:szCs w:val="25"/>
                <w:b w:val="1"/>
                <w:bCs w:val="1"/>
                <w:color w:val="auto"/>
                <w:w w:val="92"/>
                <w:vertAlign w:val="subscript"/>
              </w:rPr>
              <w:t>PRICE</w:t>
            </w:r>
            <w:r>
              <w:rPr>
                <w:rFonts w:ascii="Arial" w:cs="Arial" w:eastAsia="Arial" w:hAnsi="Arial"/>
                <w:sz w:val="10"/>
                <w:szCs w:val="10"/>
                <w:b w:val="1"/>
                <w:bCs w:val="1"/>
                <w:color w:val="auto"/>
                <w:w w:val="92"/>
              </w:rPr>
              <w:t>(3)(4)</w:t>
            </w: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10"/>
                <w:szCs w:val="10"/>
                <w:b w:val="1"/>
                <w:bCs w:val="1"/>
                <w:color w:val="auto"/>
              </w:rPr>
              <w:t>(5)</w:t>
            </w:r>
          </w:p>
        </w:tc>
      </w:tr>
      <w:tr>
        <w:trPr>
          <w:trHeight w:val="204"/>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Ordinary shares, nominal value £0.05 per share</w:t>
            </w:r>
            <w:r>
              <w:rPr>
                <w:rFonts w:ascii="Arial" w:cs="Arial" w:eastAsia="Arial" w:hAnsi="Arial"/>
                <w:sz w:val="10"/>
                <w:szCs w:val="10"/>
                <w:color w:val="auto"/>
              </w:rPr>
              <w:t>(1)(2)</w:t>
            </w:r>
          </w:p>
        </w:tc>
        <w:tc>
          <w:tcPr>
            <w:tcW w:w="2820" w:type="dxa"/>
            <w:vAlign w:val="bottom"/>
            <w:tcBorders>
              <w:bottom w:val="single" w:sz="8" w:color="auto"/>
            </w:tcBorders>
          </w:tcPr>
          <w:p>
            <w:pPr>
              <w:jc w:val="right"/>
              <w:ind w:right="1633"/>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20"/>
          </w:cols>
          <w:pgMar w:left="240" w:top="710"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7360" w:type="dxa"/>
            <w:vAlign w:val="bottom"/>
            <w:vMerge w:val="restart"/>
          </w:tcPr>
          <w:p>
            <w:pPr>
              <w:ind w:left="200"/>
              <w:spacing w:after="0"/>
              <w:rPr>
                <w:sz w:val="20"/>
                <w:szCs w:val="20"/>
                <w:color w:val="auto"/>
              </w:rPr>
            </w:pPr>
            <w:r>
              <w:rPr>
                <w:rFonts w:ascii="Arial" w:cs="Arial" w:eastAsia="Arial" w:hAnsi="Arial"/>
                <w:sz w:val="14"/>
                <w:szCs w:val="14"/>
                <w:color w:val="auto"/>
              </w:rPr>
              <w:t>These ordinary shares are represented by American Depositary Shares, or ADSs, each of which represents</w:t>
            </w:r>
          </w:p>
        </w:tc>
        <w:tc>
          <w:tcPr>
            <w:tcW w:w="2420" w:type="dxa"/>
            <w:vAlign w:val="bottom"/>
            <w:vMerge w:val="restart"/>
          </w:tcPr>
          <w:p>
            <w:pPr>
              <w:ind w:left="300"/>
              <w:spacing w:after="0"/>
              <w:rPr>
                <w:sz w:val="20"/>
                <w:szCs w:val="20"/>
                <w:color w:val="auto"/>
              </w:rPr>
            </w:pPr>
            <w:r>
              <w:rPr>
                <w:rFonts w:ascii="Arial" w:cs="Arial" w:eastAsia="Arial" w:hAnsi="Arial"/>
                <w:sz w:val="14"/>
                <w:szCs w:val="14"/>
                <w:color w:val="auto"/>
              </w:rPr>
              <w:t>ordinary shares of the Registrant.</w:t>
            </w: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7360" w:type="dxa"/>
            <w:vAlign w:val="bottom"/>
            <w:vMerge w:val="continue"/>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ADSs issuable upon deposit of the ordinary shares registered hereby are being registered pursuant to a separate registration statement on Form F-6 (File</w:t>
      </w:r>
    </w:p>
    <w:p>
      <w:pPr>
        <w:spacing w:after="0" w:line="23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Includes the aggregate offering price of additional ordinary shares represented by ADSs that the underwriters have the option to purchase.</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127635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0"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FF4040"/>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20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FF4040"/>
        </w:rPr>
        <w:t>SUBJECT TO COMPLETION, Dated March 2,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97"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163830</wp:posOffset>
            </wp:positionV>
            <wp:extent cx="192976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7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20"/>
        <w:spacing w:after="0"/>
        <w:tabs>
          <w:tab w:leader="none" w:pos="6200" w:val="left"/>
        </w:tabs>
        <w:rPr>
          <w:sz w:val="20"/>
          <w:szCs w:val="20"/>
          <w:color w:val="auto"/>
        </w:rPr>
      </w:pPr>
      <w:r>
        <w:rPr>
          <w:rFonts w:ascii="Arial" w:cs="Arial" w:eastAsia="Arial" w:hAnsi="Arial"/>
          <w:sz w:val="24"/>
          <w:szCs w:val="24"/>
          <w:b w:val="1"/>
          <w:bCs w:val="1"/>
          <w:color w:val="auto"/>
        </w:rPr>
        <w:t>Representing</w:t>
      </w:r>
      <w:r>
        <w:rPr>
          <w:sz w:val="20"/>
          <w:szCs w:val="20"/>
          <w:color w:val="auto"/>
        </w:rPr>
        <w:tab/>
      </w:r>
      <w:r>
        <w:rPr>
          <w:rFonts w:ascii="Arial" w:cs="Arial" w:eastAsia="Arial" w:hAnsi="Arial"/>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163830</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offering American Depositary Shares, or ADSs. Each ADS represents offering of our ADSs, and no public market currently exists for our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This is our initial public</w:t>
      </w:r>
    </w:p>
    <w:p>
      <w:pPr>
        <w:spacing w:after="0" w:line="428" w:lineRule="exact"/>
        <w:rPr>
          <w:sz w:val="20"/>
          <w:szCs w:val="20"/>
          <w:color w:val="auto"/>
        </w:rPr>
      </w:pPr>
    </w:p>
    <w:p>
      <w:pPr>
        <w:sectPr>
          <w:pgSz w:w="11900" w:h="16838" w:orient="portrait"/>
          <w:cols w:equalWidth="0" w:num="2">
            <w:col w:w="7000" w:space="720"/>
            <w:col w:w="3720"/>
          </w:cols>
          <w:pgMar w:left="240" w:top="143" w:right="219" w:bottom="1440" w:gutter="0" w:footer="0" w:header="0"/>
          <w:type w:val="continuous"/>
        </w:sectPr>
      </w:pPr>
    </w:p>
    <w:p>
      <w:pPr>
        <w:spacing w:after="0" w:line="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ordinary shares trade on AIM, a market of the London Stock Exchange, under the symbol "VRP." On , 2017, the last reported sale price of our ordinary shares on AIM was £ per share (equivalent to $ per ADS based on an exchange rate of £1.00 to $ ).</w:t>
      </w:r>
    </w:p>
    <w:p>
      <w:pPr>
        <w:sectPr>
          <w:pgSz w:w="11900" w:h="16838" w:orient="portrait"/>
          <w:cols w:equalWidth="0" w:num="1">
            <w:col w:w="11440"/>
          </w:cols>
          <w:pgMar w:left="240" w:top="143" w:right="21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list our ADSs on The NASDAQ Global Market under the symbol "VRNA."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ADSs involves risks. See "Risk Factors" beginning on page 11 of this prospectus.</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as such, will be eligible for reduced public company disclosure requirements. Please see "Prospectus Summary—Implications of Being an Emerging Growth Company and a Foreign Private Issuer" for additional information.</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PER ADS</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5"/>
                <w:szCs w:val="15"/>
                <w:color w:val="auto"/>
              </w:rPr>
            </w:pPr>
          </w:p>
        </w:tc>
      </w:tr>
      <w:tr>
        <w:trPr>
          <w:trHeight w:val="199"/>
        </w:trPr>
        <w:tc>
          <w:tcPr>
            <w:tcW w:w="6520" w:type="dxa"/>
            <w:vAlign w:val="bottom"/>
          </w:tcPr>
          <w:p>
            <w:pPr>
              <w:ind w:left="1380"/>
              <w:spacing w:after="0" w:line="199" w:lineRule="exact"/>
              <w:rPr>
                <w:sz w:val="20"/>
                <w:szCs w:val="20"/>
                <w:color w:val="auto"/>
              </w:rPr>
            </w:pPr>
            <w:r>
              <w:rPr>
                <w:rFonts w:ascii="Arial" w:cs="Arial" w:eastAsia="Arial" w:hAnsi="Arial"/>
                <w:sz w:val="18"/>
                <w:szCs w:val="18"/>
                <w:color w:val="auto"/>
              </w:rPr>
              <w:t>Public offering price</w:t>
            </w:r>
          </w:p>
        </w:tc>
        <w:tc>
          <w:tcPr>
            <w:tcW w:w="2180" w:type="dxa"/>
            <w:vAlign w:val="bottom"/>
            <w:gridSpan w:val="2"/>
          </w:tcPr>
          <w:p>
            <w:pPr>
              <w:jc w:val="right"/>
              <w:ind w:right="748"/>
              <w:spacing w:after="0" w:line="19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line="199"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7"/>
                <w:szCs w:val="17"/>
                <w:color w:val="auto"/>
              </w:rPr>
            </w:pPr>
          </w:p>
        </w:tc>
      </w:tr>
      <w:tr>
        <w:trPr>
          <w:trHeight w:val="244"/>
        </w:trPr>
        <w:tc>
          <w:tcPr>
            <w:tcW w:w="6520" w:type="dxa"/>
            <w:vAlign w:val="bottom"/>
          </w:tcPr>
          <w:p>
            <w:pPr>
              <w:ind w:left="1380"/>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(1)</w:t>
            </w:r>
          </w:p>
        </w:tc>
        <w:tc>
          <w:tcPr>
            <w:tcW w:w="21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1"/>
                <w:szCs w:val="21"/>
                <w:color w:val="auto"/>
              </w:rPr>
            </w:pPr>
          </w:p>
        </w:tc>
      </w:tr>
      <w:tr>
        <w:trPr>
          <w:trHeight w:val="211"/>
        </w:trPr>
        <w:tc>
          <w:tcPr>
            <w:tcW w:w="6520" w:type="dxa"/>
            <w:vAlign w:val="bottom"/>
          </w:tcPr>
          <w:p>
            <w:pPr>
              <w:ind w:left="1380"/>
              <w:spacing w:after="0"/>
              <w:rPr>
                <w:sz w:val="20"/>
                <w:szCs w:val="20"/>
                <w:color w:val="auto"/>
              </w:rPr>
            </w:pPr>
            <w:r>
              <w:rPr>
                <w:rFonts w:ascii="Arial" w:cs="Arial" w:eastAsia="Arial" w:hAnsi="Arial"/>
                <w:sz w:val="18"/>
                <w:szCs w:val="18"/>
                <w:color w:val="auto"/>
              </w:rPr>
              <w:t>Proceeds to Verona Pharma plc, before expenses</w:t>
            </w:r>
          </w:p>
        </w:tc>
        <w:tc>
          <w:tcPr>
            <w:tcW w:w="21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r>
      <w:tr>
        <w:trPr>
          <w:trHeight w:val="97"/>
        </w:trPr>
        <w:tc>
          <w:tcPr>
            <w:tcW w:w="65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140" w:lineRule="exact"/>
        <w:rPr>
          <w:sz w:val="20"/>
          <w:szCs w:val="20"/>
          <w:color w:val="auto"/>
        </w:rPr>
      </w:pPr>
    </w:p>
    <w:p>
      <w:pPr>
        <w:ind w:left="540" w:hanging="532"/>
        <w:spacing w:after="0"/>
        <w:tabs>
          <w:tab w:leader="none" w:pos="5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See "Underwriting" for additional information regarding underwriting compensation.</w:t>
      </w:r>
    </w:p>
    <w:p>
      <w:pPr>
        <w:spacing w:after="0" w:line="2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Delivery of our ADSs is expected to be made on or about , 2017. We have granted the underwriters an option for a period of 30 days to purchase an additional ADSs. If the underwriters exercise the option in full, the total underwriting discounts and commissions payable by us will be $ , and the total proceeds to us, before expenses, will be $ .</w:t>
      </w:r>
    </w:p>
    <w:p>
      <w:pPr>
        <w:sectPr>
          <w:pgSz w:w="11900" w:h="16838" w:orient="portrait"/>
          <w:cols w:equalWidth="0" w:num="1">
            <w:col w:w="11440"/>
          </w:cols>
          <w:pgMar w:left="240" w:top="143" w:right="219" w:bottom="1440" w:gutter="0" w:footer="0" w:header="0"/>
          <w:type w:val="continuous"/>
        </w:sectPr>
      </w:pPr>
    </w:p>
    <w:p>
      <w:pPr>
        <w:spacing w:after="0" w:line="171" w:lineRule="exact"/>
        <w:rPr>
          <w:sz w:val="20"/>
          <w:szCs w:val="20"/>
          <w:color w:val="auto"/>
        </w:rPr>
      </w:pPr>
    </w:p>
    <w:p>
      <w:pPr>
        <w:ind w:left="1140"/>
        <w:spacing w:after="0"/>
        <w:rPr>
          <w:sz w:val="20"/>
          <w:szCs w:val="20"/>
          <w:color w:val="auto"/>
        </w:rPr>
      </w:pPr>
      <w:r>
        <w:rPr>
          <w:rFonts w:ascii="Arial" w:cs="Arial" w:eastAsia="Arial" w:hAnsi="Arial"/>
          <w:sz w:val="24"/>
          <w:szCs w:val="24"/>
          <w:b w:val="1"/>
          <w:bCs w:val="1"/>
          <w:color w:val="auto"/>
        </w:rPr>
        <w:t>Jefferies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Stifel</w:t>
      </w:r>
    </w:p>
    <w:p>
      <w:pPr>
        <w:spacing w:after="0" w:line="200" w:lineRule="exact"/>
        <w:rPr>
          <w:sz w:val="20"/>
          <w:szCs w:val="20"/>
          <w:color w:val="auto"/>
        </w:rPr>
      </w:pPr>
    </w:p>
    <w:p>
      <w:pPr>
        <w:sectPr>
          <w:pgSz w:w="11900" w:h="16838" w:orient="portrait"/>
          <w:cols w:equalWidth="0" w:num="2">
            <w:col w:w="8960" w:space="720"/>
            <w:col w:w="1760"/>
          </w:cols>
          <w:pgMar w:left="240" w:top="143" w:right="219" w:bottom="1440" w:gutter="0" w:footer="0" w:header="0"/>
          <w:type w:val="continuous"/>
        </w:sectPr>
      </w:pP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Wedbush PacGrow</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SunTrust Robinson Humphrey</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60" w:type="dxa"/>
            <w:vAlign w:val="bottom"/>
          </w:tcPr>
          <w:p>
            <w:pPr>
              <w:ind w:left="4080"/>
              <w:spacing w:after="0"/>
              <w:rPr>
                <w:sz w:val="20"/>
                <w:szCs w:val="20"/>
                <w:color w:val="auto"/>
              </w:rPr>
            </w:pPr>
            <w:r>
              <w:rPr>
                <w:rFonts w:ascii="Arial" w:cs="Arial" w:eastAsia="Arial" w:hAnsi="Arial"/>
                <w:sz w:val="18"/>
                <w:szCs w:val="18"/>
                <w:color w:val="auto"/>
              </w:rPr>
              <w:t>Prospectus dated</w:t>
            </w:r>
          </w:p>
        </w:tc>
        <w:tc>
          <w:tcPr>
            <w:tcW w:w="5260" w:type="dxa"/>
            <w:vAlign w:val="bottom"/>
          </w:tcPr>
          <w:p>
            <w:pPr>
              <w:jc w:val="right"/>
              <w:ind w:right="3992"/>
              <w:spacing w:after="0"/>
              <w:rPr>
                <w:sz w:val="20"/>
                <w:szCs w:val="20"/>
                <w:color w:val="auto"/>
              </w:rPr>
            </w:pPr>
            <w:r>
              <w:rPr>
                <w:rFonts w:ascii="Arial" w:cs="Arial" w:eastAsia="Arial" w:hAnsi="Arial"/>
                <w:sz w:val="18"/>
                <w:szCs w:val="18"/>
                <w:color w:val="auto"/>
              </w:rPr>
              <w:t>, 2017</w:t>
            </w:r>
          </w:p>
        </w:tc>
      </w:tr>
      <w:tr>
        <w:trPr>
          <w:trHeight w:val="215"/>
        </w:trPr>
        <w:tc>
          <w:tcPr>
            <w:tcW w:w="6160" w:type="dxa"/>
            <w:vAlign w:val="bottom"/>
            <w:tcBorders>
              <w:bottom w:val="single" w:sz="8" w:color="808080"/>
            </w:tcBorders>
          </w:tcPr>
          <w:p>
            <w:pPr>
              <w:spacing w:after="0"/>
              <w:rPr>
                <w:sz w:val="18"/>
                <w:szCs w:val="18"/>
                <w:color w:val="auto"/>
              </w:rPr>
            </w:pPr>
          </w:p>
        </w:tc>
        <w:tc>
          <w:tcPr>
            <w:tcW w:w="52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1780" w:type="dxa"/>
            <w:vAlign w:val="bottom"/>
            <w:gridSpan w:val="1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About This Prospectus</w:t>
              </w:r>
            </w:hyperlink>
          </w:p>
        </w:tc>
        <w:tc>
          <w:tcPr>
            <w:tcW w:w="5140" w:type="dxa"/>
            <w:vAlign w:val="bottom"/>
            <w:gridSpan w:val="16"/>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132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Presentation of Financial Information</w:t>
              </w:r>
            </w:hyperlink>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1320"/>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860" w:type="dxa"/>
            <w:vAlign w:val="bottom"/>
            <w:gridSpan w:val="1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4060" w:type="dxa"/>
            <w:vAlign w:val="bottom"/>
            <w:gridSpan w:val="10"/>
          </w:tcPr>
          <w:p>
            <w:pPr>
              <w:spacing w:after="0"/>
              <w:rPr>
                <w:sz w:val="15"/>
                <w:szCs w:val="15"/>
                <w:color w:val="auto"/>
              </w:rPr>
            </w:pPr>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680" w:type="dxa"/>
            <w:vAlign w:val="bottom"/>
            <w:gridSpan w:val="10"/>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5240" w:type="dxa"/>
            <w:vAlign w:val="bottom"/>
            <w:gridSpan w:val="17"/>
          </w:tcPr>
          <w:p>
            <w:pPr>
              <w:spacing w:after="0"/>
              <w:rPr>
                <w:sz w:val="15"/>
                <w:szCs w:val="15"/>
                <w:color w:val="auto"/>
              </w:rPr>
            </w:pPr>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Cautionary Statement Regarding Forward-Looking Statements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r>
      <w:tr>
        <w:trPr>
          <w:trHeight w:val="183"/>
        </w:trPr>
        <w:tc>
          <w:tcPr>
            <w:tcW w:w="1140" w:type="dxa"/>
            <w:vAlign w:val="bottom"/>
          </w:tcPr>
          <w:p>
            <w:pPr>
              <w:spacing w:after="0"/>
              <w:rPr>
                <w:sz w:val="15"/>
                <w:szCs w:val="15"/>
                <w:color w:val="auto"/>
              </w:rPr>
            </w:pPr>
          </w:p>
        </w:tc>
        <w:tc>
          <w:tcPr>
            <w:tcW w:w="48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Market and Industry Data</w:t>
              </w:r>
            </w:hyperlink>
          </w:p>
        </w:tc>
        <w:tc>
          <w:tcPr>
            <w:tcW w:w="2060" w:type="dxa"/>
            <w:vAlign w:val="bottom"/>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55</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520" w:type="dxa"/>
            <w:vAlign w:val="bottom"/>
            <w:tcBorders>
              <w:bottom w:val="single" w:sz="8" w:color="0000EE"/>
            </w:tcBorders>
            <w:gridSpan w:val="23"/>
          </w:tcPr>
          <w:p>
            <w:pPr>
              <w:spacing w:after="0" w:line="182"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Trademarks, Service Marks and Tradenames</w:t>
              </w:r>
            </w:hyperlink>
          </w:p>
        </w:tc>
        <w:tc>
          <w:tcPr>
            <w:tcW w:w="3400" w:type="dxa"/>
            <w:vAlign w:val="bottom"/>
            <w:gridSpan w:val="4"/>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55</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Exchange Rate Information</w:t>
              </w:r>
            </w:hyperlink>
          </w:p>
        </w:tc>
        <w:tc>
          <w:tcPr>
            <w:tcW w:w="4780" w:type="dxa"/>
            <w:vAlign w:val="bottom"/>
            <w:gridSpan w:val="12"/>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56</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8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Price Range of Our Ordinary Shares</w:t>
              </w:r>
            </w:hyperlink>
          </w:p>
        </w:tc>
        <w:tc>
          <w:tcPr>
            <w:tcW w:w="4060" w:type="dxa"/>
            <w:vAlign w:val="bottom"/>
            <w:gridSpan w:val="10"/>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57</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r>
      <w:tr>
        <w:trPr>
          <w:trHeight w:val="183"/>
        </w:trPr>
        <w:tc>
          <w:tcPr>
            <w:tcW w:w="1140" w:type="dxa"/>
            <w:vAlign w:val="bottom"/>
          </w:tcPr>
          <w:p>
            <w:pPr>
              <w:spacing w:after="0"/>
              <w:rPr>
                <w:sz w:val="15"/>
                <w:szCs w:val="15"/>
                <w:color w:val="auto"/>
              </w:rPr>
            </w:pPr>
          </w:p>
        </w:tc>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Dividend Policy</w:t>
              </w:r>
            </w:hyperlink>
          </w:p>
        </w:tc>
        <w:tc>
          <w:tcPr>
            <w:tcW w:w="5620" w:type="dxa"/>
            <w:vAlign w:val="bottom"/>
            <w:gridSpan w:val="18"/>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59</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Capitalization</w:t>
              </w:r>
            </w:hyperlink>
          </w:p>
        </w:tc>
        <w:tc>
          <w:tcPr>
            <w:tcW w:w="5720" w:type="dxa"/>
            <w:vAlign w:val="bottom"/>
            <w:gridSpan w:val="19"/>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60</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5860" w:type="dxa"/>
            <w:vAlign w:val="bottom"/>
            <w:gridSpan w:val="21"/>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61</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9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Selected Consolidated Financial Data</w:t>
              </w:r>
            </w:hyperlink>
          </w:p>
        </w:tc>
        <w:tc>
          <w:tcPr>
            <w:tcW w:w="3980" w:type="dxa"/>
            <w:vAlign w:val="bottom"/>
            <w:gridSpan w:val="9"/>
          </w:tcPr>
          <w:p>
            <w:pPr>
              <w:spacing w:after="0"/>
              <w:rPr>
                <w:sz w:val="15"/>
                <w:szCs w:val="15"/>
                <w:color w:val="auto"/>
              </w:rPr>
            </w:pPr>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63</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Management's Discussion and Analysis of Financial Condition and Results of Operations</w:t>
              </w:r>
            </w:hyperlink>
          </w:p>
        </w:tc>
        <w:tc>
          <w:tcPr>
            <w:tcW w:w="186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Business</w:t>
              </w:r>
            </w:hyperlink>
          </w:p>
        </w:tc>
        <w:tc>
          <w:tcPr>
            <w:tcW w:w="3380" w:type="dxa"/>
            <w:vAlign w:val="bottom"/>
            <w:gridSpan w:val="6"/>
          </w:tcPr>
          <w:p>
            <w:pPr>
              <w:jc w:val="right"/>
              <w:ind w:right="1320"/>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75</w:t>
              </w:r>
            </w:hyperlink>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22">
              <w:r>
                <w:rPr>
                  <w:rFonts w:ascii="Arial" w:cs="Arial" w:eastAsia="Arial" w:hAnsi="Arial"/>
                  <w:sz w:val="18"/>
                  <w:szCs w:val="18"/>
                  <w:color w:val="0000EE"/>
                  <w:w w:val="97"/>
                </w:rPr>
                <w:t>Management</w:t>
              </w:r>
            </w:hyperlink>
          </w:p>
        </w:tc>
        <w:tc>
          <w:tcPr>
            <w:tcW w:w="5880" w:type="dxa"/>
            <w:vAlign w:val="bottom"/>
            <w:gridSpan w:val="22"/>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22">
              <w:r>
                <w:rPr>
                  <w:rFonts w:ascii="Arial" w:cs="Arial" w:eastAsia="Arial" w:hAnsi="Arial"/>
                  <w:sz w:val="18"/>
                  <w:szCs w:val="18"/>
                  <w:color w:val="0000EE"/>
                  <w:w w:val="79"/>
                </w:rPr>
                <w:t>117</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8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133">
              <w:r>
                <w:rPr>
                  <w:rFonts w:ascii="Arial" w:cs="Arial" w:eastAsia="Arial" w:hAnsi="Arial"/>
                  <w:sz w:val="18"/>
                  <w:szCs w:val="18"/>
                  <w:color w:val="0000EE"/>
                  <w:w w:val="97"/>
                </w:rPr>
                <w:t>Principal Shareholders</w:t>
              </w:r>
            </w:hyperlink>
          </w:p>
        </w:tc>
        <w:tc>
          <w:tcPr>
            <w:tcW w:w="5140" w:type="dxa"/>
            <w:vAlign w:val="bottom"/>
            <w:gridSpan w:val="16"/>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33">
              <w:r>
                <w:rPr>
                  <w:rFonts w:ascii="Arial" w:cs="Arial" w:eastAsia="Arial" w:hAnsi="Arial"/>
                  <w:sz w:val="18"/>
                  <w:szCs w:val="18"/>
                  <w:color w:val="0000EE"/>
                  <w:w w:val="79"/>
                </w:rPr>
                <w:t>128</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Related Party Transactions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132</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Description of Share Capital and Articles of Association</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134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3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157">
              <w:r>
                <w:rPr>
                  <w:rFonts w:ascii="Arial" w:cs="Arial" w:eastAsia="Arial" w:hAnsi="Arial"/>
                  <w:sz w:val="18"/>
                  <w:szCs w:val="18"/>
                  <w:color w:val="0000EE"/>
                </w:rPr>
                <w:t>Description of American Depositary Shares</w:t>
              </w:r>
            </w:hyperlink>
          </w:p>
        </w:tc>
        <w:tc>
          <w:tcPr>
            <w:tcW w:w="2620" w:type="dxa"/>
            <w:vAlign w:val="bottom"/>
            <w:gridSpan w:val="2"/>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57">
              <w:r>
                <w:rPr>
                  <w:rFonts w:ascii="Arial" w:cs="Arial" w:eastAsia="Arial" w:hAnsi="Arial"/>
                  <w:sz w:val="18"/>
                  <w:szCs w:val="18"/>
                  <w:color w:val="0000EE"/>
                  <w:w w:val="79"/>
                </w:rPr>
                <w:t>152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3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67">
              <w:r>
                <w:rPr>
                  <w:rFonts w:ascii="Arial" w:cs="Arial" w:eastAsia="Arial" w:hAnsi="Arial"/>
                  <w:sz w:val="18"/>
                  <w:szCs w:val="18"/>
                  <w:color w:val="0000EE"/>
                </w:rPr>
                <w:t>Shares and ADSs Eligible for Future Sale</w:t>
              </w:r>
            </w:hyperlink>
          </w:p>
        </w:tc>
        <w:tc>
          <w:tcPr>
            <w:tcW w:w="3560" w:type="dxa"/>
            <w:vAlign w:val="bottom"/>
            <w:gridSpan w:val="6"/>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67">
              <w:r>
                <w:rPr>
                  <w:rFonts w:ascii="Arial" w:cs="Arial" w:eastAsia="Arial" w:hAnsi="Arial"/>
                  <w:sz w:val="18"/>
                  <w:szCs w:val="18"/>
                  <w:color w:val="0000EE"/>
                  <w:w w:val="79"/>
                </w:rPr>
                <w:t>162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169">
              <w:r>
                <w:rPr>
                  <w:rFonts w:ascii="Arial" w:cs="Arial" w:eastAsia="Arial" w:hAnsi="Arial"/>
                  <w:sz w:val="18"/>
                  <w:szCs w:val="18"/>
                  <w:color w:val="0000EE"/>
                  <w:w w:val="96"/>
                </w:rPr>
                <w:t>Material Tax Considerations</w:t>
              </w:r>
            </w:hyperlink>
          </w:p>
        </w:tc>
        <w:tc>
          <w:tcPr>
            <w:tcW w:w="1040" w:type="dxa"/>
            <w:vAlign w:val="bottom"/>
            <w:tcBorders>
              <w:top w:val="single" w:sz="8" w:color="0000EE"/>
            </w:tcBorders>
            <w:gridSpan w:val="4"/>
          </w:tcPr>
          <w:p>
            <w:pPr>
              <w:spacing w:after="0"/>
              <w:rPr>
                <w:sz w:val="15"/>
                <w:szCs w:val="15"/>
                <w:color w:val="auto"/>
              </w:rPr>
            </w:pPr>
          </w:p>
        </w:tc>
        <w:tc>
          <w:tcPr>
            <w:tcW w:w="3700" w:type="dxa"/>
            <w:vAlign w:val="bottom"/>
            <w:gridSpan w:val="7"/>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69">
              <w:r>
                <w:rPr>
                  <w:rFonts w:ascii="Arial" w:cs="Arial" w:eastAsia="Arial" w:hAnsi="Arial"/>
                  <w:sz w:val="18"/>
                  <w:szCs w:val="18"/>
                  <w:color w:val="0000EE"/>
                  <w:w w:val="79"/>
                </w:rPr>
                <w:t>164</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77">
              <w:r>
                <w:rPr>
                  <w:rFonts w:ascii="Arial" w:cs="Arial" w:eastAsia="Arial" w:hAnsi="Arial"/>
                  <w:sz w:val="18"/>
                  <w:szCs w:val="18"/>
                  <w:color w:val="0000EE"/>
                  <w:w w:val="96"/>
                </w:rPr>
                <w:t>Underwriting</w:t>
              </w:r>
            </w:hyperlink>
          </w:p>
        </w:tc>
        <w:tc>
          <w:tcPr>
            <w:tcW w:w="5920" w:type="dxa"/>
            <w:vAlign w:val="bottom"/>
            <w:gridSpan w:val="23"/>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77">
              <w:r>
                <w:rPr>
                  <w:rFonts w:ascii="Arial" w:cs="Arial" w:eastAsia="Arial" w:hAnsi="Arial"/>
                  <w:sz w:val="18"/>
                  <w:szCs w:val="18"/>
                  <w:color w:val="0000EE"/>
                  <w:w w:val="79"/>
                </w:rPr>
                <w:t>172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0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186">
              <w:r>
                <w:rPr>
                  <w:rFonts w:ascii="Arial" w:cs="Arial" w:eastAsia="Arial" w:hAnsi="Arial"/>
                  <w:sz w:val="18"/>
                  <w:szCs w:val="18"/>
                  <w:color w:val="0000EE"/>
                  <w:w w:val="96"/>
                </w:rPr>
                <w:t>Expenses of The Offering</w:t>
              </w:r>
            </w:hyperlink>
          </w:p>
        </w:tc>
        <w:tc>
          <w:tcPr>
            <w:tcW w:w="4920" w:type="dxa"/>
            <w:vAlign w:val="bottom"/>
            <w:gridSpan w:val="14"/>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6">
              <w:r>
                <w:rPr>
                  <w:rFonts w:ascii="Arial" w:cs="Arial" w:eastAsia="Arial" w:hAnsi="Arial"/>
                  <w:sz w:val="18"/>
                  <w:szCs w:val="18"/>
                  <w:color w:val="0000EE"/>
                  <w:w w:val="79"/>
                </w:rPr>
                <w:t>181</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87">
              <w:r>
                <w:rPr>
                  <w:rFonts w:ascii="Arial" w:cs="Arial" w:eastAsia="Arial" w:hAnsi="Arial"/>
                  <w:sz w:val="18"/>
                  <w:szCs w:val="18"/>
                  <w:color w:val="0000EE"/>
                  <w:w w:val="97"/>
                </w:rPr>
                <w:t>Legal Matters</w:t>
              </w:r>
            </w:hyperlink>
          </w:p>
        </w:tc>
        <w:tc>
          <w:tcPr>
            <w:tcW w:w="5840" w:type="dxa"/>
            <w:vAlign w:val="bottom"/>
            <w:gridSpan w:val="20"/>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7">
              <w:r>
                <w:rPr>
                  <w:rFonts w:ascii="Arial" w:cs="Arial" w:eastAsia="Arial" w:hAnsi="Arial"/>
                  <w:sz w:val="18"/>
                  <w:szCs w:val="18"/>
                  <w:color w:val="0000EE"/>
                  <w:w w:val="79"/>
                </w:rPr>
                <w:t>182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72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Auditors</w:t>
              </w:r>
            </w:hyperlink>
          </w:p>
        </w:tc>
        <w:tc>
          <w:tcPr>
            <w:tcW w:w="6200" w:type="dxa"/>
            <w:vAlign w:val="bottom"/>
            <w:gridSpan w:val="25"/>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79"/>
              </w:rPr>
            </w:pPr>
            <w:hyperlink w:anchor="page187">
              <w:r>
                <w:rPr>
                  <w:rFonts w:ascii="Arial" w:cs="Arial" w:eastAsia="Arial" w:hAnsi="Arial"/>
                  <w:sz w:val="18"/>
                  <w:szCs w:val="18"/>
                  <w:color w:val="0000EE"/>
                  <w:w w:val="79"/>
                </w:rPr>
                <w:t>182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Experts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182</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0" w:type="dxa"/>
            <w:vAlign w:val="bottom"/>
            <w:gridSpan w:val="18"/>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Service of Process and Enforcement of Liabilities</w:t>
              </w:r>
            </w:hyperlink>
          </w:p>
        </w:tc>
        <w:tc>
          <w:tcPr>
            <w:tcW w:w="2060" w:type="dxa"/>
            <w:vAlign w:val="bottom"/>
            <w:gridSpan w:val="5"/>
          </w:tcPr>
          <w:p>
            <w:pPr>
              <w:jc w:val="right"/>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182</w:t>
              </w:r>
            </w:hyperlink>
          </w:p>
        </w:tc>
        <w:tc>
          <w:tcPr>
            <w:tcW w:w="13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8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90">
              <w:r>
                <w:rPr>
                  <w:rFonts w:ascii="Arial" w:cs="Arial" w:eastAsia="Arial" w:hAnsi="Arial"/>
                  <w:sz w:val="18"/>
                  <w:szCs w:val="18"/>
                  <w:color w:val="0000EE"/>
                </w:rPr>
                <w:t>Where You Can Find More Information</w:t>
              </w:r>
            </w:hyperlink>
          </w:p>
        </w:tc>
        <w:tc>
          <w:tcPr>
            <w:tcW w:w="3100" w:type="dxa"/>
            <w:vAlign w:val="bottom"/>
            <w:gridSpan w:val="3"/>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79"/>
              </w:rPr>
            </w:pPr>
            <w:hyperlink w:anchor="page190">
              <w:r>
                <w:rPr>
                  <w:rFonts w:ascii="Arial" w:cs="Arial" w:eastAsia="Arial" w:hAnsi="Arial"/>
                  <w:sz w:val="18"/>
                  <w:szCs w:val="18"/>
                  <w:color w:val="0000EE"/>
                  <w:w w:val="79"/>
                </w:rPr>
                <w:t>185</w:t>
              </w:r>
            </w:hyperlink>
          </w:p>
        </w:tc>
        <w:tc>
          <w:tcPr>
            <w:tcW w:w="13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00" w:type="dxa"/>
            <w:vAlign w:val="bottom"/>
            <w:gridSpan w:val="19"/>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920" w:type="dxa"/>
            <w:vAlign w:val="bottom"/>
            <w:gridSpan w:val="27"/>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Index to Consolidated Financial Statements</w:t>
              </w:r>
            </w:hyperlink>
          </w:p>
        </w:tc>
        <w:tc>
          <w:tcPr>
            <w:tcW w:w="1800" w:type="dxa"/>
            <w:vAlign w:val="bottom"/>
          </w:tcPr>
          <w:p>
            <w:pPr>
              <w:spacing w:after="0"/>
              <w:rPr>
                <w:sz w:val="15"/>
                <w:szCs w:val="15"/>
                <w:color w:val="auto"/>
              </w:rPr>
            </w:pPr>
          </w:p>
        </w:tc>
        <w:tc>
          <w:tcPr>
            <w:tcW w:w="1580" w:type="dxa"/>
            <w:vAlign w:val="bottom"/>
            <w:gridSpan w:val="5"/>
          </w:tcPr>
          <w:p>
            <w:pPr>
              <w:jc w:val="right"/>
              <w:ind w:right="1320"/>
              <w:spacing w:after="0" w:line="182" w:lineRule="exact"/>
              <w:rPr>
                <w:rFonts w:ascii="Arial" w:cs="Arial" w:eastAsia="Arial" w:hAnsi="Arial"/>
                <w:sz w:val="18"/>
                <w:szCs w:val="18"/>
                <w:color w:val="0000EE"/>
                <w:w w:val="88"/>
              </w:rPr>
            </w:pPr>
            <w:hyperlink w:anchor="page191">
              <w:r>
                <w:rPr>
                  <w:rFonts w:ascii="Arial" w:cs="Arial" w:eastAsia="Arial" w:hAnsi="Arial"/>
                  <w:sz w:val="18"/>
                  <w:szCs w:val="18"/>
                  <w:color w:val="0000EE"/>
                  <w:w w:val="88"/>
                </w:rPr>
                <w:t>F-1</w:t>
              </w:r>
            </w:hyperlink>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38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6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right="100"/>
        <w:spacing w:after="0"/>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in any jurisdiction where the offer or sale is not permitted. You should not assume that the information contained in this prospectus is accurate as of any date other than the date on the front cover of this prospectus, regardless of the time of delivery of this prospectus or the sale of any ADSs.</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ADSs and the distribution of this prospectus outside the United States.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"Verona," the "Company," "we," "us" and "our" refer to Verona Pharma plc and our wholly owned subsidiaries Verona Pharma, Inc. and Rhinopharma Limited.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4"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This prospectus includes our audited consolidated financial statements as of and for the years ended December 31, 2015 and 2016 prepared in accordance with International Financial Reporting Standards, or IFRS, as issued by the International Accounting Standards Board, or IASB. We refer to these consolidated financial statements collectively as the "Annual Consolidated Financial Statements." None of our financial statements were prepared in accordance with U.S. GAAP.</w:t>
      </w:r>
    </w:p>
    <w:p>
      <w:pPr>
        <w:spacing w:after="0" w:line="20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financial information is presented in pounds sterling. For the convenience of the reader, we have translated some of our financial information into U.S. dollars. Unless otherwise indicated, these translations were made at the rate of £1.00 to $1.2337, the noon buying rate of the Federal Reserve Bank of New York on December 30, 2016. Such U.S. dollar amounts are not necessarily indicative of the amounts of U.S. dollars that could actually have been purchased upon exchange of pounds sterling at the dates indicated. All references in this prospectus to "$" mean U.S. dollars and all references to "£" and "GBP" mean pounds sterling.</w:t>
      </w:r>
    </w:p>
    <w:p>
      <w:pPr>
        <w:spacing w:after="0" w:line="2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170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170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40" w:right="20"/>
        <w:spacing w:after="0" w:line="243"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"Risk Factors," "Business," "Management's Discussion and Analysis of Financial Condition and Results of Operations" and our consolidated financial statements, including the notes thereto, before deciding to invest in our ADSs.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spacing w:after="0" w:line="235"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and has shown clinically meaningful and statistically significant improvements in lung function when added to two commonly used bronchodilators as compared to either bronchodilator administered as a single agent. Statistically significant means that there is a low statistical probability, typically less than 5%, that the observed results occurred by chance alone. RPL554 also has shown anti-inflammatory effects and been well tolerated in our clinical trials, and has not been observed to result in the gastrointestinal or other side effects commonly associated with Roflumilast, the only PDE4 inhibitor currently on the market for the treatment of chronic obstructive pulmonary disease, or COPD.</w:t>
      </w:r>
    </w:p>
    <w:p>
      <w:pPr>
        <w:spacing w:after="0" w:line="215"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We are developing RPL554 for the treatment of patients with COPD. We believe there is an urgent and unmet medical need for new and more effective treatments for COPD to reduce the number and burden of symptoms, reduce acute periods of worsening symptoms, or exacerbations, and establish a consistent and durable treatment response. We are also developing RPL554 for the treatment of cystic fibrosis, or CF, a fatal inherited disease where we believe the bronchodilatory and anti-inflammatory effects of RPL554 may be beneficial. We believe RPL554, if approved, has the potential to become an important and novel treatment and standard of care for COPD and CF patients. We may also explore, alone or with a collaborator, the development of RPL554 to treat asthma and other respiratory diseases.</w:t>
      </w:r>
    </w:p>
    <w:p>
      <w:pPr>
        <w:spacing w:after="0" w:line="210" w:lineRule="exact"/>
        <w:rPr>
          <w:sz w:val="20"/>
          <w:szCs w:val="20"/>
          <w:color w:val="auto"/>
        </w:rPr>
      </w:pPr>
    </w:p>
    <w:p>
      <w:pPr>
        <w:jc w:val="both"/>
        <w:ind w:left="240" w:right="60"/>
        <w:spacing w:after="0" w:line="238"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and for the treatment of CF. We also are developing RPL554 in a nebulized formulation as an add-on therapy to short-acting bronchodilators and other commonly used therapies for the treatment of hospitalized patients with acute exacerbations of COPD.</w:t>
      </w:r>
    </w:p>
    <w:p>
      <w:pPr>
        <w:spacing w:after="0" w:line="208"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To evaluate RPL554 in a nebulized formulation for the maintenance treatment of COPD, we plan to commence a Phase 1 single-dose pharmacokinetic, or PK, trial in approximately 12 healthy volunteers in the United States in mid-2017 and a four-week Phase 2b dose-ranging clinical trial in approximately 400 patients in Europe by the end of 2017. We expect to report top-line data from these trials in first half of 2018 and by the end of 2018, respectively. A PK trial involves the study of the process of bodily absorption, distribution, metabolism and excretion of a drug. In February 2017, we also commenced a Phase 2a clinical trial in the United Kingdom evaluating RPL554 in approximately 30 patients with COPD as an add-on therapy to tiotropium, a commonly used long-acting bronchodilator. We expect to report top-line data from this trial in the fourth quarter of 2017. We also intend to commence in 2018 a Phase 2 clinical trial in the United States for RPL554 for the treatment of acute exacerbations of COPD in approximately 150 patients.</w:t>
      </w:r>
    </w:p>
    <w:p>
      <w:pPr>
        <w:spacing w:after="0" w:line="208" w:lineRule="exact"/>
        <w:rPr>
          <w:sz w:val="20"/>
          <w:szCs w:val="20"/>
          <w:color w:val="auto"/>
        </w:rPr>
      </w:pPr>
    </w:p>
    <w:p>
      <w:pPr>
        <w:ind w:left="240" w:right="180"/>
        <w:spacing w:after="0" w:line="239" w:lineRule="auto"/>
        <w:rPr>
          <w:sz w:val="20"/>
          <w:szCs w:val="20"/>
          <w:color w:val="auto"/>
        </w:rPr>
      </w:pPr>
      <w:r>
        <w:rPr>
          <w:rFonts w:ascii="Arial" w:cs="Arial" w:eastAsia="Arial" w:hAnsi="Arial"/>
          <w:sz w:val="18"/>
          <w:szCs w:val="18"/>
          <w:color w:val="auto"/>
        </w:rPr>
        <w:t>In addition, we plan to commence a Phase 2a single-dose PK and pharmacodynamics, or PD, trial in the United Kingdom in the first half of 2017 evaluating RPL554 in approximately ten CF patients and expect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178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80"/>
        <w:spacing w:after="0" w:line="237" w:lineRule="auto"/>
        <w:rPr>
          <w:sz w:val="20"/>
          <w:szCs w:val="20"/>
          <w:color w:val="auto"/>
        </w:rPr>
      </w:pPr>
      <w:r>
        <w:rPr>
          <w:rFonts w:ascii="Arial" w:cs="Arial" w:eastAsia="Arial" w:hAnsi="Arial"/>
          <w:sz w:val="18"/>
          <w:szCs w:val="18"/>
          <w:color w:val="auto"/>
        </w:rPr>
        <w:t>to report top-line data from this trial in the first half of 2018. A PD trial involves the study of the biochemical and physiological effects of a drug and its mechanisms of action, including the correlation of the drug's actions and effects with its mechanism of action. The results of this clinical trial will support dose selection for a proof-of-concept Phase 2b trial in Europe in approximately 100 patients with CF, which we plan to commence in 2018.</w:t>
      </w:r>
    </w:p>
    <w:p>
      <w:pPr>
        <w:spacing w:after="0" w:line="209"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color w:val="auto"/>
        </w:rPr>
        <w:t>In addition to our nebulized formulation of RPL554, we are developing RPL554 in both dry powder inhaler, or DPI, and metered dose inhaler, or MDI, formulations for the maintenance treatment of COPD. We may explore the development of RPL554 in these formulations for the treatment of asthma and other respiratory diseases.</w:t>
      </w:r>
    </w:p>
    <w:p>
      <w:pPr>
        <w:spacing w:after="0" w:line="208" w:lineRule="exact"/>
        <w:rPr>
          <w:sz w:val="20"/>
          <w:szCs w:val="20"/>
          <w:color w:val="auto"/>
        </w:rPr>
      </w:pPr>
    </w:p>
    <w:p>
      <w:pPr>
        <w:ind w:left="240" w:right="200"/>
        <w:spacing w:after="0" w:line="236"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In some cases, patients experience acute exacerbations, which are estimated to cause approximately 1.5 million emergency department visits, 687,000 hospitalizations and 129,000 deaths per year in the United States alone. According to the World Health Organization, COPD is the third leading cause of death globally, with 210 million people worldwide suffering from the disease. Global sales of drugs currently indicated for COPD are expected to be $10.6 billion in 2016 and are expected to grow to $15.6 billion in 2019.</w:t>
      </w:r>
    </w:p>
    <w:p>
      <w:pPr>
        <w:spacing w:after="0" w:line="209"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According to the Cystic Fibrosis Foundation, more than 30,000 people in the United States and more than 70,000 people worldwide are living with CF and approximately 1,000 new cases of CF are diagnosed each year. CF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the median age of death for CF patients is 37 years. CF is considered a rare, or orphan, disease by both the U.S. Food and Drug Administration, or FDA, and the European Medicines Agency, or EMA.</w:t>
      </w:r>
    </w:p>
    <w:p>
      <w:pPr>
        <w:spacing w:after="0" w:line="210" w:lineRule="exact"/>
        <w:rPr>
          <w:sz w:val="20"/>
          <w:szCs w:val="20"/>
          <w:color w:val="auto"/>
        </w:rPr>
      </w:pPr>
    </w:p>
    <w:p>
      <w:pPr>
        <w:ind w:left="240" w:right="40"/>
        <w:spacing w:after="0" w:line="236" w:lineRule="auto"/>
        <w:rPr>
          <w:sz w:val="20"/>
          <w:szCs w:val="20"/>
          <w:color w:val="auto"/>
        </w:rPr>
      </w:pPr>
      <w:r>
        <w:rPr>
          <w:rFonts w:ascii="Arial" w:cs="Arial" w:eastAsia="Arial" w:hAnsi="Arial"/>
          <w:sz w:val="18"/>
          <w:szCs w:val="18"/>
          <w:color w:val="auto"/>
        </w:rPr>
        <w:t>By inhibiting PDE3 and PDE4, RPL554 increases the levels of two critical intracellular messengers, resulting in bronchodilator and anti-inflammatory effects. RPL554 also stimulates the cystic fibrosis transmembrane conductance regulator, or CFTR, which is an ion channel in the epithelial cells lining the airways. Mutations in the CFTR protein result in poorly or non-functioning ion channels, which cause CF and are potentially important in COPD. Dual inhibition of PDE3 and PDE4 has been observed to be more effective than inhibition of either PDE alone at relaxing airway smooth muscle cells and suppressing the activation and functions of pro-inflammatory cells residing in the lung, both of which are recognized to play a significant role in COPD and CF.</w:t>
      </w:r>
    </w:p>
    <w:p>
      <w:pPr>
        <w:spacing w:after="0" w:line="210" w:lineRule="exact"/>
        <w:rPr>
          <w:sz w:val="20"/>
          <w:szCs w:val="20"/>
          <w:color w:val="auto"/>
        </w:rPr>
      </w:pPr>
    </w:p>
    <w:p>
      <w:pPr>
        <w:ind w:left="240" w:right="40"/>
        <w:spacing w:after="0" w:line="226" w:lineRule="auto"/>
        <w:rPr>
          <w:sz w:val="20"/>
          <w:szCs w:val="20"/>
          <w:color w:val="auto"/>
        </w:rPr>
      </w:pPr>
      <w:r>
        <w:rPr>
          <w:rFonts w:ascii="Arial" w:cs="Arial" w:eastAsia="Arial" w:hAnsi="Arial"/>
          <w:sz w:val="17"/>
          <w:szCs w:val="17"/>
          <w:color w:val="auto"/>
        </w:rPr>
        <w:t>In our clinical trials, RPL554 has shown rapid onset and durable bronchodilation in healthy subjects and patients with COPD when inhaled from a nebulizer. In addition, RPL554 has been observed to be complementary and additive when administered as an add-on therapy to other currently marketed bronchodilators. Our most recent clinical trial of RPL554 was a Phase 2a clinical trial in 36 patients with COPD. Our primary objective in this clinical trial was to evaluate the improvement in lung function, as measured by the maximal volume of air a person can forcefully exhale in one minute, or FEV</w:t>
      </w:r>
      <w:r>
        <w:rPr>
          <w:rFonts w:ascii="Arial" w:cs="Arial" w:eastAsia="Arial" w:hAnsi="Arial"/>
          <w:sz w:val="28"/>
          <w:szCs w:val="28"/>
          <w:color w:val="auto"/>
          <w:vertAlign w:val="subscript"/>
        </w:rPr>
        <w:t>1</w:t>
      </w:r>
      <w:r>
        <w:rPr>
          <w:rFonts w:ascii="Arial" w:cs="Arial" w:eastAsia="Arial" w:hAnsi="Arial"/>
          <w:sz w:val="17"/>
          <w:szCs w:val="17"/>
          <w:color w:val="auto"/>
        </w:rPr>
        <w:t>, and the duration of action of RPL554. We evaluated RPL554 administered as a single agent as</w:t>
      </w:r>
    </w:p>
    <w:p>
      <w:pPr>
        <w:ind w:left="240" w:right="100"/>
        <w:spacing w:after="0" w:line="238" w:lineRule="auto"/>
        <w:rPr>
          <w:sz w:val="20"/>
          <w:szCs w:val="20"/>
          <w:color w:val="auto"/>
        </w:rPr>
      </w:pPr>
      <w:r>
        <w:rPr>
          <w:rFonts w:ascii="Arial" w:cs="Arial" w:eastAsia="Arial" w:hAnsi="Arial"/>
          <w:sz w:val="18"/>
          <w:szCs w:val="18"/>
          <w:color w:val="auto"/>
        </w:rPr>
        <w:t>compared to placebo and two commonly used bronchodilators, albuterol, also known as salbutamol and marketed as Ventolin, and ipratropium, marketed as Atrovent. We also evaluated RPL554 administered as an add-on therapy to either albuterol or ipratropium, in each case as compared to albuterol or ipratropium alone.</w:t>
      </w:r>
    </w:p>
    <w:p>
      <w:pPr>
        <w:spacing w:after="0" w:line="208" w:lineRule="exact"/>
        <w:rPr>
          <w:sz w:val="20"/>
          <w:szCs w:val="20"/>
          <w:color w:val="auto"/>
        </w:rPr>
      </w:pPr>
    </w:p>
    <w:p>
      <w:pPr>
        <w:ind w:left="240" w:right="120"/>
        <w:spacing w:after="0" w:line="238" w:lineRule="auto"/>
        <w:rPr>
          <w:sz w:val="20"/>
          <w:szCs w:val="20"/>
          <w:color w:val="auto"/>
        </w:rPr>
      </w:pPr>
      <w:r>
        <w:rPr>
          <w:rFonts w:ascii="Arial" w:cs="Arial" w:eastAsia="Arial" w:hAnsi="Arial"/>
          <w:sz w:val="18"/>
          <w:szCs w:val="18"/>
          <w:color w:val="auto"/>
        </w:rPr>
        <w:t>We have worldwide commercialization rights for RPL554. We have raised £74.6 million in gross proceeds from investors since our listing on AIM in 2006, of which £44.7 million was raised in our most recent private placement of equity securities in July 2016 with a number of European and U.S.-based healthcare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422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42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specialist investment firms. Members of our management team and board of directors have extensive experience in large pharmaceutical and biotechnology companies in respiratory product development from drug discovery through commercialization and have played important roles in the development and commercialization of several approved respiratory treatments, including Symbicort, Daliresp/Daxas, Spiriva and Flutiform.</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Candidate Pipeline</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right="100"/>
        <w:spacing w:after="0" w:line="239"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16" w:lineRule="exact"/>
        <w:rPr>
          <w:sz w:val="20"/>
          <w:szCs w:val="20"/>
          <w:color w:val="auto"/>
        </w:rPr>
      </w:pPr>
    </w:p>
    <w:p>
      <w:pPr>
        <w:ind w:left="1320" w:right="80" w:hanging="538"/>
        <w:spacing w:after="0" w:line="23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maintenance treatment of COPD. </w:t>
      </w:r>
      <w:r>
        <w:rPr>
          <w:rFonts w:ascii="Arial" w:cs="Arial" w:eastAsia="Arial" w:hAnsi="Arial"/>
          <w:sz w:val="18"/>
          <w:szCs w:val="18"/>
          <w:color w:val="auto"/>
        </w:rPr>
        <w:t>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for the maintenance treatment of COPD. To evaluate RPL554 in a nebulized formulation for the maintenance treatment of COPD, we plan to commence a Phase 1 single-dose PK trial in approximately 12 healthy volunteers in the United States in mid-2017 and a four-week Phase 2b dose-ranging clinical trial for RPL554 in approximately 400 patients in Europe with COPD by the end of 2017. We expect to report top-line data from these trials in first half of 2018 and by the end of 2018, respectively. In February 2017, we commenced a Phase 2a clinical trial in the United Kingdom evaluating RPL554 in approximately 30 patients with COPD as an add-on therapy to tiotropium, a commonly used bronchodilator. We expect to report top-line data from this trial in the fourth quarter of 2017.</w:t>
      </w:r>
    </w:p>
    <w:p>
      <w:pPr>
        <w:spacing w:after="0" w:line="208" w:lineRule="exact"/>
        <w:rPr>
          <w:rFonts w:ascii="Arial" w:cs="Arial" w:eastAsia="Arial" w:hAnsi="Arial"/>
          <w:sz w:val="18"/>
          <w:szCs w:val="18"/>
          <w:color w:val="auto"/>
        </w:rPr>
      </w:pPr>
    </w:p>
    <w:p>
      <w:pPr>
        <w:jc w:val="both"/>
        <w:ind w:left="1320" w:right="20" w:hanging="538"/>
        <w:spacing w:after="0" w:line="24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treatment of acute exacerbations of COPD. </w:t>
      </w:r>
      <w:r>
        <w:rPr>
          <w:rFonts w:ascii="Arial" w:cs="Arial" w:eastAsia="Arial" w:hAnsi="Arial"/>
          <w:sz w:val="18"/>
          <w:szCs w:val="18"/>
          <w:color w:val="auto"/>
        </w:rPr>
        <w:t>We also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RPL554 as an add-on therapy to short-acting bronchodilators and other commonly used therapies for the treatment of hospitalized patients with acute exacerbations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672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right="220"/>
        <w:spacing w:after="0" w:line="239" w:lineRule="auto"/>
        <w:rPr>
          <w:sz w:val="20"/>
          <w:szCs w:val="20"/>
          <w:color w:val="auto"/>
        </w:rPr>
      </w:pPr>
      <w:r>
        <w:rPr>
          <w:rFonts w:ascii="Arial" w:cs="Arial" w:eastAsia="Arial" w:hAnsi="Arial"/>
          <w:sz w:val="18"/>
          <w:szCs w:val="18"/>
          <w:color w:val="auto"/>
        </w:rPr>
        <w:t>COPD. We plan to commence a Phase 2 clinical trial in the United States for RPL554 in this indication in approximately 150 patients in 2018.</w:t>
      </w:r>
    </w:p>
    <w:p>
      <w:pPr>
        <w:spacing w:after="0" w:line="216" w:lineRule="exact"/>
        <w:rPr>
          <w:sz w:val="20"/>
          <w:szCs w:val="20"/>
          <w:color w:val="auto"/>
        </w:rPr>
      </w:pPr>
    </w:p>
    <w:p>
      <w:pPr>
        <w:ind w:left="1320" w:right="80" w:hanging="538"/>
        <w:spacing w:after="0" w:line="241"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RPL554 for the treatment of CF. </w:t>
      </w:r>
      <w:r>
        <w:rPr>
          <w:rFonts w:ascii="Arial" w:cs="Arial" w:eastAsia="Arial" w:hAnsi="Arial"/>
          <w:sz w:val="18"/>
          <w:szCs w:val="18"/>
          <w:color w:val="auto"/>
        </w:rPr>
        <w:t>We plan to commence a Phase 2a single-dose trial in the United Kingdom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half of 2017 evaluating RPL554 in approximately ten CF patients to evaluate the PK and PD profile and tolerability of RPL554, as well as examine the effect on lung function and inflammatory biomarkers. We expect to report top-line data from this trial in the first half of 2018. The results of this clinical trial will support dose selection for a proof-of-concept Phase 2b trial in approximately 100 patients with CF, which we plan to commence in 2018.</w:t>
      </w:r>
    </w:p>
    <w:p>
      <w:pPr>
        <w:spacing w:after="0" w:line="189" w:lineRule="exact"/>
        <w:rPr>
          <w:rFonts w:ascii="Arial" w:cs="Arial" w:eastAsia="Arial" w:hAnsi="Arial"/>
          <w:sz w:val="18"/>
          <w:szCs w:val="18"/>
          <w:color w:val="auto"/>
        </w:rPr>
      </w:pPr>
    </w:p>
    <w:p>
      <w:pPr>
        <w:ind w:left="1320" w:right="20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DPI and MDI formulations of RPL554. </w:t>
      </w:r>
      <w:r>
        <w:rPr>
          <w:rFonts w:ascii="Arial" w:cs="Arial" w:eastAsia="Arial" w:hAnsi="Arial"/>
          <w:sz w:val="18"/>
          <w:szCs w:val="18"/>
          <w:color w:val="auto"/>
        </w:rPr>
        <w:t>In addition to our nebulized formulation of RPL554, we are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RPL554 in both DPI and MDI formulations for the maintenance treatment of COPD.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Following the completion of our DPI and MDI formulation process, we plan to commence pre-clinical studies for RPL554 in these formulations in 2018.</w:t>
      </w:r>
    </w:p>
    <w:p>
      <w:pPr>
        <w:spacing w:after="0" w:line="189" w:lineRule="exact"/>
        <w:rPr>
          <w:rFonts w:ascii="Arial" w:cs="Arial" w:eastAsia="Arial" w:hAnsi="Arial"/>
          <w:sz w:val="18"/>
          <w:szCs w:val="18"/>
          <w:color w:val="auto"/>
        </w:rPr>
      </w:pPr>
    </w:p>
    <w:p>
      <w:pPr>
        <w:ind w:left="1320" w:right="2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development of RPL554 in other forms of respiratory disease. </w:t>
      </w:r>
      <w:r>
        <w:rPr>
          <w:rFonts w:ascii="Arial" w:cs="Arial" w:eastAsia="Arial" w:hAnsi="Arial"/>
          <w:sz w:val="18"/>
          <w:szCs w:val="18"/>
          <w:color w:val="auto"/>
        </w:rPr>
        <w:t>We believe that RPL554's properties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inhaled, dual 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98" w:lineRule="exact"/>
        <w:rPr>
          <w:rFonts w:ascii="Arial" w:cs="Arial" w:eastAsia="Arial" w:hAnsi="Arial"/>
          <w:sz w:val="18"/>
          <w:szCs w:val="18"/>
          <w:color w:val="auto"/>
        </w:rPr>
      </w:pPr>
    </w:p>
    <w:p>
      <w:pPr>
        <w:ind w:left="1320" w:right="10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Seek strategic collaborative relationships. </w:t>
      </w:r>
      <w:r>
        <w:rPr>
          <w:rFonts w:ascii="Arial" w:cs="Arial" w:eastAsia="Arial" w:hAnsi="Arial"/>
          <w:sz w:val="18"/>
          <w:szCs w:val="18"/>
          <w:color w:val="auto"/>
        </w:rPr>
        <w:t>We may seek strategic collaborations with market-leading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184" w:lineRule="exact"/>
        <w:rPr>
          <w:rFonts w:ascii="Arial" w:cs="Arial" w:eastAsia="Arial" w:hAnsi="Arial"/>
          <w:sz w:val="18"/>
          <w:szCs w:val="18"/>
          <w:color w:val="auto"/>
        </w:rPr>
      </w:pPr>
    </w:p>
    <w:p>
      <w:pPr>
        <w:ind w:left="1320" w:right="100" w:hanging="538"/>
        <w:spacing w:after="0" w:line="24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expertise to identify and in-license or acquire additional clinical-stage product candidates that we believe have the potential to become novel treatments for respiratory diseases with significant unmet medical needs.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We were incorporated in February 2005 under the laws of England and Wales with the Registrar of Companies of England and Wales under the name Isis Resources plc. In September 2006, we acquired Rhinopharma Limited, or Rhinopharma, a private company incorporated in Canada, and changed our name to Verona Pharma plc. Our principal office is located at 3 More London Riverside, London SE1 2RE, United Kingdom, and our telephone number is +(44) 203 283 4200. Since September 2006, our ordinary shares have traded on AIM, a market of the London Stock Exchange, under the symbol "VRP." Our website address is www.veronapharma.com. The information contained on, or that can be accessed from, our website does not form part of this prospectus. Our agent for service of process in the United States is National Corporate Research, Ltd.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7576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240"/>
        <w:spacing w:after="0" w:line="23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Among these important risks are the following:</w:t>
      </w:r>
    </w:p>
    <w:p>
      <w:pPr>
        <w:spacing w:after="0" w:line="208" w:lineRule="exact"/>
        <w:rPr>
          <w:sz w:val="20"/>
          <w:szCs w:val="20"/>
          <w:color w:val="auto"/>
        </w:rPr>
      </w:pPr>
    </w:p>
    <w:p>
      <w:pPr>
        <w:ind w:left="1320" w:right="16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196" w:lineRule="exact"/>
        <w:rPr>
          <w:rFonts w:ascii="Arial" w:cs="Arial" w:eastAsia="Arial" w:hAnsi="Arial"/>
          <w:sz w:val="29"/>
          <w:szCs w:val="29"/>
          <w:color w:val="auto"/>
          <w:vertAlign w:val="superscript"/>
        </w:rPr>
      </w:pPr>
    </w:p>
    <w:p>
      <w:pPr>
        <w:ind w:left="1320" w:right="20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will need additional funding to complete the development and commercialization of RPL554, if approved, and if we are unable to raise capital when needed, we could be forced to delay, reduce or eliminate our product development programs or commercialization efforts.</w:t>
      </w:r>
    </w:p>
    <w:p>
      <w:pPr>
        <w:spacing w:after="0" w:line="196" w:lineRule="exact"/>
        <w:rPr>
          <w:rFonts w:ascii="Arial" w:cs="Arial" w:eastAsia="Arial" w:hAnsi="Arial"/>
          <w:sz w:val="29"/>
          <w:szCs w:val="29"/>
          <w:color w:val="auto"/>
          <w:vertAlign w:val="superscript"/>
        </w:rPr>
      </w:pPr>
    </w:p>
    <w:p>
      <w:pPr>
        <w:ind w:left="1320" w:right="240" w:hanging="538"/>
        <w:spacing w:after="0" w:line="183"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depend heavily on the success of RPL554, our only product candidate, and we cannot give any assurance that RPL554 will receive regulatory approval for any indication, which is necessary before it can be commercialized.</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may encounter regulatory changes that delay or impede our development and commercialization efforts.</w:t>
      </w:r>
    </w:p>
    <w:p>
      <w:pPr>
        <w:spacing w:after="0" w:line="194" w:lineRule="exact"/>
        <w:rPr>
          <w:rFonts w:ascii="Arial" w:cs="Arial" w:eastAsia="Arial" w:hAnsi="Arial"/>
          <w:sz w:val="29"/>
          <w:szCs w:val="29"/>
          <w:color w:val="auto"/>
          <w:vertAlign w:val="superscript"/>
        </w:rPr>
      </w:pPr>
    </w:p>
    <w:p>
      <w:pPr>
        <w:ind w:left="1320" w:right="4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which could delay our product development activities.</w:t>
      </w:r>
    </w:p>
    <w:p>
      <w:pPr>
        <w:spacing w:after="0" w:line="196" w:lineRule="exact"/>
        <w:rPr>
          <w:rFonts w:ascii="Arial" w:cs="Arial" w:eastAsia="Arial" w:hAnsi="Arial"/>
          <w:sz w:val="29"/>
          <w:szCs w:val="29"/>
          <w:color w:val="auto"/>
          <w:vertAlign w:val="superscript"/>
        </w:rPr>
      </w:pPr>
    </w:p>
    <w:p>
      <w:pPr>
        <w:ind w:left="1320" w:right="30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74"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141" w:lineRule="exact"/>
        <w:rPr>
          <w:rFonts w:ascii="Arial" w:cs="Arial" w:eastAsia="Arial" w:hAnsi="Arial"/>
          <w:sz w:val="29"/>
          <w:szCs w:val="29"/>
          <w:color w:val="auto"/>
          <w:vertAlign w:val="superscript"/>
        </w:rPr>
      </w:pPr>
    </w:p>
    <w:p>
      <w:pPr>
        <w:ind w:left="1320" w:hanging="538"/>
        <w:spacing w:after="0" w:line="196" w:lineRule="auto"/>
        <w:tabs>
          <w:tab w:leader="none" w:pos="132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Our future growth and ability to compete depends on retaining our key personnel and recruiting additional qualified personnel.</w:t>
      </w:r>
    </w:p>
    <w:p>
      <w:pPr>
        <w:spacing w:after="0" w:line="194" w:lineRule="exact"/>
        <w:rPr>
          <w:rFonts w:ascii="Arial" w:cs="Arial" w:eastAsia="Arial" w:hAnsi="Arial"/>
          <w:sz w:val="28"/>
          <w:szCs w:val="28"/>
          <w:color w:val="auto"/>
          <w:vertAlign w:val="superscript"/>
        </w:rPr>
      </w:pPr>
    </w:p>
    <w:p>
      <w:pPr>
        <w:ind w:left="1320" w:right="100" w:hanging="538"/>
        <w:spacing w:after="0" w:line="183"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If we are classified as a passive foreign investment company in any taxable year, it may result in adverse U.S. federal income tax consequences to U.S. holders of our ADSs.</w:t>
      </w:r>
    </w:p>
    <w:p>
      <w:pPr>
        <w:spacing w:after="0" w:line="195" w:lineRule="exact"/>
        <w:rPr>
          <w:rFonts w:ascii="Arial" w:cs="Arial" w:eastAsia="Arial" w:hAnsi="Arial"/>
          <w:sz w:val="29"/>
          <w:szCs w:val="29"/>
          <w:color w:val="auto"/>
          <w:vertAlign w:val="superscript"/>
        </w:rPr>
      </w:pPr>
    </w:p>
    <w:p>
      <w:pPr>
        <w:ind w:left="1320" w:right="160" w:hanging="538"/>
        <w:spacing w:after="0" w:line="197" w:lineRule="auto"/>
        <w:tabs>
          <w:tab w:leader="none" w:pos="13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As a foreign private issuer, we are exempt from a number of rules under the U.S. securities laws and NASDAQ Stock Market corporate governance rules and are permitted to file less information with the Securities and Exchange Commission, or the SEC, than U.S. companies, which may limit the information available to holders of our ADSs.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32" w:lineRule="exact"/>
        <w:rPr>
          <w:sz w:val="20"/>
          <w:szCs w:val="20"/>
          <w:color w:val="auto"/>
        </w:rPr>
      </w:pPr>
    </w:p>
    <w:p>
      <w:pPr>
        <w:ind w:left="240" w:right="16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may take advantage of certain exemptions from various reporting requirements that are applicable to other publicly traded entities that are not emerging growth companies. These exemptions include:</w:t>
      </w:r>
    </w:p>
    <w:p>
      <w:pPr>
        <w:spacing w:after="0" w:line="208" w:lineRule="exact"/>
        <w:rPr>
          <w:sz w:val="20"/>
          <w:szCs w:val="20"/>
          <w:color w:val="auto"/>
        </w:rPr>
      </w:pPr>
    </w:p>
    <w:p>
      <w:pPr>
        <w:ind w:left="1320" w:right="240" w:hanging="538"/>
        <w:spacing w:after="0" w:line="183" w:lineRule="auto"/>
        <w:tabs>
          <w:tab w:leader="none" w:pos="132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194" w:lineRule="exact"/>
        <w:rPr>
          <w:rFonts w:ascii="Arial" w:cs="Arial" w:eastAsia="Arial" w:hAnsi="Arial"/>
          <w:sz w:val="29"/>
          <w:szCs w:val="29"/>
          <w:color w:val="auto"/>
          <w:vertAlign w:val="superscript"/>
        </w:rPr>
      </w:pPr>
    </w:p>
    <w:p>
      <w:pPr>
        <w:ind w:left="1320" w:right="140" w:hanging="538"/>
        <w:spacing w:after="0" w:line="197" w:lineRule="auto"/>
        <w:tabs>
          <w:tab w:leader="none" w:pos="132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or PCAOB, regarding mandatory audit firm rotation or a supplement to the auditor's report providing additional information about the audit and the financial statements (i.e., an auditor discussion and analysis);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41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hanging="538"/>
        <w:spacing w:after="0" w:line="183" w:lineRule="auto"/>
        <w:tabs>
          <w:tab w:leader="none" w:pos="13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195" w:lineRule="exact"/>
        <w:rPr>
          <w:rFonts w:ascii="Arial" w:cs="Arial" w:eastAsia="Arial" w:hAnsi="Arial"/>
          <w:sz w:val="29"/>
          <w:szCs w:val="29"/>
          <w:color w:val="auto"/>
          <w:vertAlign w:val="superscript"/>
        </w:rPr>
      </w:pPr>
    </w:p>
    <w:p>
      <w:pPr>
        <w:ind w:left="1320" w:right="680" w:hanging="538"/>
        <w:spacing w:after="0" w:line="197" w:lineRule="auto"/>
        <w:tabs>
          <w:tab w:leader="none" w:pos="13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10"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209" w:lineRule="exact"/>
        <w:rPr>
          <w:sz w:val="20"/>
          <w:szCs w:val="20"/>
          <w:color w:val="auto"/>
        </w:rPr>
      </w:pPr>
    </w:p>
    <w:p>
      <w:pPr>
        <w:ind w:left="240" w:right="60"/>
        <w:spacing w:after="0" w:line="271" w:lineRule="auto"/>
        <w:rPr>
          <w:sz w:val="20"/>
          <w:szCs w:val="20"/>
          <w:color w:val="auto"/>
        </w:rPr>
      </w:pPr>
      <w:r>
        <w:rPr>
          <w:rFonts w:ascii="Arial" w:cs="Arial" w:eastAsia="Arial" w:hAnsi="Arial"/>
          <w:sz w:val="16"/>
          <w:szCs w:val="16"/>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are choosing to irrevocably opt out of this extended transition period and as a result, we will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85" w:lineRule="exact"/>
        <w:rPr>
          <w:sz w:val="20"/>
          <w:szCs w:val="20"/>
          <w:color w:val="auto"/>
        </w:rPr>
      </w:pPr>
    </w:p>
    <w:p>
      <w:pPr>
        <w:ind w:left="240" w:right="60"/>
        <w:spacing w:after="0" w:line="236"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exceed $1 billion; (ii) the last day of the fiscal year following the fifth anniversary of the completion of this offering;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 billion in non-convertible debt securities during any three-year period.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232" w:lineRule="exact"/>
        <w:rPr>
          <w:sz w:val="20"/>
          <w:szCs w:val="20"/>
          <w:color w:val="auto"/>
        </w:rPr>
      </w:pPr>
    </w:p>
    <w:p>
      <w:pPr>
        <w:jc w:val="both"/>
        <w:ind w:left="240" w:right="120"/>
        <w:spacing w:after="0" w:line="238" w:lineRule="auto"/>
        <w:rPr>
          <w:sz w:val="20"/>
          <w:szCs w:val="20"/>
          <w:color w:val="auto"/>
        </w:rPr>
      </w:pPr>
      <w:r>
        <w:rPr>
          <w:rFonts w:ascii="Arial" w:cs="Arial" w:eastAsia="Arial" w:hAnsi="Arial"/>
          <w:sz w:val="18"/>
          <w:szCs w:val="18"/>
          <w:color w:val="auto"/>
        </w:rPr>
        <w:t>Upon the completion of this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08" w:lineRule="exact"/>
        <w:rPr>
          <w:sz w:val="20"/>
          <w:szCs w:val="20"/>
          <w:color w:val="auto"/>
        </w:rPr>
      </w:pPr>
    </w:p>
    <w:p>
      <w:pPr>
        <w:ind w:left="1320" w:right="560" w:hanging="538"/>
        <w:spacing w:after="0" w:line="183"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95" w:lineRule="exact"/>
        <w:rPr>
          <w:rFonts w:ascii="Arial" w:cs="Arial" w:eastAsia="Arial" w:hAnsi="Arial"/>
          <w:sz w:val="29"/>
          <w:szCs w:val="29"/>
          <w:color w:val="auto"/>
          <w:vertAlign w:val="superscript"/>
        </w:rPr>
      </w:pPr>
    </w:p>
    <w:p>
      <w:pPr>
        <w:ind w:left="1320" w:right="460" w:hanging="538"/>
        <w:spacing w:after="0" w:line="183" w:lineRule="auto"/>
        <w:tabs>
          <w:tab w:leader="none" w:pos="13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5" w:lineRule="exact"/>
        <w:rPr>
          <w:rFonts w:ascii="Arial" w:cs="Arial" w:eastAsia="Arial" w:hAnsi="Arial"/>
          <w:sz w:val="29"/>
          <w:szCs w:val="29"/>
          <w:color w:val="auto"/>
          <w:vertAlign w:val="superscript"/>
        </w:rPr>
      </w:pPr>
    </w:p>
    <w:p>
      <w:pPr>
        <w:ind w:left="1320" w:right="320" w:hanging="538"/>
        <w:spacing w:after="0" w:line="191" w:lineRule="auto"/>
        <w:tabs>
          <w:tab w:leader="none" w:pos="13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9"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866"/>
        </w:trPr>
        <w:tc>
          <w:tcPr>
            <w:tcW w:w="4300" w:type="dxa"/>
            <w:vAlign w:val="bottom"/>
            <w:tcBorders>
              <w:top w:val="single" w:sz="8" w:color="auto"/>
              <w:left w:val="single" w:sz="8" w:color="auto"/>
            </w:tcBorders>
          </w:tcPr>
          <w:p>
            <w:pPr>
              <w:spacing w:after="0"/>
              <w:rPr>
                <w:sz w:val="24"/>
                <w:szCs w:val="24"/>
                <w:color w:val="auto"/>
              </w:rPr>
            </w:pPr>
          </w:p>
        </w:tc>
        <w:tc>
          <w:tcPr>
            <w:tcW w:w="248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The Offering</w:t>
            </w:r>
          </w:p>
        </w:tc>
        <w:tc>
          <w:tcPr>
            <w:tcW w:w="6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spacing w:after="0"/>
              <w:rPr>
                <w:sz w:val="24"/>
                <w:szCs w:val="24"/>
                <w:color w:val="auto"/>
              </w:rPr>
            </w:pPr>
          </w:p>
        </w:tc>
      </w:tr>
      <w:tr>
        <w:trPr>
          <w:trHeight w:val="419"/>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ADSs offered by us</w:t>
            </w:r>
          </w:p>
        </w:tc>
        <w:tc>
          <w:tcPr>
            <w:tcW w:w="3120" w:type="dxa"/>
            <w:vAlign w:val="bottom"/>
            <w:gridSpan w:val="3"/>
          </w:tcPr>
          <w:p>
            <w:pPr>
              <w:ind w:left="920"/>
              <w:spacing w:after="0"/>
              <w:rPr>
                <w:sz w:val="20"/>
                <w:szCs w:val="20"/>
                <w:color w:val="auto"/>
              </w:rPr>
            </w:pPr>
            <w:r>
              <w:rPr>
                <w:rFonts w:ascii="Arial" w:cs="Arial" w:eastAsia="Arial" w:hAnsi="Arial"/>
                <w:sz w:val="18"/>
                <w:szCs w:val="18"/>
                <w:color w:val="auto"/>
              </w:rPr>
              <w:t>ADSs, each representing</w:t>
            </w:r>
          </w:p>
        </w:tc>
        <w:tc>
          <w:tcPr>
            <w:tcW w:w="1760" w:type="dxa"/>
            <w:vAlign w:val="bottom"/>
            <w:gridSpan w:val="2"/>
          </w:tcPr>
          <w:p>
            <w:pPr>
              <w:ind w:left="480"/>
              <w:spacing w:after="0"/>
              <w:rPr>
                <w:sz w:val="20"/>
                <w:szCs w:val="20"/>
                <w:color w:val="auto"/>
              </w:rPr>
            </w:pPr>
            <w:r>
              <w:rPr>
                <w:rFonts w:ascii="Arial" w:cs="Arial" w:eastAsia="Arial" w:hAnsi="Arial"/>
                <w:sz w:val="18"/>
                <w:szCs w:val="18"/>
                <w:color w:val="auto"/>
              </w:rPr>
              <w:t>ordinary shares</w:t>
            </w:r>
          </w:p>
        </w:tc>
        <w:tc>
          <w:tcPr>
            <w:tcW w:w="2240" w:type="dxa"/>
            <w:vAlign w:val="bottom"/>
            <w:tcBorders>
              <w:right w:val="single" w:sz="8" w:color="auto"/>
            </w:tcBorders>
          </w:tcPr>
          <w:p>
            <w:pPr>
              <w:spacing w:after="0"/>
              <w:rPr>
                <w:sz w:val="24"/>
                <w:szCs w:val="24"/>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Ordinary shares to be outstanding</w:t>
            </w:r>
          </w:p>
        </w:tc>
        <w:tc>
          <w:tcPr>
            <w:tcW w:w="2480" w:type="dxa"/>
            <w:vAlign w:val="bottom"/>
            <w:gridSpan w:val="2"/>
          </w:tcPr>
          <w:p>
            <w:pPr>
              <w:ind w:left="940"/>
              <w:spacing w:after="0"/>
              <w:rPr>
                <w:sz w:val="20"/>
                <w:szCs w:val="20"/>
                <w:color w:val="auto"/>
              </w:rPr>
            </w:pPr>
            <w:r>
              <w:rPr>
                <w:rFonts w:ascii="Arial" w:cs="Arial" w:eastAsia="Arial" w:hAnsi="Arial"/>
                <w:sz w:val="18"/>
                <w:szCs w:val="18"/>
                <w:color w:val="auto"/>
              </w:rPr>
              <w:t>ordinary shares (or</w:t>
            </w:r>
          </w:p>
        </w:tc>
        <w:tc>
          <w:tcPr>
            <w:tcW w:w="640" w:type="dxa"/>
            <w:vAlign w:val="bottom"/>
          </w:tcPr>
          <w:p>
            <w:pPr>
              <w:spacing w:after="0"/>
              <w:rPr>
                <w:sz w:val="24"/>
                <w:szCs w:val="24"/>
                <w:color w:val="auto"/>
              </w:rPr>
            </w:pPr>
          </w:p>
        </w:tc>
        <w:tc>
          <w:tcPr>
            <w:tcW w:w="4000" w:type="dxa"/>
            <w:vAlign w:val="bottom"/>
            <w:tcBorders>
              <w:right w:val="single" w:sz="8" w:color="auto"/>
            </w:tcBorders>
            <w:gridSpan w:val="3"/>
          </w:tcPr>
          <w:p>
            <w:pPr>
              <w:jc w:val="right"/>
              <w:ind w:right="1252"/>
              <w:spacing w:after="0"/>
              <w:rPr>
                <w:sz w:val="20"/>
                <w:szCs w:val="20"/>
                <w:color w:val="auto"/>
              </w:rPr>
            </w:pPr>
            <w:r>
              <w:rPr>
                <w:rFonts w:ascii="Arial" w:cs="Arial" w:eastAsia="Arial" w:hAnsi="Arial"/>
                <w:sz w:val="18"/>
                <w:szCs w:val="18"/>
                <w:color w:val="auto"/>
                <w:w w:val="97"/>
              </w:rPr>
              <w:t>ordinary shares if the underwriters</w:t>
            </w:r>
          </w:p>
        </w:tc>
      </w:tr>
      <w:tr>
        <w:trPr>
          <w:trHeight w:val="211"/>
        </w:trPr>
        <w:tc>
          <w:tcPr>
            <w:tcW w:w="4300" w:type="dxa"/>
            <w:vAlign w:val="bottom"/>
            <w:tcBorders>
              <w:left w:val="single" w:sz="8" w:color="auto"/>
            </w:tcBorders>
          </w:tcPr>
          <w:p>
            <w:pPr>
              <w:ind w:left="1500"/>
              <w:spacing w:after="0"/>
              <w:rPr>
                <w:sz w:val="20"/>
                <w:szCs w:val="20"/>
                <w:color w:val="auto"/>
              </w:rPr>
            </w:pPr>
            <w:r>
              <w:rPr>
                <w:rFonts w:ascii="Arial" w:cs="Arial" w:eastAsia="Arial" w:hAnsi="Arial"/>
                <w:sz w:val="18"/>
                <w:szCs w:val="18"/>
                <w:color w:val="auto"/>
              </w:rPr>
              <w:t>immediately after this offering</w:t>
            </w:r>
          </w:p>
        </w:tc>
        <w:tc>
          <w:tcPr>
            <w:tcW w:w="4360" w:type="dxa"/>
            <w:vAlign w:val="bottom"/>
            <w:gridSpan w:val="4"/>
          </w:tcPr>
          <w:p>
            <w:pPr>
              <w:ind w:left="200"/>
              <w:spacing w:after="0"/>
              <w:rPr>
                <w:sz w:val="20"/>
                <w:szCs w:val="20"/>
                <w:color w:val="auto"/>
              </w:rPr>
            </w:pPr>
            <w:r>
              <w:rPr>
                <w:rFonts w:ascii="Arial" w:cs="Arial" w:eastAsia="Arial" w:hAnsi="Arial"/>
                <w:sz w:val="18"/>
                <w:szCs w:val="18"/>
                <w:color w:val="auto"/>
                <w:w w:val="99"/>
              </w:rPr>
              <w:t>exercise in full their option to purchase an additional</w:t>
            </w:r>
          </w:p>
        </w:tc>
        <w:tc>
          <w:tcPr>
            <w:tcW w:w="520" w:type="dxa"/>
            <w:vAlign w:val="bottom"/>
          </w:tcPr>
          <w:p>
            <w:pPr>
              <w:spacing w:after="0"/>
              <w:rPr>
                <w:sz w:val="18"/>
                <w:szCs w:val="18"/>
                <w:color w:val="auto"/>
              </w:rPr>
            </w:pPr>
          </w:p>
        </w:tc>
        <w:tc>
          <w:tcPr>
            <w:tcW w:w="2240" w:type="dxa"/>
            <w:vAlign w:val="bottom"/>
            <w:tcBorders>
              <w:right w:val="single" w:sz="8" w:color="auto"/>
            </w:tcBorders>
          </w:tcPr>
          <w:p>
            <w:pPr>
              <w:jc w:val="right"/>
              <w:ind w:right="1572"/>
              <w:spacing w:after="0"/>
              <w:rPr>
                <w:sz w:val="20"/>
                <w:szCs w:val="20"/>
                <w:color w:val="auto"/>
              </w:rPr>
            </w:pPr>
            <w:r>
              <w:rPr>
                <w:rFonts w:ascii="Arial" w:cs="Arial" w:eastAsia="Arial" w:hAnsi="Arial"/>
                <w:sz w:val="18"/>
                <w:szCs w:val="18"/>
                <w:color w:val="auto"/>
              </w:rPr>
              <w:t>ADSs)</w:t>
            </w: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 to purchase additional ADSs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additional</w:t>
            </w:r>
          </w:p>
        </w:tc>
        <w:tc>
          <w:tcPr>
            <w:tcW w:w="5560" w:type="dxa"/>
            <w:vAlign w:val="bottom"/>
            <w:tcBorders>
              <w:right w:val="single" w:sz="8" w:color="auto"/>
            </w:tcBorders>
            <w:gridSpan w:val="5"/>
          </w:tcPr>
          <w:p>
            <w:pPr>
              <w:jc w:val="right"/>
              <w:ind w:right="1672"/>
              <w:spacing w:after="0" w:line="202" w:lineRule="exact"/>
              <w:rPr>
                <w:sz w:val="20"/>
                <w:szCs w:val="20"/>
                <w:color w:val="auto"/>
              </w:rPr>
            </w:pPr>
            <w:r>
              <w:rPr>
                <w:rFonts w:ascii="Arial" w:cs="Arial" w:eastAsia="Arial" w:hAnsi="Arial"/>
                <w:sz w:val="18"/>
                <w:szCs w:val="18"/>
                <w:color w:val="auto"/>
              </w:rPr>
              <w:t>ADSs from us within 30 days of the date of this</w:t>
            </w:r>
          </w:p>
        </w:tc>
      </w:tr>
      <w:tr>
        <w:trPr>
          <w:trHeight w:val="211"/>
        </w:trPr>
        <w:tc>
          <w:tcPr>
            <w:tcW w:w="4300" w:type="dxa"/>
            <w:vAlign w:val="bottom"/>
            <w:tcBorders>
              <w:left w:val="single" w:sz="8" w:color="auto"/>
            </w:tcBorders>
          </w:tcPr>
          <w:p>
            <w:pPr>
              <w:spacing w:after="0"/>
              <w:rPr>
                <w:sz w:val="18"/>
                <w:szCs w:val="18"/>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prospectus.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Offering price</w:t>
            </w:r>
          </w:p>
        </w:tc>
        <w:tc>
          <w:tcPr>
            <w:tcW w:w="1560" w:type="dxa"/>
            <w:vAlign w:val="bottom"/>
          </w:tcPr>
          <w:p>
            <w:pPr>
              <w:ind w:left="200"/>
              <w:spacing w:after="0"/>
              <w:rPr>
                <w:sz w:val="20"/>
                <w:szCs w:val="20"/>
                <w:color w:val="auto"/>
              </w:rPr>
            </w:pPr>
            <w:r>
              <w:rPr>
                <w:rFonts w:ascii="Arial" w:cs="Arial" w:eastAsia="Arial" w:hAnsi="Arial"/>
                <w:sz w:val="18"/>
                <w:szCs w:val="18"/>
                <w:color w:val="auto"/>
              </w:rPr>
              <w:t>On</w:t>
            </w:r>
          </w:p>
        </w:tc>
        <w:tc>
          <w:tcPr>
            <w:tcW w:w="5560" w:type="dxa"/>
            <w:vAlign w:val="bottom"/>
            <w:tcBorders>
              <w:right w:val="single" w:sz="8" w:color="auto"/>
            </w:tcBorders>
            <w:gridSpan w:val="5"/>
          </w:tcPr>
          <w:p>
            <w:pPr>
              <w:jc w:val="right"/>
              <w:ind w:right="1352"/>
              <w:spacing w:after="0"/>
              <w:rPr>
                <w:sz w:val="20"/>
                <w:szCs w:val="20"/>
                <w:color w:val="auto"/>
              </w:rPr>
            </w:pPr>
            <w:r>
              <w:rPr>
                <w:rFonts w:ascii="Arial" w:cs="Arial" w:eastAsia="Arial" w:hAnsi="Arial"/>
                <w:sz w:val="18"/>
                <w:szCs w:val="18"/>
                <w:color w:val="auto"/>
              </w:rPr>
              <w:t>, 2017, the last reported sale price of our ordinary</w:t>
            </w:r>
          </w:p>
        </w:tc>
      </w:tr>
      <w:tr>
        <w:trPr>
          <w:trHeight w:val="203"/>
        </w:trPr>
        <w:tc>
          <w:tcPr>
            <w:tcW w:w="4300" w:type="dxa"/>
            <w:vAlign w:val="bottom"/>
            <w:tcBorders>
              <w:left w:val="single" w:sz="8" w:color="auto"/>
            </w:tcBorders>
          </w:tcPr>
          <w:p>
            <w:pPr>
              <w:spacing w:after="0"/>
              <w:rPr>
                <w:sz w:val="17"/>
                <w:szCs w:val="17"/>
                <w:color w:val="auto"/>
              </w:rPr>
            </w:pPr>
          </w:p>
        </w:tc>
        <w:tc>
          <w:tcPr>
            <w:tcW w:w="2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shares on AIM was £</w:t>
            </w:r>
          </w:p>
        </w:tc>
        <w:tc>
          <w:tcPr>
            <w:tcW w:w="24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per share (equivalent to $</w:t>
            </w:r>
          </w:p>
        </w:tc>
        <w:tc>
          <w:tcPr>
            <w:tcW w:w="2240" w:type="dxa"/>
            <w:vAlign w:val="bottom"/>
            <w:tcBorders>
              <w:right w:val="single" w:sz="8" w:color="auto"/>
            </w:tcBorders>
          </w:tcPr>
          <w:p>
            <w:pPr>
              <w:jc w:val="right"/>
              <w:ind w:right="1492"/>
              <w:spacing w:after="0" w:line="202" w:lineRule="exact"/>
              <w:rPr>
                <w:sz w:val="20"/>
                <w:szCs w:val="20"/>
                <w:color w:val="auto"/>
              </w:rPr>
            </w:pPr>
            <w:r>
              <w:rPr>
                <w:rFonts w:ascii="Arial" w:cs="Arial" w:eastAsia="Arial" w:hAnsi="Arial"/>
                <w:sz w:val="18"/>
                <w:szCs w:val="18"/>
                <w:color w:val="auto"/>
              </w:rPr>
              <w:t>per</w:t>
            </w:r>
          </w:p>
        </w:tc>
      </w:tr>
      <w:tr>
        <w:trPr>
          <w:trHeight w:val="203"/>
        </w:trPr>
        <w:tc>
          <w:tcPr>
            <w:tcW w:w="4300" w:type="dxa"/>
            <w:vAlign w:val="bottom"/>
            <w:tcBorders>
              <w:left w:val="single" w:sz="8" w:color="auto"/>
            </w:tcBorders>
          </w:tcPr>
          <w:p>
            <w:pPr>
              <w:spacing w:after="0"/>
              <w:rPr>
                <w:sz w:val="17"/>
                <w:szCs w:val="17"/>
                <w:color w:val="auto"/>
              </w:rPr>
            </w:pPr>
          </w:p>
        </w:tc>
        <w:tc>
          <w:tcPr>
            <w:tcW w:w="43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ADS based on an exchange rate of £1.00 to $</w:t>
            </w:r>
          </w:p>
        </w:tc>
        <w:tc>
          <w:tcPr>
            <w:tcW w:w="2760" w:type="dxa"/>
            <w:vAlign w:val="bottom"/>
            <w:tcBorders>
              <w:right w:val="single" w:sz="8" w:color="auto"/>
            </w:tcBorders>
            <w:gridSpan w:val="2"/>
          </w:tcPr>
          <w:p>
            <w:pPr>
              <w:jc w:val="right"/>
              <w:ind w:right="1972"/>
              <w:spacing w:after="0" w:line="202" w:lineRule="exact"/>
              <w:rPr>
                <w:sz w:val="20"/>
                <w:szCs w:val="20"/>
                <w:color w:val="auto"/>
              </w:rPr>
            </w:pPr>
            <w:r>
              <w:rPr>
                <w:rFonts w:ascii="Arial" w:cs="Arial" w:eastAsia="Arial" w:hAnsi="Arial"/>
                <w:sz w:val="18"/>
                <w:szCs w:val="18"/>
                <w:color w:val="auto"/>
              </w:rPr>
              <w:t>). For a</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discussion of the factors considered in determining the initial public</w:t>
            </w:r>
          </w:p>
        </w:tc>
      </w:tr>
      <w:tr>
        <w:trPr>
          <w:trHeight w:val="211"/>
        </w:trPr>
        <w:tc>
          <w:tcPr>
            <w:tcW w:w="4300" w:type="dxa"/>
            <w:vAlign w:val="bottom"/>
            <w:tcBorders>
              <w:left w:val="single" w:sz="8" w:color="auto"/>
            </w:tcBorders>
          </w:tcPr>
          <w:p>
            <w:pPr>
              <w:spacing w:after="0"/>
              <w:rPr>
                <w:sz w:val="18"/>
                <w:szCs w:val="18"/>
                <w:color w:val="auto"/>
              </w:rPr>
            </w:pP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offering price of our ADSs, see "Underwriting" in this prospectus.</w:t>
            </w: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American Depositary Shares</w:t>
            </w: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Each ADS represents</w:t>
            </w:r>
          </w:p>
        </w:tc>
        <w:tc>
          <w:tcPr>
            <w:tcW w:w="4640" w:type="dxa"/>
            <w:vAlign w:val="bottom"/>
            <w:tcBorders>
              <w:right w:val="single" w:sz="8" w:color="auto"/>
            </w:tcBorders>
            <w:gridSpan w:val="4"/>
          </w:tcPr>
          <w:p>
            <w:pPr>
              <w:jc w:val="right"/>
              <w:ind w:right="1532"/>
              <w:spacing w:after="0"/>
              <w:rPr>
                <w:sz w:val="20"/>
                <w:szCs w:val="20"/>
                <w:color w:val="auto"/>
              </w:rPr>
            </w:pPr>
            <w:r>
              <w:rPr>
                <w:rFonts w:ascii="Arial" w:cs="Arial" w:eastAsia="Arial" w:hAnsi="Arial"/>
                <w:sz w:val="18"/>
                <w:szCs w:val="18"/>
                <w:color w:val="auto"/>
              </w:rPr>
              <w:t>ordinary shares, nominal value £0.05</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per share. As an ADS holder you will not be treated as one of our</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shareholders and you will not have shareholder rights. You will have the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rights of an ADS holder or beneficial owner (as applicable) as provided</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in the deposit agreement among us, the depositary and holders and</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beneficial owners of ADSs from time to time. To better understand the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terms of our ADSs, see "Description of American Depositary Shares."</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We also encourage you to read the deposit agreement, the form of</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which is filed as an exhibit to the registration statement of which this</w:t>
            </w:r>
          </w:p>
        </w:tc>
      </w:tr>
      <w:tr>
        <w:trPr>
          <w:trHeight w:val="211"/>
        </w:trPr>
        <w:tc>
          <w:tcPr>
            <w:tcW w:w="4300" w:type="dxa"/>
            <w:vAlign w:val="bottom"/>
            <w:tcBorders>
              <w:left w:val="single" w:sz="8" w:color="auto"/>
            </w:tcBorders>
          </w:tcPr>
          <w:p>
            <w:pPr>
              <w:spacing w:after="0"/>
              <w:rPr>
                <w:sz w:val="18"/>
                <w:szCs w:val="18"/>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prospectus forms a part.</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9"/>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Depositary</w:t>
            </w:r>
          </w:p>
        </w:tc>
        <w:tc>
          <w:tcPr>
            <w:tcW w:w="1560" w:type="dxa"/>
            <w:vAlign w:val="bottom"/>
          </w:tcPr>
          <w:p>
            <w:pPr>
              <w:ind w:left="200"/>
              <w:spacing w:after="0"/>
              <w:rPr>
                <w:sz w:val="20"/>
                <w:szCs w:val="20"/>
                <w:color w:val="auto"/>
              </w:rPr>
            </w:pPr>
            <w:r>
              <w:rPr>
                <w:rFonts w:ascii="Arial" w:cs="Arial" w:eastAsia="Arial" w:hAnsi="Arial"/>
                <w:sz w:val="18"/>
                <w:szCs w:val="18"/>
                <w:color w:val="auto"/>
              </w:rPr>
              <w:t>Citibank N.A.</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approximately $</w:t>
            </w:r>
          </w:p>
        </w:tc>
        <w:tc>
          <w:tcPr>
            <w:tcW w:w="2800" w:type="dxa"/>
            <w:vAlign w:val="bottom"/>
            <w:gridSpan w:val="3"/>
          </w:tcPr>
          <w:p>
            <w:pPr>
              <w:ind w:left="600"/>
              <w:spacing w:after="0" w:line="202" w:lineRule="exact"/>
              <w:rPr>
                <w:sz w:val="20"/>
                <w:szCs w:val="20"/>
                <w:color w:val="auto"/>
              </w:rPr>
            </w:pPr>
            <w:r>
              <w:rPr>
                <w:rFonts w:ascii="Arial" w:cs="Arial" w:eastAsia="Arial" w:hAnsi="Arial"/>
                <w:sz w:val="18"/>
                <w:szCs w:val="18"/>
                <w:color w:val="auto"/>
              </w:rPr>
              <w:t>million (or approximately $</w:t>
            </w:r>
          </w:p>
        </w:tc>
        <w:tc>
          <w:tcPr>
            <w:tcW w:w="520" w:type="dxa"/>
            <w:vAlign w:val="bottom"/>
          </w:tcPr>
          <w:p>
            <w:pPr>
              <w:spacing w:after="0"/>
              <w:rPr>
                <w:sz w:val="17"/>
                <w:szCs w:val="17"/>
                <w:color w:val="auto"/>
              </w:rPr>
            </w:pPr>
          </w:p>
        </w:tc>
        <w:tc>
          <w:tcPr>
            <w:tcW w:w="2240" w:type="dxa"/>
            <w:vAlign w:val="bottom"/>
            <w:tcBorders>
              <w:right w:val="single" w:sz="8" w:color="auto"/>
            </w:tcBorders>
          </w:tcPr>
          <w:p>
            <w:pPr>
              <w:jc w:val="right"/>
              <w:ind w:right="1452"/>
              <w:spacing w:after="0" w:line="202" w:lineRule="exact"/>
              <w:rPr>
                <w:sz w:val="20"/>
                <w:szCs w:val="20"/>
                <w:color w:val="auto"/>
              </w:rPr>
            </w:pPr>
            <w:r>
              <w:rPr>
                <w:rFonts w:ascii="Arial" w:cs="Arial" w:eastAsia="Arial" w:hAnsi="Arial"/>
                <w:sz w:val="18"/>
                <w:szCs w:val="18"/>
                <w:color w:val="auto"/>
              </w:rPr>
              <w:t>million if</w:t>
            </w:r>
          </w:p>
        </w:tc>
      </w:tr>
      <w:tr>
        <w:trPr>
          <w:trHeight w:val="203"/>
        </w:trPr>
        <w:tc>
          <w:tcPr>
            <w:tcW w:w="4300" w:type="dxa"/>
            <w:vAlign w:val="bottom"/>
            <w:tcBorders>
              <w:left w:val="single" w:sz="8" w:color="auto"/>
            </w:tcBorders>
          </w:tcPr>
          <w:p>
            <w:pPr>
              <w:spacing w:after="0"/>
              <w:rPr>
                <w:sz w:val="17"/>
                <w:szCs w:val="17"/>
                <w:color w:val="auto"/>
              </w:rPr>
            </w:pPr>
          </w:p>
        </w:tc>
        <w:tc>
          <w:tcPr>
            <w:tcW w:w="4880" w:type="dxa"/>
            <w:vAlign w:val="bottom"/>
            <w:gridSpan w:val="5"/>
          </w:tcPr>
          <w:p>
            <w:pPr>
              <w:ind w:left="200"/>
              <w:spacing w:after="0" w:line="202" w:lineRule="exact"/>
              <w:rPr>
                <w:sz w:val="20"/>
                <w:szCs w:val="20"/>
                <w:color w:val="auto"/>
              </w:rPr>
            </w:pPr>
            <w:r>
              <w:rPr>
                <w:rFonts w:ascii="Arial" w:cs="Arial" w:eastAsia="Arial" w:hAnsi="Arial"/>
                <w:sz w:val="18"/>
                <w:szCs w:val="18"/>
                <w:color w:val="auto"/>
                <w:w w:val="99"/>
              </w:rPr>
              <w:t>the underwriters exercise in full their option to purchase an</w:t>
            </w:r>
          </w:p>
        </w:tc>
        <w:tc>
          <w:tcPr>
            <w:tcW w:w="2240" w:type="dxa"/>
            <w:vAlign w:val="bottom"/>
            <w:tcBorders>
              <w:right w:val="single" w:sz="8" w:color="auto"/>
            </w:tcBorders>
          </w:tcPr>
          <w:p>
            <w:pPr>
              <w:spacing w:after="0"/>
              <w:rPr>
                <w:sz w:val="17"/>
                <w:szCs w:val="17"/>
                <w:color w:val="auto"/>
              </w:rPr>
            </w:pP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additional</w:t>
            </w:r>
          </w:p>
        </w:tc>
        <w:tc>
          <w:tcPr>
            <w:tcW w:w="5560" w:type="dxa"/>
            <w:vAlign w:val="bottom"/>
            <w:tcBorders>
              <w:right w:val="single" w:sz="8" w:color="auto"/>
            </w:tcBorders>
            <w:gridSpan w:val="5"/>
          </w:tcPr>
          <w:p>
            <w:pPr>
              <w:jc w:val="right"/>
              <w:ind w:right="1432"/>
              <w:spacing w:after="0" w:line="202" w:lineRule="exact"/>
              <w:rPr>
                <w:sz w:val="20"/>
                <w:szCs w:val="20"/>
                <w:color w:val="auto"/>
              </w:rPr>
            </w:pPr>
            <w:r>
              <w:rPr>
                <w:rFonts w:ascii="Arial" w:cs="Arial" w:eastAsia="Arial" w:hAnsi="Arial"/>
                <w:sz w:val="18"/>
                <w:szCs w:val="18"/>
                <w:color w:val="auto"/>
                <w:w w:val="99"/>
              </w:rPr>
              <w:t>ADSs), based on an assumed initial public offering</w:t>
            </w: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price of $</w:t>
            </w:r>
          </w:p>
        </w:tc>
        <w:tc>
          <w:tcPr>
            <w:tcW w:w="5560" w:type="dxa"/>
            <w:vAlign w:val="bottom"/>
            <w:tcBorders>
              <w:right w:val="single" w:sz="8" w:color="auto"/>
            </w:tcBorders>
            <w:gridSpan w:val="5"/>
          </w:tcPr>
          <w:p>
            <w:pPr>
              <w:jc w:val="right"/>
              <w:ind w:right="1252"/>
              <w:spacing w:after="0" w:line="202" w:lineRule="exact"/>
              <w:rPr>
                <w:sz w:val="20"/>
                <w:szCs w:val="20"/>
                <w:color w:val="auto"/>
              </w:rPr>
            </w:pPr>
            <w:r>
              <w:rPr>
                <w:rFonts w:ascii="Arial" w:cs="Arial" w:eastAsia="Arial" w:hAnsi="Arial"/>
                <w:sz w:val="18"/>
                <w:szCs w:val="18"/>
                <w:color w:val="auto"/>
                <w:w w:val="99"/>
              </w:rPr>
              <w:t>per ADS, which reflects the last reported sale price of</w:t>
            </w:r>
          </w:p>
        </w:tc>
      </w:tr>
      <w:tr>
        <w:trPr>
          <w:trHeight w:val="203"/>
        </w:trPr>
        <w:tc>
          <w:tcPr>
            <w:tcW w:w="4300" w:type="dxa"/>
            <w:vAlign w:val="bottom"/>
            <w:tcBorders>
              <w:left w:val="single" w:sz="8" w:color="auto"/>
            </w:tcBorders>
          </w:tcPr>
          <w:p>
            <w:pPr>
              <w:spacing w:after="0"/>
              <w:rPr>
                <w:sz w:val="17"/>
                <w:szCs w:val="17"/>
                <w:color w:val="auto"/>
              </w:rPr>
            </w:pPr>
          </w:p>
        </w:tc>
        <w:tc>
          <w:tcPr>
            <w:tcW w:w="43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our ordinary shares on AIM and the exchange rate</w:t>
            </w:r>
          </w:p>
        </w:tc>
        <w:tc>
          <w:tcPr>
            <w:tcW w:w="52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r>
      <w:tr>
        <w:trPr>
          <w:trHeight w:val="203"/>
        </w:trPr>
        <w:tc>
          <w:tcPr>
            <w:tcW w:w="4300" w:type="dxa"/>
            <w:vAlign w:val="bottom"/>
            <w:tcBorders>
              <w:left w:val="single" w:sz="8" w:color="auto"/>
            </w:tcBorders>
          </w:tcPr>
          <w:p>
            <w:pPr>
              <w:spacing w:after="0"/>
              <w:rPr>
                <w:sz w:val="17"/>
                <w:szCs w:val="17"/>
                <w:color w:val="auto"/>
              </w:rPr>
            </w:pPr>
          </w:p>
        </w:tc>
        <w:tc>
          <w:tcPr>
            <w:tcW w:w="1560" w:type="dxa"/>
            <w:vAlign w:val="bottom"/>
          </w:tcPr>
          <w:p>
            <w:pPr>
              <w:ind w:left="200"/>
              <w:spacing w:after="0" w:line="202" w:lineRule="exact"/>
              <w:rPr>
                <w:sz w:val="20"/>
                <w:szCs w:val="20"/>
                <w:color w:val="auto"/>
              </w:rPr>
            </w:pPr>
            <w:r>
              <w:rPr>
                <w:rFonts w:ascii="Arial" w:cs="Arial" w:eastAsia="Arial" w:hAnsi="Arial"/>
                <w:sz w:val="18"/>
                <w:szCs w:val="18"/>
                <w:color w:val="auto"/>
              </w:rPr>
              <w:t>on</w:t>
            </w:r>
          </w:p>
        </w:tc>
        <w:tc>
          <w:tcPr>
            <w:tcW w:w="5560" w:type="dxa"/>
            <w:vAlign w:val="bottom"/>
            <w:tcBorders>
              <w:right w:val="single" w:sz="8" w:color="auto"/>
            </w:tcBorders>
            <w:gridSpan w:val="5"/>
          </w:tcPr>
          <w:p>
            <w:pPr>
              <w:jc w:val="right"/>
              <w:ind w:right="1372"/>
              <w:spacing w:after="0" w:line="202" w:lineRule="exact"/>
              <w:rPr>
                <w:sz w:val="20"/>
                <w:szCs w:val="20"/>
                <w:color w:val="auto"/>
              </w:rPr>
            </w:pPr>
            <w:r>
              <w:rPr>
                <w:rFonts w:ascii="Arial" w:cs="Arial" w:eastAsia="Arial" w:hAnsi="Arial"/>
                <w:sz w:val="18"/>
                <w:szCs w:val="18"/>
                <w:color w:val="auto"/>
              </w:rPr>
              <w:t>, 2017, after deducting the estimated underwriting</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discounts and commissions and estimated offering expenses payable</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by us. We intend to use the net proceeds from this offering, together</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with our cash and cash equivalents, to fund our planned clinical trials of</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RPL554 for the treatment of COPD and CF, current and future research</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and development activities and for working capital and other general</w:t>
            </w:r>
          </w:p>
        </w:tc>
      </w:tr>
      <w:tr>
        <w:trPr>
          <w:trHeight w:val="211"/>
        </w:trPr>
        <w:tc>
          <w:tcPr>
            <w:tcW w:w="4300" w:type="dxa"/>
            <w:vAlign w:val="bottom"/>
            <w:tcBorders>
              <w:left w:val="single" w:sz="8" w:color="auto"/>
            </w:tcBorders>
          </w:tcPr>
          <w:p>
            <w:pPr>
              <w:spacing w:after="0"/>
              <w:rPr>
                <w:sz w:val="18"/>
                <w:szCs w:val="18"/>
                <w:color w:val="auto"/>
              </w:rPr>
            </w:pPr>
          </w:p>
        </w:tc>
        <w:tc>
          <w:tcPr>
            <w:tcW w:w="4360" w:type="dxa"/>
            <w:vAlign w:val="bottom"/>
            <w:gridSpan w:val="4"/>
          </w:tcPr>
          <w:p>
            <w:pPr>
              <w:ind w:left="200"/>
              <w:spacing w:after="0"/>
              <w:rPr>
                <w:sz w:val="20"/>
                <w:szCs w:val="20"/>
                <w:color w:val="auto"/>
              </w:rPr>
            </w:pPr>
            <w:r>
              <w:rPr>
                <w:rFonts w:ascii="Arial" w:cs="Arial" w:eastAsia="Arial" w:hAnsi="Arial"/>
                <w:sz w:val="18"/>
                <w:szCs w:val="18"/>
                <w:color w:val="auto"/>
              </w:rPr>
              <w:t>corporate purposes. See "Use of Proceeds."</w:t>
            </w: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See "Risk Factors" and the other information included in this prospectus</w:t>
            </w:r>
          </w:p>
        </w:tc>
      </w:tr>
      <w:tr>
        <w:trPr>
          <w:trHeight w:val="203"/>
        </w:trPr>
        <w:tc>
          <w:tcPr>
            <w:tcW w:w="4300" w:type="dxa"/>
            <w:vAlign w:val="bottom"/>
            <w:tcBorders>
              <w:left w:val="single" w:sz="8" w:color="auto"/>
            </w:tcBorders>
          </w:tcPr>
          <w:p>
            <w:pPr>
              <w:spacing w:after="0"/>
              <w:rPr>
                <w:sz w:val="17"/>
                <w:szCs w:val="17"/>
                <w:color w:val="auto"/>
              </w:rPr>
            </w:pPr>
          </w:p>
        </w:tc>
        <w:tc>
          <w:tcPr>
            <w:tcW w:w="7120" w:type="dxa"/>
            <w:vAlign w:val="bottom"/>
            <w:tcBorders>
              <w:right w:val="single" w:sz="8" w:color="auto"/>
            </w:tcBorders>
            <w:gridSpan w:val="6"/>
          </w:tcPr>
          <w:p>
            <w:pPr>
              <w:ind w:left="200"/>
              <w:spacing w:after="0" w:line="202" w:lineRule="exact"/>
              <w:rPr>
                <w:sz w:val="20"/>
                <w:szCs w:val="20"/>
                <w:color w:val="auto"/>
              </w:rPr>
            </w:pPr>
            <w:r>
              <w:rPr>
                <w:rFonts w:ascii="Arial" w:cs="Arial" w:eastAsia="Arial" w:hAnsi="Arial"/>
                <w:sz w:val="18"/>
                <w:szCs w:val="18"/>
                <w:color w:val="auto"/>
              </w:rPr>
              <w:t>for a discussion of factors you should consider before deciding to invest</w:t>
            </w:r>
          </w:p>
        </w:tc>
      </w:tr>
      <w:tr>
        <w:trPr>
          <w:trHeight w:val="211"/>
        </w:trPr>
        <w:tc>
          <w:tcPr>
            <w:tcW w:w="4300" w:type="dxa"/>
            <w:vAlign w:val="bottom"/>
            <w:tcBorders>
              <w:left w:val="single" w:sz="8" w:color="auto"/>
            </w:tcBorders>
          </w:tcPr>
          <w:p>
            <w:pPr>
              <w:spacing w:after="0"/>
              <w:rPr>
                <w:sz w:val="18"/>
                <w:szCs w:val="18"/>
                <w:color w:val="auto"/>
              </w:rPr>
            </w:pPr>
          </w:p>
        </w:tc>
        <w:tc>
          <w:tcPr>
            <w:tcW w:w="1560" w:type="dxa"/>
            <w:vAlign w:val="bottom"/>
          </w:tcPr>
          <w:p>
            <w:pPr>
              <w:ind w:left="200"/>
              <w:spacing w:after="0"/>
              <w:rPr>
                <w:sz w:val="20"/>
                <w:szCs w:val="20"/>
                <w:color w:val="auto"/>
              </w:rPr>
            </w:pPr>
            <w:r>
              <w:rPr>
                <w:rFonts w:ascii="Arial" w:cs="Arial" w:eastAsia="Arial" w:hAnsi="Arial"/>
                <w:sz w:val="18"/>
                <w:szCs w:val="18"/>
                <w:color w:val="auto"/>
              </w:rPr>
              <w:t>in our ADSs.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410"/>
        </w:trPr>
        <w:tc>
          <w:tcPr>
            <w:tcW w:w="43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Listing</w:t>
            </w:r>
          </w:p>
        </w:tc>
        <w:tc>
          <w:tcPr>
            <w:tcW w:w="7120" w:type="dxa"/>
            <w:vAlign w:val="bottom"/>
            <w:tcBorders>
              <w:right w:val="single" w:sz="8" w:color="auto"/>
            </w:tcBorders>
            <w:gridSpan w:val="6"/>
          </w:tcPr>
          <w:p>
            <w:pPr>
              <w:ind w:left="200"/>
              <w:spacing w:after="0"/>
              <w:rPr>
                <w:sz w:val="20"/>
                <w:szCs w:val="20"/>
                <w:color w:val="auto"/>
              </w:rPr>
            </w:pPr>
            <w:r>
              <w:rPr>
                <w:rFonts w:ascii="Arial" w:cs="Arial" w:eastAsia="Arial" w:hAnsi="Arial"/>
                <w:sz w:val="18"/>
                <w:szCs w:val="18"/>
                <w:color w:val="auto"/>
              </w:rPr>
              <w:t>We intend to apply to list our ADSs on The NASDAQ Global Market, or</w:t>
            </w:r>
          </w:p>
        </w:tc>
      </w:tr>
      <w:tr>
        <w:trPr>
          <w:trHeight w:val="211"/>
        </w:trPr>
        <w:tc>
          <w:tcPr>
            <w:tcW w:w="4300" w:type="dxa"/>
            <w:vAlign w:val="bottom"/>
            <w:tcBorders>
              <w:left w:val="single" w:sz="8" w:color="auto"/>
            </w:tcBorders>
          </w:tcPr>
          <w:p>
            <w:pPr>
              <w:spacing w:after="0"/>
              <w:rPr>
                <w:sz w:val="18"/>
                <w:szCs w:val="18"/>
                <w:color w:val="auto"/>
              </w:rPr>
            </w:pPr>
          </w:p>
        </w:tc>
        <w:tc>
          <w:tcPr>
            <w:tcW w:w="3120" w:type="dxa"/>
            <w:vAlign w:val="bottom"/>
            <w:gridSpan w:val="3"/>
          </w:tcPr>
          <w:p>
            <w:pPr>
              <w:ind w:left="200"/>
              <w:spacing w:after="0"/>
              <w:rPr>
                <w:sz w:val="20"/>
                <w:szCs w:val="20"/>
                <w:color w:val="auto"/>
              </w:rPr>
            </w:pPr>
            <w:r>
              <w:rPr>
                <w:rFonts w:ascii="Arial" w:cs="Arial" w:eastAsia="Arial" w:hAnsi="Arial"/>
                <w:sz w:val="18"/>
                <w:szCs w:val="18"/>
                <w:color w:val="auto"/>
                <w:w w:val="97"/>
              </w:rPr>
              <w:t>NASDAQ, under the symbol "VRNA."</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15"/>
        </w:trPr>
        <w:tc>
          <w:tcPr>
            <w:tcW w:w="4300" w:type="dxa"/>
            <w:vAlign w:val="bottom"/>
            <w:tcBorders>
              <w:left w:val="single" w:sz="8" w:color="auto"/>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427"/>
        </w:trPr>
        <w:tc>
          <w:tcPr>
            <w:tcW w:w="430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5"/>
        </w:trPr>
        <w:tc>
          <w:tcPr>
            <w:tcW w:w="430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048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04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number of our ordinary shares to be outstanding after this offering is based on 51,361,064 ordinary shares issued and outstanding as of</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February 15, 2017 and excludes:</w:t>
      </w:r>
    </w:p>
    <w:p>
      <w:pPr>
        <w:spacing w:after="0" w:line="212" w:lineRule="exact"/>
        <w:rPr>
          <w:sz w:val="20"/>
          <w:szCs w:val="20"/>
          <w:color w:val="auto"/>
        </w:rPr>
      </w:pPr>
    </w:p>
    <w:p>
      <w:pPr>
        <w:ind w:left="1320" w:right="400" w:hanging="538"/>
        <w:spacing w:after="0" w:line="183"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2,804,000 ordinary shares issuable upon the exercise of share options outstanding as of February 15, 2017 at a weighted average exercise price of £1.90 per share;</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2,332,106 ordinary shares that may be issued under our equity incentive plans as of February 15, 2017; and</w:t>
      </w:r>
    </w:p>
    <w:p>
      <w:pPr>
        <w:spacing w:after="0" w:line="194" w:lineRule="exact"/>
        <w:rPr>
          <w:rFonts w:ascii="Arial" w:cs="Arial" w:eastAsia="Arial" w:hAnsi="Arial"/>
          <w:sz w:val="29"/>
          <w:szCs w:val="29"/>
          <w:color w:val="auto"/>
          <w:vertAlign w:val="superscript"/>
        </w:rPr>
      </w:pPr>
    </w:p>
    <w:p>
      <w:pPr>
        <w:ind w:left="1320" w:hanging="538"/>
        <w:spacing w:after="0" w:line="183" w:lineRule="auto"/>
        <w:tabs>
          <w:tab w:leader="none" w:pos="13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12,646,370 ordinary shares issuable upon the exercise of warrants outstanding as of February 15, 2017 at a weighted average exercise price of £1.7174 per share.</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212" w:lineRule="exact"/>
        <w:rPr>
          <w:sz w:val="20"/>
          <w:szCs w:val="20"/>
          <w:color w:val="auto"/>
        </w:rPr>
      </w:pPr>
    </w:p>
    <w:p>
      <w:pPr>
        <w:ind w:left="1320" w:right="80" w:hanging="538"/>
        <w:spacing w:after="0" w:line="183" w:lineRule="auto"/>
        <w:tabs>
          <w:tab w:leader="none" w:pos="132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 50-for-one share consolidation in which we consolidated every 50 existing ordinary shares, nominal value £0.001 per share, in our issued share capital into one ordinary share, nominal value £0.05 per share, effected February 10, 2017;</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no exercise of the outstanding options or warrants described above after February 15, 2017; and</w:t>
      </w:r>
    </w:p>
    <w:p>
      <w:pPr>
        <w:spacing w:after="0" w:line="50" w:lineRule="exact"/>
        <w:rPr>
          <w:sz w:val="20"/>
          <w:szCs w:val="20"/>
          <w:color w:val="auto"/>
        </w:rPr>
      </w:pPr>
    </w:p>
    <w:p>
      <w:pPr>
        <w:ind w:left="780"/>
        <w:spacing w:after="0"/>
        <w:tabs>
          <w:tab w:leader="none" w:pos="1300" w:val="left"/>
          <w:tab w:leader="none" w:pos="7880" w:val="left"/>
        </w:tabs>
        <w:rPr>
          <w:sz w:val="20"/>
          <w:szCs w:val="20"/>
          <w:color w:val="auto"/>
        </w:rPr>
      </w:pP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8"/>
          <w:szCs w:val="18"/>
          <w:color w:val="auto"/>
        </w:rPr>
        <w:t>no exercise by the underwriters of their option to purchase an additional</w:t>
      </w:r>
      <w:r>
        <w:rPr>
          <w:sz w:val="20"/>
          <w:szCs w:val="20"/>
          <w:color w:val="auto"/>
        </w:rPr>
        <w:tab/>
      </w:r>
      <w:r>
        <w:rPr>
          <w:rFonts w:ascii="Arial" w:cs="Arial" w:eastAsia="Arial" w:hAnsi="Arial"/>
          <w:sz w:val="16"/>
          <w:szCs w:val="16"/>
          <w:color w:val="auto"/>
        </w:rPr>
        <w:t>ADSs in this offering.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5380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4" w:lineRule="exact"/>
        <w:rPr>
          <w:sz w:val="20"/>
          <w:szCs w:val="20"/>
          <w:color w:val="auto"/>
        </w:rPr>
      </w:pPr>
    </w:p>
    <w:p>
      <w:pPr>
        <w:ind w:left="240" w:right="280"/>
        <w:spacing w:after="0" w:line="238" w:lineRule="auto"/>
        <w:rPr>
          <w:sz w:val="20"/>
          <w:szCs w:val="20"/>
          <w:color w:val="auto"/>
        </w:rPr>
      </w:pPr>
      <w:r>
        <w:rPr>
          <w:rFonts w:ascii="Arial" w:cs="Arial" w:eastAsia="Arial" w:hAnsi="Arial"/>
          <w:sz w:val="18"/>
          <w:szCs w:val="18"/>
          <w:color w:val="auto"/>
        </w:rPr>
        <w:t>The following tables set forth our summary consolidated financial data for the periods indicated. We have derived the consolidated statement of comprehensive income data for the years ended December 31, 2015 and 2016 and the consolidated statement of financial position data as of December 31, 2016 from our Annual Consolidated Financial Statements included elsewhere in this prospectus.</w:t>
      </w:r>
    </w:p>
    <w:p>
      <w:pPr>
        <w:spacing w:after="0" w:line="208" w:lineRule="exact"/>
        <w:rPr>
          <w:sz w:val="20"/>
          <w:szCs w:val="20"/>
          <w:color w:val="auto"/>
        </w:rPr>
      </w:pPr>
    </w:p>
    <w:p>
      <w:pPr>
        <w:ind w:left="240" w:right="300"/>
        <w:spacing w:after="0" w:line="237" w:lineRule="auto"/>
        <w:rPr>
          <w:sz w:val="20"/>
          <w:szCs w:val="20"/>
          <w:color w:val="auto"/>
        </w:rPr>
      </w:pPr>
      <w:r>
        <w:rPr>
          <w:rFonts w:ascii="Arial" w:cs="Arial" w:eastAsia="Arial" w:hAnsi="Arial"/>
          <w:sz w:val="18"/>
          <w:szCs w:val="18"/>
          <w:color w:val="auto"/>
        </w:rPr>
        <w:t>Our historical results are not necessarily indicative of the results that should be expected for any future period. You should read the following summary consolidated financial data together with the Annual Consolidated Financial Statements included elsewhere in this prospectus and the sections titled "Exchange Rate Information" and "Management's Discussion and Analysis of Financial Condition and Results of Operations."</w:t>
      </w:r>
    </w:p>
    <w:p>
      <w:pPr>
        <w:spacing w:after="0" w:line="209" w:lineRule="exact"/>
        <w:rPr>
          <w:sz w:val="20"/>
          <w:szCs w:val="20"/>
          <w:color w:val="auto"/>
        </w:rPr>
      </w:pPr>
    </w:p>
    <w:p>
      <w:pPr>
        <w:ind w:left="240" w:right="320"/>
        <w:spacing w:after="0" w:line="236"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December 31, 2016 and for the years ended December 31, 2015 and 2016 into U.S. dollars at the noon buying rate of the Federal Reserve Bank of New York on December 30, 2016, which was £1.00 to $1.2337. These translations should not be considered representations that any such amounts have been, could have been or could be converted into U.S. dollars at that or any other exchange rate as of that or any other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96"/>
              <w:spacing w:after="0" w:line="143"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96"/>
              <w:spacing w:after="0" w:line="143"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15"/>
              <w:spacing w:after="0" w:line="143"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95"/>
              <w:spacing w:after="0" w:line="143"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0" w:type="dxa"/>
            <w:vAlign w:val="bottom"/>
            <w:gridSpan w:val="12"/>
          </w:tcPr>
          <w:p>
            <w:pPr>
              <w:ind w:left="280"/>
              <w:spacing w:after="0" w:line="155" w:lineRule="exact"/>
              <w:rPr>
                <w:sz w:val="20"/>
                <w:szCs w:val="20"/>
                <w:color w:val="auto"/>
              </w:rPr>
            </w:pPr>
            <w:r>
              <w:rPr>
                <w:rFonts w:ascii="Arial" w:cs="Arial" w:eastAsia="Arial" w:hAnsi="Arial"/>
                <w:sz w:val="14"/>
                <w:szCs w:val="14"/>
                <w:b w:val="1"/>
                <w:bCs w:val="1"/>
                <w:color w:val="auto"/>
              </w:rPr>
              <w:t>(in thousands, except per ordinary share data)</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42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8"/>
              </w:rPr>
              <w:t>Consolidated statement of comprehensive income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(7,269)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(8,968)</w:t>
            </w:r>
          </w:p>
        </w:tc>
        <w:tc>
          <w:tcPr>
            <w:tcW w:w="2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(4,522)</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(5,579)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costs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(2,105)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(2,498)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(3,082)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8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(8,975)</w:t>
            </w:r>
          </w:p>
        </w:tc>
        <w:tc>
          <w:tcPr>
            <w:tcW w:w="120" w:type="dxa"/>
            <w:vAlign w:val="bottom"/>
          </w:tcPr>
          <w:p>
            <w:pPr>
              <w:spacing w:after="0"/>
              <w:rPr>
                <w:sz w:val="17"/>
                <w:szCs w:val="17"/>
                <w:color w:val="auto"/>
              </w:rPr>
            </w:pPr>
          </w:p>
        </w:tc>
        <w:tc>
          <w:tcPr>
            <w:tcW w:w="9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(11,072)</w:t>
            </w: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(7,020)</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(8,661)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1,841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2,272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Finance expense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w:t>
            </w: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(794)</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taxation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(9,002)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(11,106)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(5,973)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(7,368)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Taxation — credit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1,509</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1,862</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954</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1,177</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year</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(7,493)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(9,244)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(5,018)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(6,191)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Exchange differences on translating foreign operations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4280" w:type="dxa"/>
            <w:vAlign w:val="bottom"/>
          </w:tcPr>
          <w:p>
            <w:pPr>
              <w:spacing w:after="0" w:line="200" w:lineRule="exact"/>
              <w:rPr>
                <w:sz w:val="20"/>
                <w:szCs w:val="20"/>
                <w:color w:val="auto"/>
              </w:rPr>
            </w:pPr>
            <w:r>
              <w:rPr>
                <w:rFonts w:ascii="Arial" w:cs="Arial" w:eastAsia="Arial" w:hAnsi="Arial"/>
                <w:sz w:val="18"/>
                <w:szCs w:val="18"/>
                <w:color w:val="auto"/>
                <w:w w:val="98"/>
              </w:rPr>
              <w:t>Total comprehensive loss attributable to owners of the</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4280" w:type="dxa"/>
            <w:vAlign w:val="bottom"/>
          </w:tcPr>
          <w:p>
            <w:pPr>
              <w:ind w:left="180"/>
              <w:spacing w:after="0" w:line="200" w:lineRule="exact"/>
              <w:rPr>
                <w:sz w:val="20"/>
                <w:szCs w:val="20"/>
                <w:color w:val="auto"/>
              </w:rPr>
            </w:pPr>
            <w:r>
              <w:rPr>
                <w:rFonts w:ascii="Arial" w:cs="Arial" w:eastAsia="Arial" w:hAnsi="Arial"/>
                <w:sz w:val="18"/>
                <w:szCs w:val="18"/>
                <w:color w:val="auto"/>
              </w:rPr>
              <w:t>company</w:t>
            </w:r>
          </w:p>
        </w:tc>
        <w:tc>
          <w:tcPr>
            <w:tcW w:w="4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(7,489)</w:t>
            </w:r>
          </w:p>
        </w:tc>
        <w:tc>
          <w:tcPr>
            <w:tcW w:w="12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(9,239)</w:t>
            </w:r>
          </w:p>
        </w:tc>
        <w:tc>
          <w:tcPr>
            <w:tcW w:w="22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(4,976)</w:t>
            </w:r>
          </w:p>
        </w:tc>
        <w:tc>
          <w:tcPr>
            <w:tcW w:w="200" w:type="dxa"/>
            <w:vAlign w:val="bottom"/>
          </w:tcPr>
          <w:p>
            <w:pPr>
              <w:jc w:val="right"/>
              <w:ind w:right="12"/>
              <w:spacing w:after="0" w:line="200"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(6,139)</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42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Loss per ordinary share — basic and diluted</w:t>
            </w:r>
          </w:p>
        </w:tc>
        <w:tc>
          <w:tcPr>
            <w:tcW w:w="4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(0.3710)</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8"/>
                <w:szCs w:val="18"/>
                <w:color w:val="auto"/>
              </w:rPr>
              <w:t>(0.4577)</w:t>
            </w:r>
          </w:p>
        </w:tc>
        <w:tc>
          <w:tcPr>
            <w:tcW w:w="220" w:type="dxa"/>
            <w:vAlign w:val="bottom"/>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(0.1498)</w:t>
            </w:r>
          </w:p>
        </w:tc>
        <w:tc>
          <w:tcPr>
            <w:tcW w:w="200" w:type="dxa"/>
            <w:vAlign w:val="bottom"/>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(0.1848)</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357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3572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34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6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December 31, 2016,</w:t>
            </w:r>
          </w:p>
        </w:tc>
      </w:tr>
      <w:tr>
        <w:trPr>
          <w:trHeight w:val="183"/>
        </w:trPr>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w:t>
            </w:r>
          </w:p>
        </w:tc>
        <w:tc>
          <w:tcPr>
            <w:tcW w:w="6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0"/>
                <w:szCs w:val="10"/>
                <w:b w:val="1"/>
                <w:bCs w:val="1"/>
                <w:color w:val="auto"/>
              </w:rPr>
              <w:t>(1)(2)</w:t>
            </w:r>
          </w:p>
        </w:tc>
        <w:tc>
          <w:tcPr>
            <w:tcW w:w="1300" w:type="dxa"/>
            <w:vAlign w:val="bottom"/>
            <w:gridSpan w:val="2"/>
          </w:tcPr>
          <w:p>
            <w:pPr>
              <w:spacing w:after="0"/>
              <w:rPr>
                <w:sz w:val="15"/>
                <w:szCs w:val="15"/>
                <w:color w:val="auto"/>
              </w:rPr>
            </w:pPr>
          </w:p>
        </w:tc>
      </w:tr>
      <w:tr>
        <w:trPr>
          <w:trHeight w:val="156"/>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(in</w:t>
            </w:r>
          </w:p>
        </w:tc>
        <w:tc>
          <w:tcPr>
            <w:tcW w:w="2060" w:type="dxa"/>
            <w:vAlign w:val="bottom"/>
            <w:gridSpan w:val="3"/>
          </w:tcPr>
          <w:p>
            <w:pPr>
              <w:jc w:val="right"/>
              <w:ind w:right="1383"/>
              <w:spacing w:after="0" w:line="155" w:lineRule="exact"/>
              <w:rPr>
                <w:sz w:val="20"/>
                <w:szCs w:val="20"/>
                <w:color w:val="auto"/>
              </w:rPr>
            </w:pPr>
            <w:r>
              <w:rPr>
                <w:rFonts w:ascii="Arial" w:cs="Arial" w:eastAsia="Arial" w:hAnsi="Arial"/>
                <w:sz w:val="14"/>
                <w:szCs w:val="14"/>
                <w:b w:val="1"/>
                <w:bCs w:val="1"/>
                <w:color w:val="auto"/>
                <w:w w:val="76"/>
              </w:rPr>
              <w:t>thousands)</w:t>
            </w:r>
          </w:p>
        </w:tc>
        <w:tc>
          <w:tcPr>
            <w:tcW w:w="1300" w:type="dxa"/>
            <w:vAlign w:val="bottom"/>
            <w:gridSpan w:val="2"/>
          </w:tcPr>
          <w:p>
            <w:pPr>
              <w:spacing w:after="0"/>
              <w:rPr>
                <w:sz w:val="13"/>
                <w:szCs w:val="13"/>
                <w:color w:val="auto"/>
              </w:rPr>
            </w:pPr>
          </w:p>
        </w:tc>
      </w:tr>
      <w:tr>
        <w:trPr>
          <w:trHeight w:val="203"/>
        </w:trPr>
        <w:tc>
          <w:tcPr>
            <w:tcW w:w="56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financial position data:</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38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32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  39,785</w:t>
            </w:r>
          </w:p>
        </w:tc>
        <w:tc>
          <w:tcPr>
            <w:tcW w:w="2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49,083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tcPr>
          <w:p>
            <w:pPr>
              <w:jc w:val="right"/>
              <w:ind w:right="66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76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46,143</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56,926</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tcPr>
          <w:p>
            <w:pPr>
              <w:spacing w:after="0" w:line="202" w:lineRule="exact"/>
              <w:rPr>
                <w:sz w:val="20"/>
                <w:szCs w:val="20"/>
                <w:color w:val="auto"/>
              </w:rPr>
            </w:pPr>
            <w:r>
              <w:rPr>
                <w:rFonts w:ascii="Arial" w:cs="Arial" w:eastAsia="Arial" w:hAnsi="Arial"/>
                <w:sz w:val="18"/>
                <w:szCs w:val="18"/>
                <w:color w:val="auto"/>
              </w:rPr>
              <w:t>Share premium</w:t>
            </w:r>
          </w:p>
        </w:tc>
        <w:tc>
          <w:tcPr>
            <w:tcW w:w="760" w:type="dxa"/>
            <w:vAlign w:val="bottom"/>
          </w:tcPr>
          <w:p>
            <w:pPr>
              <w:spacing w:after="0"/>
              <w:rPr>
                <w:sz w:val="17"/>
                <w:szCs w:val="17"/>
                <w:color w:val="auto"/>
              </w:rPr>
            </w:pPr>
          </w:p>
        </w:tc>
        <w:tc>
          <w:tcPr>
            <w:tcW w:w="32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58,527</w:t>
            </w:r>
          </w:p>
        </w:tc>
        <w:tc>
          <w:tcPr>
            <w:tcW w:w="260" w:type="dxa"/>
            <w:vAlign w:val="bottom"/>
          </w:tcPr>
          <w:p>
            <w:pPr>
              <w:spacing w:after="0"/>
              <w:rPr>
                <w:sz w:val="17"/>
                <w:szCs w:val="17"/>
                <w:color w:val="auto"/>
              </w:rPr>
            </w:pPr>
          </w:p>
        </w:tc>
        <w:tc>
          <w:tcPr>
            <w:tcW w:w="8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72,204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11,674</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14,403</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tcPr>
          <w:p>
            <w:pPr>
              <w:spacing w:after="0" w:line="202" w:lineRule="exact"/>
              <w:rPr>
                <w:sz w:val="20"/>
                <w:szCs w:val="20"/>
                <w:color w:val="auto"/>
              </w:rPr>
            </w:pPr>
            <w:r>
              <w:rPr>
                <w:rFonts w:ascii="Arial" w:cs="Arial" w:eastAsia="Arial" w:hAnsi="Arial"/>
                <w:sz w:val="18"/>
                <w:szCs w:val="18"/>
                <w:color w:val="auto"/>
              </w:rPr>
              <w:t>Accumulated loss</w:t>
            </w:r>
          </w:p>
        </w:tc>
        <w:tc>
          <w:tcPr>
            <w:tcW w:w="760" w:type="dxa"/>
            <w:vAlign w:val="bottom"/>
          </w:tcPr>
          <w:p>
            <w:pPr>
              <w:spacing w:after="0"/>
              <w:rPr>
                <w:sz w:val="17"/>
                <w:szCs w:val="17"/>
                <w:color w:val="auto"/>
              </w:rPr>
            </w:pPr>
          </w:p>
        </w:tc>
        <w:tc>
          <w:tcPr>
            <w:tcW w:w="3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(28,728)</w:t>
            </w:r>
          </w:p>
        </w:tc>
        <w:tc>
          <w:tcPr>
            <w:tcW w:w="260" w:type="dxa"/>
            <w:vAlign w:val="bottom"/>
          </w:tcPr>
          <w:p>
            <w:pPr>
              <w:spacing w:after="0"/>
              <w:rPr>
                <w:sz w:val="17"/>
                <w:szCs w:val="17"/>
                <w:color w:val="auto"/>
              </w:rPr>
            </w:pPr>
          </w:p>
        </w:tc>
        <w:tc>
          <w:tcPr>
            <w:tcW w:w="8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(35,442)</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76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34,468</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42,524</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5540" w:type="dxa"/>
            <w:vAlign w:val="bottom"/>
            <w:tcBorders>
              <w:bottom w:val="single" w:sz="8" w:color="auto"/>
            </w:tcBorders>
            <w:gridSpan w:val="5"/>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r>
      <w:tr>
        <w:trPr>
          <w:trHeight w:val="376"/>
        </w:trPr>
        <w:tc>
          <w:tcPr>
            <w:tcW w:w="340" w:type="dxa"/>
            <w:vAlign w:val="bottom"/>
          </w:tcPr>
          <w:p>
            <w:pPr>
              <w:spacing w:after="0"/>
              <w:rPr>
                <w:sz w:val="20"/>
                <w:szCs w:val="20"/>
                <w:color w:val="auto"/>
              </w:rPr>
            </w:pPr>
            <w:r>
              <w:rPr>
                <w:rFonts w:ascii="Arial" w:cs="Arial" w:eastAsia="Arial" w:hAnsi="Arial"/>
                <w:sz w:val="11"/>
                <w:szCs w:val="11"/>
                <w:color w:val="auto"/>
              </w:rPr>
              <w:t>(1)</w:t>
            </w:r>
          </w:p>
        </w:tc>
        <w:tc>
          <w:tcPr>
            <w:tcW w:w="5540" w:type="dxa"/>
            <w:vAlign w:val="bottom"/>
            <w:gridSpan w:val="5"/>
          </w:tcPr>
          <w:p>
            <w:pPr>
              <w:ind w:left="200"/>
              <w:spacing w:after="0"/>
              <w:rPr>
                <w:sz w:val="20"/>
                <w:szCs w:val="20"/>
                <w:color w:val="auto"/>
              </w:rPr>
            </w:pPr>
            <w:r>
              <w:rPr>
                <w:rFonts w:ascii="Arial" w:cs="Arial" w:eastAsia="Arial" w:hAnsi="Arial"/>
                <w:sz w:val="14"/>
                <w:szCs w:val="14"/>
                <w:color w:val="auto"/>
              </w:rPr>
              <w:t>The as adjusted statement of financial position data give effect to the sale by us of</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3"/>
          </w:tcPr>
          <w:p>
            <w:pPr>
              <w:ind w:left="40"/>
              <w:spacing w:after="0"/>
              <w:rPr>
                <w:sz w:val="20"/>
                <w:szCs w:val="20"/>
                <w:color w:val="auto"/>
              </w:rPr>
            </w:pPr>
            <w:r>
              <w:rPr>
                <w:rFonts w:ascii="Arial" w:cs="Arial" w:eastAsia="Arial" w:hAnsi="Arial"/>
                <w:sz w:val="14"/>
                <w:szCs w:val="14"/>
                <w:color w:val="auto"/>
              </w:rPr>
              <w:t>ADSs in this offering at the assumed initial</w:t>
            </w:r>
          </w:p>
        </w:tc>
      </w:tr>
      <w:tr>
        <w:trPr>
          <w:trHeight w:val="162"/>
        </w:trPr>
        <w:tc>
          <w:tcPr>
            <w:tcW w:w="340" w:type="dxa"/>
            <w:vAlign w:val="bottom"/>
          </w:tcPr>
          <w:p>
            <w:pPr>
              <w:spacing w:after="0"/>
              <w:rPr>
                <w:sz w:val="14"/>
                <w:szCs w:val="14"/>
                <w:color w:val="auto"/>
              </w:rPr>
            </w:pPr>
          </w:p>
        </w:tc>
        <w:tc>
          <w:tcPr>
            <w:tcW w:w="2040" w:type="dxa"/>
            <w:vAlign w:val="bottom"/>
            <w:gridSpan w:val="2"/>
          </w:tcPr>
          <w:p>
            <w:pPr>
              <w:ind w:left="200"/>
              <w:spacing w:after="0"/>
              <w:rPr>
                <w:sz w:val="20"/>
                <w:szCs w:val="20"/>
                <w:color w:val="auto"/>
              </w:rPr>
            </w:pPr>
            <w:r>
              <w:rPr>
                <w:rFonts w:ascii="Arial" w:cs="Arial" w:eastAsia="Arial" w:hAnsi="Arial"/>
                <w:sz w:val="14"/>
                <w:szCs w:val="14"/>
                <w:color w:val="auto"/>
              </w:rPr>
              <w:t>public offering price of $</w:t>
            </w:r>
          </w:p>
        </w:tc>
        <w:tc>
          <w:tcPr>
            <w:tcW w:w="7500" w:type="dxa"/>
            <w:vAlign w:val="bottom"/>
            <w:gridSpan w:val="9"/>
          </w:tcPr>
          <w:p>
            <w:pPr>
              <w:ind w:left="280"/>
              <w:spacing w:after="0"/>
              <w:rPr>
                <w:sz w:val="20"/>
                <w:szCs w:val="20"/>
                <w:color w:val="auto"/>
              </w:rPr>
            </w:pPr>
            <w:r>
              <w:rPr>
                <w:rFonts w:ascii="Arial" w:cs="Arial" w:eastAsia="Arial" w:hAnsi="Arial"/>
                <w:sz w:val="14"/>
                <w:szCs w:val="14"/>
                <w:color w:val="auto"/>
              </w:rPr>
              <w:t>per ADS, which reflects the last reported sale price of our ordinary shares on AIM and the exchange rate</w:t>
            </w:r>
          </w:p>
        </w:tc>
      </w:tr>
      <w:tr>
        <w:trPr>
          <w:trHeight w:val="162"/>
        </w:trPr>
        <w:tc>
          <w:tcPr>
            <w:tcW w:w="34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on</w:t>
            </w:r>
          </w:p>
        </w:tc>
        <w:tc>
          <w:tcPr>
            <w:tcW w:w="8260" w:type="dxa"/>
            <w:vAlign w:val="bottom"/>
            <w:gridSpan w:val="10"/>
          </w:tcPr>
          <w:p>
            <w:pPr>
              <w:ind w:left="240"/>
              <w:spacing w:after="0"/>
              <w:rPr>
                <w:sz w:val="20"/>
                <w:szCs w:val="20"/>
                <w:color w:val="auto"/>
              </w:rPr>
            </w:pPr>
            <w:r>
              <w:rPr>
                <w:rFonts w:ascii="Arial" w:cs="Arial" w:eastAsia="Arial" w:hAnsi="Arial"/>
                <w:sz w:val="14"/>
                <w:szCs w:val="14"/>
                <w:color w:val="auto"/>
              </w:rPr>
              <w:t>, 2017, after deducting the estimated underwriting discounts and commissions and estimated offering expenses payable by</w:t>
            </w:r>
          </w:p>
        </w:tc>
      </w:tr>
      <w:tr>
        <w:trPr>
          <w:trHeight w:val="172"/>
        </w:trPr>
        <w:tc>
          <w:tcPr>
            <w:tcW w:w="34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us.</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71"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This as adjusted information is illustrative only and will depend on the actual initial public offering price and other terms of this offering determined</w:t>
      </w:r>
    </w:p>
    <w:p>
      <w:pPr>
        <w:sectPr>
          <w:pgSz w:w="11900" w:h="16838" w:orient="portrait"/>
          <w:cols w:equalWidth="0" w:num="1">
            <w:col w:w="11220"/>
          </w:cols>
          <w:pgMar w:left="240" w:top="143" w:right="439" w:bottom="1440" w:gutter="0" w:footer="0" w:header="0"/>
        </w:sectPr>
      </w:pPr>
    </w:p>
    <w:p>
      <w:pPr>
        <w:spacing w:after="0" w:line="83" w:lineRule="exact"/>
        <w:rPr>
          <w:sz w:val="20"/>
          <w:szCs w:val="20"/>
          <w:color w:val="auto"/>
        </w:rPr>
      </w:pPr>
    </w:p>
    <w:p>
      <w:pPr>
        <w:ind w:left="1880" w:right="140"/>
        <w:spacing w:after="0" w:line="200" w:lineRule="auto"/>
        <w:rPr>
          <w:sz w:val="20"/>
          <w:szCs w:val="20"/>
          <w:color w:val="auto"/>
        </w:rPr>
      </w:pPr>
      <w:r>
        <w:rPr>
          <w:rFonts w:ascii="Arial" w:cs="Arial" w:eastAsia="Arial" w:hAnsi="Arial"/>
          <w:sz w:val="14"/>
          <w:szCs w:val="14"/>
          <w:color w:val="auto"/>
        </w:rPr>
        <w:t>at pricing. Each $1.00 increase or decrease in the assumed initial public offering price of $ per ADS, which reflects the last reported sale price of our ordinary shares on AIM and the exchange rate on , 2017, would increase or decrease the as adjusted amount of each of cash and cash equivalents, total assets and total equity by $ million (£ million), assuming that the number of ADSs</w:t>
      </w:r>
    </w:p>
    <w:p>
      <w:pPr>
        <w:sectPr>
          <w:pgSz w:w="11900" w:h="16838" w:orient="portrait"/>
          <w:cols w:equalWidth="0" w:num="1">
            <w:col w:w="11220"/>
          </w:cols>
          <w:pgMar w:left="240" w:top="143" w:right="439" w:bottom="1440" w:gutter="0" w:footer="0" w:header="0"/>
          <w:type w:val="continuous"/>
        </w:sectPr>
      </w:pPr>
    </w:p>
    <w:p>
      <w:pPr>
        <w:spacing w:after="0" w:line="1" w:lineRule="exact"/>
        <w:rPr>
          <w:sz w:val="20"/>
          <w:szCs w:val="20"/>
          <w:color w:val="auto"/>
        </w:rPr>
      </w:pPr>
    </w:p>
    <w:p>
      <w:pPr>
        <w:ind w:left="1880" w:right="60"/>
        <w:spacing w:after="0" w:line="241" w:lineRule="auto"/>
        <w:rPr>
          <w:sz w:val="20"/>
          <w:szCs w:val="20"/>
          <w:color w:val="auto"/>
        </w:rPr>
      </w:pPr>
      <w:r>
        <w:rPr>
          <w:rFonts w:ascii="Arial" w:cs="Arial" w:eastAsia="Arial" w:hAnsi="Arial"/>
          <w:sz w:val="14"/>
          <w:szCs w:val="14"/>
          <w:color w:val="auto"/>
        </w:rPr>
        <w:t>offered by us, as set forth on the cover page of this prospectus, remains the same and after deducting the estimated underwriting discounts and commissions. An increase or decrease of 1,000,000 in the number of ADSs offered by us, as set forth on the cover page of this prospectus, would</w:t>
      </w:r>
    </w:p>
    <w:p>
      <w:pPr>
        <w:sectPr>
          <w:pgSz w:w="11900" w:h="16838" w:orient="portrait"/>
          <w:cols w:equalWidth="0" w:num="1">
            <w:col w:w="11220"/>
          </w:cols>
          <w:pgMar w:left="240" w:top="143" w:right="439" w:bottom="1440" w:gutter="0" w:footer="0" w:header="0"/>
          <w:type w:val="continuous"/>
        </w:sectPr>
      </w:pPr>
    </w:p>
    <w:p>
      <w:pPr>
        <w:ind w:left="1880"/>
        <w:spacing w:after="0" w:line="227" w:lineRule="auto"/>
        <w:tabs>
          <w:tab w:leader="none" w:pos="9920" w:val="left"/>
        </w:tabs>
        <w:rPr>
          <w:sz w:val="20"/>
          <w:szCs w:val="20"/>
          <w:color w:val="auto"/>
        </w:rPr>
      </w:pPr>
      <w:r>
        <w:rPr>
          <w:rFonts w:ascii="Arial" w:cs="Arial" w:eastAsia="Arial" w:hAnsi="Arial"/>
          <w:sz w:val="14"/>
          <w:szCs w:val="14"/>
          <w:color w:val="auto"/>
        </w:rPr>
        <w:t>increase or decrease the as adjusted amount of each of cash and cash equivalents, total assets and total equity by $</w:t>
      </w:r>
      <w:r>
        <w:rPr>
          <w:sz w:val="20"/>
          <w:szCs w:val="20"/>
          <w:color w:val="auto"/>
        </w:rPr>
        <w:tab/>
      </w:r>
      <w:r>
        <w:rPr>
          <w:rFonts w:ascii="Arial" w:cs="Arial" w:eastAsia="Arial" w:hAnsi="Arial"/>
          <w:sz w:val="14"/>
          <w:szCs w:val="14"/>
          <w:color w:val="auto"/>
        </w:rPr>
        <w:t>million</w:t>
      </w:r>
    </w:p>
    <w:p>
      <w:pPr>
        <w:ind w:left="1880"/>
        <w:spacing w:after="0"/>
        <w:tabs>
          <w:tab w:leader="none" w:pos="2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million), assuming no change in the assumed initial public offering price per ADS and after deducting the estimated underwriting</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discounts and commissions.</w:t>
      </w:r>
    </w:p>
    <w:p>
      <w:pPr>
        <w:sectPr>
          <w:pgSz w:w="11900" w:h="16838" w:orient="portrait"/>
          <w:cols w:equalWidth="0" w:num="1">
            <w:col w:w="11220"/>
          </w:cols>
          <w:pgMar w:left="240" w:top="14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prospectus before making an investment in our ADSs. Our business, financial condition, results of operations, or prospects could be materially and adversely affected if any of these risks occurs, and as a result, the market price of our ADSs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have never generated any product revenue.</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are a clinical-stage biopharmaceutical company with a limited operating history, and have incurred significant operating losses since our inception. We had net losses of £7.5 million and £5.0 million for the years ended December 31, 2015 and 2016, respectively. As of December 31, 2016, we had an accumulated loss of £28.7 million. Our losses have resulted principally from expenses incurred in research and development of RPL554, our only product candidate,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commercialization for RPL554. We anticipate that our expenses will increase substantially as we:</w:t>
      </w:r>
    </w:p>
    <w:p>
      <w:pPr>
        <w:spacing w:after="0" w:line="185" w:lineRule="exact"/>
        <w:rPr>
          <w:sz w:val="20"/>
          <w:szCs w:val="20"/>
          <w:color w:val="auto"/>
        </w:rPr>
      </w:pPr>
    </w:p>
    <w:p>
      <w:pPr>
        <w:ind w:left="1080" w:right="68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Phase 1, Phase 2a and 2b clinical trials and any other future clinical trials of RPL554 for the treatment of COPD;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develop RPL554 as DPI and MDI formulations for maintenance treatment of COPD, asthma and other respiratory diseases;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Phase 2a clinical trial and any future clinical trials of RPL554 for the treatment of CF;</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seek to discover and develop or in-license additional respiratory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seek regulatory approvals of RPL554;</w:t>
      </w:r>
    </w:p>
    <w:p>
      <w:pPr>
        <w:spacing w:after="0" w:line="194"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RPL554, if approved;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maintain, expand and protect our intellectual property portfolio;</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secure, maintain or obtain freedom to operate for our in-licensed technologies and products;</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expand our operations in the United States.</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pre-clinical studies or clinical trials, complex results, safety issues or other regulatory challenges.</w:t>
      </w: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and pre-clinical studies and clinical trials of RPL554. We are in the early stages of development of RPL554, and we have not completed development of any product candidate or any drugs.</w:t>
      </w:r>
    </w:p>
    <w:p>
      <w:pPr>
        <w:spacing w:after="0" w:line="2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RPL554, discovering and developing additional product candidates,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obtaining regulatory approval for RPL554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RPL554 or any other product candidates, our expenses could increase and revenue could be further delayed.</w:t>
      </w:r>
    </w:p>
    <w:p>
      <w:pPr>
        <w:spacing w:after="0" w:line="20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you to lose all or a part of your investment.</w:t>
      </w:r>
    </w:p>
    <w:p>
      <w:pPr>
        <w:spacing w:after="0" w:line="187" w:lineRule="exact"/>
        <w:rPr>
          <w:sz w:val="20"/>
          <w:szCs w:val="20"/>
          <w:color w:val="auto"/>
        </w:rPr>
      </w:pPr>
    </w:p>
    <w:p>
      <w:pPr>
        <w:jc w:val="both"/>
        <w:ind w:right="580"/>
        <w:spacing w:after="0" w:line="249" w:lineRule="auto"/>
        <w:rPr>
          <w:sz w:val="20"/>
          <w:szCs w:val="20"/>
          <w:color w:val="auto"/>
        </w:rPr>
      </w:pPr>
      <w:r>
        <w:rPr>
          <w:rFonts w:ascii="Arial" w:cs="Arial" w:eastAsia="Arial" w:hAnsi="Arial"/>
          <w:sz w:val="18"/>
          <w:szCs w:val="18"/>
          <w:b w:val="1"/>
          <w:bCs w:val="1"/>
          <w:color w:val="auto"/>
        </w:rPr>
        <w:t>We will need additional funding to complete development of RPL554 and any future product candidates, and to commercialize our products, if approved. If we are unable to raise capital when needed, we could be forced to delay, reduce or eliminate our product development programs or commercialization efforts.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planned Phase 2 clinical trials and any other future clinical trials of RPL554 and develop RPL554 for other indications. In addition, if we obtain regulatory approval for RPL554 or any other product candidates, we expect to incur significant commercialization expenses related to product manufacturing, marketing, sales and distribution. Furthermore, upon the closing of this offering, we expect to incur additional costs associated with operating as a public company in the United Kingdom and the United States and maintaining a listing on both AIM and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existing cash, cash equivalents and investments, together with anticipated net proceeds from this offering, will enable us to</w:t>
      </w:r>
    </w:p>
    <w:p>
      <w:pPr>
        <w:ind w:right="20"/>
        <w:spacing w:after="0" w:line="236" w:lineRule="auto"/>
        <w:rPr>
          <w:sz w:val="20"/>
          <w:szCs w:val="20"/>
          <w:color w:val="auto"/>
        </w:rPr>
      </w:pPr>
      <w:r>
        <w:rPr>
          <w:rFonts w:ascii="Arial" w:cs="Arial" w:eastAsia="Arial" w:hAnsi="Arial"/>
          <w:sz w:val="18"/>
          <w:szCs w:val="18"/>
          <w:color w:val="auto"/>
        </w:rPr>
        <w:t>fund our operating expenses and capital expenditure requirements through .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080" w:right="140" w:hanging="532"/>
        <w:spacing w:after="0" w:line="183"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 progress and results of our planned Phase 2 clinical trials and any other future clinical trials of RPL554 for the treatment of COPD and CF;</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 of manufacturing clinical and commercial supplies of RPL554;</w:t>
      </w:r>
    </w:p>
    <w:p>
      <w:pPr>
        <w:spacing w:after="0" w:line="194"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scope, progress, results and costs of pre-clinical development, laboratory testing and clinical trials for RPL554 in other indications and for the development of DPI and MDI formulations of RPL554 for maintenance treatment of COPD and potentially asthma and other respiratory diseases;</w:t>
      </w:r>
    </w:p>
    <w:p>
      <w:pPr>
        <w:spacing w:after="0" w:line="196"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costs, timing and outcome of regulatory review of RPL554, including post-marketing studies that could be required by regulatory authorities;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700" w:hanging="532"/>
        <w:spacing w:after="0" w:line="183"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RPL554;</w:t>
      </w:r>
    </w:p>
    <w:p>
      <w:pPr>
        <w:spacing w:after="0" w:line="195"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timing and amount of revenue, if any, received from commercial sales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sales price and availability of adequate third-party coverage and reimbursement for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effect of competing technological and market developments; and</w:t>
      </w:r>
    </w:p>
    <w:p>
      <w:pPr>
        <w:spacing w:after="0" w:line="194" w:lineRule="exact"/>
        <w:rPr>
          <w:rFonts w:ascii="Arial" w:cs="Arial" w:eastAsia="Arial" w:hAnsi="Arial"/>
          <w:sz w:val="29"/>
          <w:szCs w:val="29"/>
          <w:color w:val="auto"/>
          <w:vertAlign w:val="superscript"/>
        </w:rPr>
      </w:pPr>
    </w:p>
    <w:p>
      <w:pPr>
        <w:ind w:left="1080" w:right="180" w:hanging="532"/>
        <w:spacing w:after="0" w:line="191" w:lineRule="auto"/>
        <w:tabs>
          <w:tab w:leader="none" w:pos="108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the extent to which we acquire or invest in businesses, products and technologies, including entering into licensing or collaboration arrangements for RPL554, although we currently have no commitments or agreements to complete any such transactions.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RPL554.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relating to RPL554 or any commercialization efforts, be unable to expand our operations, or be unable to otherwise capitalize on our business opportunities, as desired, which could harm our business and potentially cause us to discontinue operations.</w:t>
      </w:r>
    </w:p>
    <w:p>
      <w:pPr>
        <w:spacing w:after="0" w:line="186"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color w:val="auto"/>
        </w:rPr>
        <w:t>We depend heavily on the success of RPL554, our only product candidate under development. We cannot give any assurance that RPL554 will receive regulatory approval for any indication, which is necessary before it can be commercialized. If we, and any collaborators with whom we may enter into agreements for the development and commercialization of RPL554, are unable to commercialize RPL554, or experience significant delays in doing so, our ability to generate revenue and our financial condition will be adversely affected.</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RPL554,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RPL554, if approved, which may never occur. RPL554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RPL554 or any product candidates in the United States, Europe or other countries before we receive regulatory approval from the FDA, the EMA or comparable foreign regulatory authorities, and we may never receive such regulatory approval for RPL554 or any future product candidate. We have not submitted a New Drug Application, or NDA, to the FDA, a Marketing Authorization Application, or MAA, to the EMA or comparable applications to other regulatory authorities and do not expect to be in a position to do so in the foreseeable future. The success of RPL554 will depend on many factors, including the following:</w:t>
      </w:r>
    </w:p>
    <w:p>
      <w:pPr>
        <w:spacing w:after="0" w:line="215" w:lineRule="exact"/>
        <w:rPr>
          <w:sz w:val="20"/>
          <w:szCs w:val="20"/>
          <w:color w:val="auto"/>
        </w:rPr>
      </w:pPr>
    </w:p>
    <w:p>
      <w:pPr>
        <w:ind w:left="1080" w:right="20" w:hanging="532"/>
        <w:spacing w:after="0" w:line="183" w:lineRule="auto"/>
        <w:tabs>
          <w:tab w:leader="none" w:pos="10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we may not be able to demonstrate that RPL554 is safe and effective as a treatment for our targeted indications to the satisfaction of the applicable regulatory authorities;</w:t>
      </w:r>
    </w:p>
    <w:p>
      <w:pPr>
        <w:spacing w:after="0" w:line="195" w:lineRule="exact"/>
        <w:rPr>
          <w:rFonts w:ascii="Arial" w:cs="Arial" w:eastAsia="Arial" w:hAnsi="Arial"/>
          <w:sz w:val="29"/>
          <w:szCs w:val="29"/>
          <w:color w:val="auto"/>
          <w:vertAlign w:val="superscript"/>
        </w:rPr>
      </w:pPr>
    </w:p>
    <w:p>
      <w:pPr>
        <w:ind w:left="1080" w:right="620" w:hanging="532"/>
        <w:spacing w:after="0" w:line="183" w:lineRule="auto"/>
        <w:tabs>
          <w:tab w:leader="none" w:pos="10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require additional Phase 3 trials of RPL554 for the treatment of COPD, which would increase our costs and prolong our development;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2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results of clinical trials of RPL554 may not meet the level of statistical or clinical significance required by the applicable regulatory authorities for marketing approval;</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clinical trials;</w:t>
      </w:r>
    </w:p>
    <w:p>
      <w:pPr>
        <w:spacing w:after="0" w:line="195" w:lineRule="exact"/>
        <w:rPr>
          <w:rFonts w:ascii="Arial" w:cs="Arial" w:eastAsia="Arial" w:hAnsi="Arial"/>
          <w:sz w:val="29"/>
          <w:szCs w:val="29"/>
          <w:color w:val="auto"/>
          <w:vertAlign w:val="superscript"/>
        </w:rPr>
      </w:pPr>
    </w:p>
    <w:p>
      <w:pPr>
        <w:ind w:left="1080" w:right="3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our clinical trials;</w:t>
      </w:r>
    </w:p>
    <w:p>
      <w:pPr>
        <w:spacing w:after="0" w:line="195"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not find the data from pre-clinical studies and clinical trials sufficient to demonstrate that the clinical and other benefits of RPL554 outweigh its safety risks;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disagree with our interpretation of data from our pre-clinical studies and clinical trials or may require that we conduct additional studies;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194" w:lineRule="exact"/>
        <w:rPr>
          <w:rFonts w:ascii="Arial" w:cs="Arial" w:eastAsia="Arial" w:hAnsi="Arial"/>
          <w:sz w:val="29"/>
          <w:szCs w:val="29"/>
          <w:color w:val="auto"/>
          <w:vertAlign w:val="superscript"/>
        </w:rPr>
      </w:pPr>
    </w:p>
    <w:p>
      <w:pPr>
        <w:ind w:left="1080" w:right="140" w:hanging="532"/>
        <w:spacing w:after="0" w:line="205"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97"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195" w:lineRule="exact"/>
        <w:rPr>
          <w:rFonts w:ascii="Arial" w:cs="Arial" w:eastAsia="Arial" w:hAnsi="Arial"/>
          <w:sz w:val="29"/>
          <w:szCs w:val="29"/>
          <w:color w:val="auto"/>
          <w:vertAlign w:val="superscript"/>
        </w:rPr>
      </w:pPr>
    </w:p>
    <w:p>
      <w:pPr>
        <w:ind w:left="1080" w:right="88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194" w:lineRule="exact"/>
        <w:rPr>
          <w:rFonts w:ascii="Arial" w:cs="Arial" w:eastAsia="Arial" w:hAnsi="Arial"/>
          <w:sz w:val="29"/>
          <w:szCs w:val="29"/>
          <w:color w:val="auto"/>
          <w:vertAlign w:val="superscript"/>
        </w:rPr>
      </w:pPr>
    </w:p>
    <w:p>
      <w:pPr>
        <w:ind w:left="1080" w:right="60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if we license RPL554 to others, the efforts of those parties in completing clinical trials of, receiving regulatory approval for and commercializing, RPL554;</w:t>
      </w:r>
    </w:p>
    <w:p>
      <w:pPr>
        <w:spacing w:after="0" w:line="195" w:lineRule="exact"/>
        <w:rPr>
          <w:rFonts w:ascii="Arial" w:cs="Arial" w:eastAsia="Arial" w:hAnsi="Arial"/>
          <w:sz w:val="29"/>
          <w:szCs w:val="29"/>
          <w:color w:val="auto"/>
          <w:vertAlign w:val="superscript"/>
        </w:rPr>
      </w:pPr>
    </w:p>
    <w:p>
      <w:pPr>
        <w:ind w:left="1080" w:right="360" w:hanging="532"/>
        <w:spacing w:after="0" w:line="183"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through our clinical trials, we may discover factors that limit the commercial viability of RPL554 or make the commercialization of RPL554 unfeasible;</w:t>
      </w:r>
    </w:p>
    <w:p>
      <w:pPr>
        <w:spacing w:after="0" w:line="195" w:lineRule="exact"/>
        <w:rPr>
          <w:rFonts w:ascii="Arial" w:cs="Arial" w:eastAsia="Arial" w:hAnsi="Arial"/>
          <w:sz w:val="29"/>
          <w:szCs w:val="29"/>
          <w:color w:val="auto"/>
          <w:vertAlign w:val="superscript"/>
        </w:rPr>
      </w:pPr>
    </w:p>
    <w:p>
      <w:pPr>
        <w:ind w:left="1080" w:right="420" w:hanging="532"/>
        <w:spacing w:after="0" w:line="191" w:lineRule="auto"/>
        <w:tabs>
          <w:tab w:leader="none" w:pos="108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if we retain rights under a collaboration agreement for RPL554, our efforts in completing pre-clinical studies and clinical trials of, receiving marketing approvals for, establishing commercial manufacturing capabilities for and commercializing, RPL554; and</w:t>
      </w:r>
    </w:p>
    <w:p>
      <w:pPr>
        <w:spacing w:after="0" w:line="195" w:lineRule="exact"/>
        <w:rPr>
          <w:rFonts w:ascii="Arial" w:cs="Arial" w:eastAsia="Arial" w:hAnsi="Arial"/>
          <w:sz w:val="28"/>
          <w:szCs w:val="28"/>
          <w:color w:val="auto"/>
          <w:vertAlign w:val="superscript"/>
        </w:rPr>
      </w:pPr>
    </w:p>
    <w:p>
      <w:pPr>
        <w:jc w:val="both"/>
        <w:ind w:left="1080" w:right="480" w:hanging="532"/>
        <w:spacing w:after="0" w:line="197" w:lineRule="auto"/>
        <w:tabs>
          <w:tab w:leader="none" w:pos="10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if approved, acceptance of RPL554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21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If we or our collaborators, as applicable, do not achieve one or more of these factors in a timely manner or at all, we could experience significant delays or an inability to successfully commercialize RPL554.</w:t>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We cannot be certain that RPL554 or any future product candidates will be successful in clinical trials or receive regulatory approval. Further, RPL554 or any future product candidates may not receive regulatory approval even if they are successful in clinical trials. If we do not receive regulatory approvals for RPL554 or any future product candidates, we may not be able to continue our operations. Even if we successfully obtain regulatory approvals to manufacture and market RPL554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plan to seek regulatory approval to commercialize RPL554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governing, among other things, clinical trials and commercial sales, pricing and distribution of RPL554, and we cannot predict success in these jurisdictions.</w:t>
      </w:r>
    </w:p>
    <w:p>
      <w:pPr>
        <w:spacing w:after="0" w:line="18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color w:val="auto"/>
        </w:rPr>
        <w:t>Our limited operating history may make it difficult for you to evaluate the success of our business to date and to assess our future viability.</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Since our inception in 2005, we have devoted substantially all of our resources to developing RPL554, building our intellectual property portfolio, developing our supply chain, planning our business, raising capital and providing general and administrative support for these operations. We have completed multiple Phase 1 and 2 clinical trials for RPL554, but we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you make about our future success or viability may not be as accurate as they could be if we had a longer operating history.</w:t>
      </w:r>
    </w:p>
    <w:p>
      <w:pPr>
        <w:spacing w:after="0" w:line="16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Raising additional capital may cause dilution to our holders, including purchasers of ADSs in this offering, restrict our operations or require us to relinquish rights to our technologies or product candidates.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your ownership interest will be diluted, and the terms of these securities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shareholders, and may cause the market price of our ordinary shares or ADSs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become subject to economic, political, regulatory and other risks associated with international operations.</w:t>
      </w:r>
    </w:p>
    <w:p>
      <w:pPr>
        <w:spacing w:after="0" w:line="2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85"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economic weakness, including inflation, or political instability in particular non-U.S. economies and markets;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differing regulatory requirements for drug approvals in non-U.S. countries;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potentially reduced protection for intellectual property rights;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difficulties in compliance with non-U.S. laws and regulations;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changes in non-U.S. regulations and customs, tariffs and trade barriers;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changes in non-U.S. currency exchange rates of the euro and currency controls;</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changes in a specific country's or region's political or economic environment, including the implications of the recent decision of the eligible members of the U.K. electorate for the United Kingdom to withdraw from the EU;</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differing reimbursement regimes and price controls in certain non-U.S. markets;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negative consequences from changes in tax laws;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compliance with tax, employment, immigration and labor laws for employees living or traveling abroad;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workforce uncertainty in countries where labor unrest is more common than in the United States;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194"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results of the United Kingdom's referendum on withdrawal from the EU may have a negative effect on global economic conditions, financial markets and our business, which could reduce the price of our ADSs.</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June 2016, a majority of the eligible members of the electorate in the United Kingdom voted to withdraw from the EU in a national referendum. The referendum was advisory, and the terms of any withdrawal are subject to a negotiation period that could last at least two years after the government of the United Kingdom formally initiates a withdrawal process. In October 2016, the Prime Minister of the United Kingdom announced that the withdrawal process will be formally initiated by the end of March 2017. The referendum has created significant uncertainty about the future relationship between the United Kingdom and the EU.</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future U.K. laws and regulations as the United Kingdom determines which EU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may materially affect our results of operations and financial condition.</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 States. As a result, our business and the price of our ADSs may be affected by fluctuations in foreign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w:t>
      </w:r>
    </w:p>
    <w:p>
      <w:pPr>
        <w:spacing w:after="0" w:line="212"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b w:val="1"/>
          <w:bCs w:val="1"/>
          <w:color w:val="auto"/>
        </w:rPr>
        <w:t>Our only product candidate, RPL554, is in early-stage clinical development. Clinical drug development is a lengthy and expensive process with uncertain timelines and uncertain outcomes. If clinical trials of RPL554 are prolonged or delayed, or if RPL554 in later stage clinical trials fails to show the desired safety and efficacy, we or our collaborators may be unable to obtain required regulatory approvals and be unable to commercialize RPL554 on a timely basis, or at all.</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To obtain the requisite regulatory approvals to market and sell RPL554, we or any collaborator for RPL554 must demonstrate through extensive pre-clinical studies and clinical trials that RPL554 is safe and effective in humans. Clinical testing is expensive and can take many years to complete, and its outcome is inherently uncertain. Failure can occur at any time during the clinical trial process. The results of pre-clinical studies and early-stage clinical trials of RPL554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85"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obtain regulatory approval to commence a trial;</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obtain institutional review board, or IRB, approval at each site;</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or failure to recruit suitable patients to participate in a trial;</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adding new clinical trial sites;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unexpected technical issues during manufacture of RPL554 and the corresponding drug product;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inability to manufacture sufficient quantities of RPL554 for use in clinical trials;</w:t>
      </w:r>
    </w:p>
    <w:p>
      <w:pPr>
        <w:spacing w:after="0" w:line="194"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third-party actions claiming infringement by RPL554 in clinical trials inside or outside of the United States and obtaining injunctions interfering with our progress;</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95"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changes in regulatory requirements, policies and guidelines;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lower than anticipated retention rates of patients and volunteers in clinical trials;</w:t>
      </w:r>
    </w:p>
    <w:p>
      <w:pPr>
        <w:spacing w:after="0" w:line="194"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760" w:hanging="532"/>
        <w:spacing w:after="0" w:line="183"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difficulty in certain countries in identifying the sub-populations that we are trying to treat in a particular trial, which may delay enrollment and reduce the power of a clinical trial to detect statistically significant results;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the quality or stability of RPL554 falling below acceptable standards for either safety or efficacy;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discoveries that may reduce the commercial viability of RPL554.</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RPL554.</w:t>
      </w:r>
    </w:p>
    <w:p>
      <w:pPr>
        <w:spacing w:after="0" w:line="20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If we experience delays in the completion of any clinical trial of RPL554 or any clinical trial of RPL554 is terminated, the commercial prospects of RPL554 may be harmed, and our ability to generate product revenues from RPL554, if any, will be delayed. Moreover, any delays in completing our clinical trials will increase our costs, slow down the development and approval process of RPL554 and jeopardize our ability to commence product sales and generate revenue, if any. Significant clinical trial delays could also allow our competitors to bring products to market before we do or shorten any periods during which we have the exclusive right to commercialize RPL554 and could impair our ability to commercialize RPL554. In addition, many of the factors that cause, or lead to, a delay in the commencement or completion of clinical trials may also ultimately lead to the denial of regulatory approval of RPL554.</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RPL554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RPL554 may have serious adverse, undesirable or unacceptable side effects which may delay or prevent marketing approval. If such side effects are identified during the development of RPL554 or following approval, if any, we may need to abandon our development of RPL554, the commercial profile of any approved label may be limited, or we may be subject to other significant negative consequences following marketing approval, if any.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Undesirable side effects that may be caused by RPL554 could cause us or regulatory authorities to interrupt, delay or halt clinical trials and could result in a more restrictive label or the delay or denial of regulatory approval by the FDA, EMA or other comparable foreign authorities. We have completed eight Phase 1 and 2a clinical trials of RPL554. In these trials, some patients have experienced mild to moderate adverse reactions, including headache, dizziness, cough, heart palpitation, nausea, dry mouth, paresthesia (tingling) and rash. 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RPL554 for any or all targeted indications. The drug-related side effects could affect patient recruitment or the ability of enrolled patients to complete the trial or result in potential product liability claims. Additionally, if RPL554 receives marketing approval and we or others later identify undesirable or unacceptable side effects caused by RPL554, a number of potentially significant negative consequences could result, including:</w:t>
      </w:r>
    </w:p>
    <w:p>
      <w:pPr>
        <w:spacing w:after="0" w:line="6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withdraw approvals of such products and require us to take RPL554 off the market;</w:t>
      </w:r>
    </w:p>
    <w:p>
      <w:pPr>
        <w:spacing w:after="0" w:line="194" w:lineRule="exact"/>
        <w:rPr>
          <w:rFonts w:ascii="Arial" w:cs="Arial" w:eastAsia="Arial" w:hAnsi="Arial"/>
          <w:sz w:val="29"/>
          <w:szCs w:val="29"/>
          <w:color w:val="auto"/>
          <w:vertAlign w:val="superscript"/>
        </w:rPr>
      </w:pPr>
    </w:p>
    <w:p>
      <w:pPr>
        <w:ind w:left="1080" w:right="84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5" w:lineRule="exact"/>
        <w:rPr>
          <w:rFonts w:ascii="Arial" w:cs="Arial" w:eastAsia="Arial" w:hAnsi="Arial"/>
          <w:sz w:val="29"/>
          <w:szCs w:val="29"/>
          <w:color w:val="auto"/>
          <w:vertAlign w:val="superscript"/>
        </w:rPr>
      </w:pPr>
    </w:p>
    <w:p>
      <w:pPr>
        <w:ind w:left="1080" w:right="360" w:hanging="532"/>
        <w:spacing w:after="0" w:line="183"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RPL554 outweigh its risks;</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we may be required to change the way RPL554 is administered, conduct additional clinical trials or change the labeling of RPL554;</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be subject to limitations on how we may promote RPL554;</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sales of RPL554 may decrease significantly;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we may be subject to litigation or product liability claims;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our reputation may suffer.</w:t>
      </w:r>
    </w:p>
    <w:p>
      <w:pPr>
        <w:spacing w:after="0" w:line="208"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RPL554 or could substantially increase commercialization costs and expenses, which in turn could delay or prevent us from generating significant revenue from the sale of RPL554.</w:t>
      </w:r>
    </w:p>
    <w:p>
      <w:pPr>
        <w:spacing w:after="0" w:line="186" w:lineRule="exact"/>
        <w:rPr>
          <w:sz w:val="20"/>
          <w:szCs w:val="20"/>
          <w:color w:val="auto"/>
        </w:rPr>
      </w:pPr>
    </w:p>
    <w:p>
      <w:pPr>
        <w:ind w:right="900"/>
        <w:spacing w:after="0" w:line="264" w:lineRule="auto"/>
        <w:rPr>
          <w:sz w:val="20"/>
          <w:szCs w:val="20"/>
          <w:color w:val="auto"/>
        </w:rPr>
      </w:pPr>
      <w:r>
        <w:rPr>
          <w:rFonts w:ascii="Arial" w:cs="Arial" w:eastAsia="Arial" w:hAnsi="Arial"/>
          <w:sz w:val="18"/>
          <w:szCs w:val="18"/>
          <w:b w:val="1"/>
          <w:bCs w:val="1"/>
          <w:color w:val="auto"/>
        </w:rPr>
        <w:t>We depend on enrollment of patients in our clinical trials for RPL554. If we are unable to enroll patients in our clinical trials, or enrollment is slower than anticipated, our research and development efforts could be adversely affected.</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Successful and timely completion of clinical trials for RPL554 will require that we enroll a sufficient number of patient candidates. Trials may be subject to delays as a result of patient enrollment taking longer 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RPL554 will increase our costs, slow down our development and approval of RPL554 and delay or potentially jeopardize our ability to commence product sales and generate revenue. In addition, some of the factors that cause, or lead to, a delay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commencement or completion of clinical trials may also ultimately lead to the denial of regulatory approval of RPL554.</w:t>
      </w:r>
    </w:p>
    <w:p>
      <w:pPr>
        <w:spacing w:after="0" w:line="1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RPL554 in the clinic or at the commercial stage, and our product liability insurance may not cover all damages from such claims.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RPL554 by us and any collaborators in clinical trials, and the sale of RPL554, if approved, in the future, may expose us to liability claims. These claims might be made by patients that use the product, healthcare providers, pharmaceutical companies, our collaborators or others selling RPL554. Any claims against us, regardless of their merit, could be difficult and costly to defend and could adversely affect the market for RPL554 or any prospects for commercialization of RPL554. In addition, regardless of the merits or eventual outcome, liability claims may result in:</w:t>
      </w:r>
    </w:p>
    <w:p>
      <w:pPr>
        <w:spacing w:after="0" w:line="6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decreased demand for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injury to our reputation;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withdrawal of clinical trial participants;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costs to defend related litigation;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diversion of management's time and our resources;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substantial monetary awards to trial participants or patients;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loss of revenue;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the inability to commercialize or promote RPL554.</w:t>
      </w:r>
    </w:p>
    <w:p>
      <w:pPr>
        <w:spacing w:after="0" w:line="20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RPL554 were to cause adverse side effects during clinical trials or after approval, we may be exposed to substantial liabilities. Physicians and patients may not comply with any warnings that identify known potential adverse effects and patients who should not use RPL554.</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Although we maintain product liability insurance for RPL554, it is possible that our liabilities could exceed our insurance coverage. We intend to expand our insurance coverage to include the sale of commercial products if we obtain marketing approval for RPL554.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9"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b w:val="1"/>
          <w:bCs w:val="1"/>
          <w:color w:val="auto"/>
        </w:rPr>
        <w:t>The regulatory approval processes of the FDA, the EMA and comparable foreign authorities are lengthy, time consuming and inherently unpredictable, and if we are ultimately unable to obtain regulatory approval for RPL554, our business will be substantially harmed.</w:t>
      </w:r>
    </w:p>
    <w:p>
      <w:pPr>
        <w:spacing w:after="0" w:line="14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RPL554 and it is possible that RPL554 or any product candidates we may develop in the future will never obtain regulatory approval.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RPL554 could fail to receive regulatory approval for many reasons, including the following:</w:t>
      </w:r>
    </w:p>
    <w:p>
      <w:pPr>
        <w:spacing w:after="0" w:line="10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94" w:lineRule="exact"/>
        <w:rPr>
          <w:rFonts w:ascii="Arial" w:cs="Arial" w:eastAsia="Arial" w:hAnsi="Arial"/>
          <w:sz w:val="28"/>
          <w:szCs w:val="28"/>
          <w:color w:val="auto"/>
          <w:vertAlign w:val="superscript"/>
        </w:rPr>
      </w:pPr>
    </w:p>
    <w:p>
      <w:pPr>
        <w:ind w:left="1080" w:right="12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RPL554 is safe and effective for its proposed indication;</w:t>
      </w:r>
    </w:p>
    <w:p>
      <w:pPr>
        <w:spacing w:after="0" w:line="195"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we may be unable to demonstrate that RPL554's clinical and other benefits outweigh its safety risks;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data collected from clinical trials of RPL554 may not be sufficient to support the submission of an NDA in the United States, an MMA in the EU, or other comparable submission to obtain regulatory approval in other countries;</w:t>
      </w:r>
    </w:p>
    <w:p>
      <w:pPr>
        <w:spacing w:after="0" w:line="195"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RPL554. The FDA, the EMA and other regulatory authorities have substantial discretion in the approval process, and determining when or whether regulatory approval will be obtained for RPL554. Even if we believe the data collected from clinical trials of RPL554 are promising, such data may not be sufficient to support approval by the FDA, the EMA or any other regulatory authority.</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RPL554 for fewer or more limited indications than we request, may not approve the price we intend to charge for RPL554, may grant approval contingent on the performance of costly post-marketing clinical trials, or may approve RPL554 with a label that does not include the labeling claims necessary or desirable for the successful commercialization of RPL554. Any of the foregoing scenarios could materially harm the commercial prospects for RPL554.</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Even if RPL554 obtains regulatory approval, we will be subject to ongoing obligations and continued regulatory review, which may result in significant additional expense. Additionally, RPL554, if approved, could be subject to labeling and other restrictions and market withdrawal and we may be subject to penalties if we fail to comply with regulatory requirements or experience unanticipated problems with RPL554.</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the FDA, the EMA or a comparable foreign regulatory authority approves RPL554, the manufacturing processes, labeling, packaging, distribution, adverse event reporting, storage, advertising, promotion and recordkeeping for RPL554 will be subject to extensive and ongoing regulatory requirements. These requirements include submissions of safety and other post-marketing information and reports, facility registration and drug listing, as well as continued compliance with cGMP requirements for the manufacture of RPL554 and GCP requirements for any clinical trials that we conduct post-approval, all of which may result in significant expense and limit our ability to commercialize RPL554.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RPL554 may also be subject to limitations on the approved indicated uses for which RPL554 may be marketed or to the conditions of approval, or contain requirements for potentially costly post-marketing testing, including Phase 4 clinical trials, and surveillance to monitor the safety and efficacy of RPL554.</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RPL554, or if we or one of our distributors, licensees or co-marketers fails to comply with regulatory requirements, the regulators could take various actions. These include imposing fines on us, imposing restrictions on RPL554 or its manufacture and requiring us to recall or remove RPL554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RPL554 may be impaired, and we may incur substantial additional expense to comply with regulatory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develop RPL554 for multiple indications, including CF or other respiratory diseases.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Part of our strategy is to continue to develop RPL554 in indications other than COPD such as CF. Although our research and development efforts to date have suggested that RPL554 has the potential to treat CF, we may not be able to develop RPL554 in CF or any other disease, or development may not be successful. In addition, the potential use of RPL554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RPL554 for multiple indications, we will face difficulty in obtaining product revenues in future periods, which could significantly harm our financial position.</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Even if we obtain marketing approval of RPL554 for any indication in a major pharmaceutical market such as the United States or EU, we may never obtain approval or commercialize RPL554 in other major markets, which would limit our ability to realize its full market potential.</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RPL554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RPL554 will be compromised.</w:t>
      </w:r>
    </w:p>
    <w:p>
      <w:pPr>
        <w:spacing w:after="0" w:line="3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EU rules and regulations and other similar regulatory requirements, including those laws that require the reporting of true, complete and accurate information to such authorities; (ii) manufacturing standards; (iii) federal and state data privacy,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other sanctions, contractual damages, reputational harm, diminished profits and future earnings, and curtailment of our operations.</w:t>
      </w:r>
    </w:p>
    <w:p>
      <w:pPr>
        <w:spacing w:after="0" w:line="193" w:lineRule="exact"/>
        <w:rPr>
          <w:sz w:val="20"/>
          <w:szCs w:val="20"/>
          <w:color w:val="auto"/>
        </w:rPr>
      </w:pPr>
    </w:p>
    <w:p>
      <w:pPr>
        <w:spacing w:after="0" w:line="328" w:lineRule="auto"/>
        <w:rPr>
          <w:sz w:val="20"/>
          <w:szCs w:val="20"/>
          <w:color w:val="auto"/>
        </w:rPr>
      </w:pPr>
      <w:r>
        <w:rPr>
          <w:rFonts w:ascii="Arial" w:cs="Arial" w:eastAsia="Arial" w:hAnsi="Arial"/>
          <w:sz w:val="16"/>
          <w:szCs w:val="16"/>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Enacted and future legislation may increase the difficulty and cost for us to obtain marketing approval of and commercialize RPL554 and may affect the prices we may set.</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209" w:lineRule="exact"/>
        <w:rPr>
          <w:sz w:val="20"/>
          <w:szCs w:val="20"/>
          <w:color w:val="auto"/>
        </w:rPr>
      </w:pPr>
    </w:p>
    <w:p>
      <w:pPr>
        <w:ind w:left="1080" w:right="320" w:hanging="532"/>
        <w:spacing w:after="0" w:line="191" w:lineRule="auto"/>
        <w:tabs>
          <w:tab w:leader="none" w:pos="108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60" w:hanging="532"/>
        <w:spacing w:after="0" w:line="197"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96" w:lineRule="exact"/>
        <w:rPr>
          <w:rFonts w:ascii="Arial" w:cs="Arial" w:eastAsia="Arial" w:hAnsi="Arial"/>
          <w:sz w:val="29"/>
          <w:szCs w:val="29"/>
          <w:color w:val="auto"/>
          <w:vertAlign w:val="superscript"/>
        </w:rPr>
      </w:pPr>
    </w:p>
    <w:p>
      <w:pPr>
        <w:ind w:left="1080" w:right="100" w:hanging="532"/>
        <w:spacing w:after="0" w:line="197"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96"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95"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5" w:lineRule="exact"/>
        <w:rPr>
          <w:rFonts w:ascii="Arial" w:cs="Arial" w:eastAsia="Arial" w:hAnsi="Arial"/>
          <w:sz w:val="29"/>
          <w:szCs w:val="29"/>
          <w:color w:val="auto"/>
          <w:vertAlign w:val="superscript"/>
        </w:rPr>
      </w:pPr>
    </w:p>
    <w:p>
      <w:pPr>
        <w:ind w:left="1080" w:right="60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96"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5"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Congress; and</w:t>
      </w:r>
    </w:p>
    <w:p>
      <w:pPr>
        <w:spacing w:after="0" w:line="196" w:lineRule="exact"/>
        <w:rPr>
          <w:rFonts w:ascii="Arial" w:cs="Arial" w:eastAsia="Arial" w:hAnsi="Arial"/>
          <w:sz w:val="29"/>
          <w:szCs w:val="29"/>
          <w:color w:val="auto"/>
          <w:vertAlign w:val="superscript"/>
        </w:rPr>
      </w:pPr>
    </w:p>
    <w:p>
      <w:pPr>
        <w:ind w:left="1080" w:right="360" w:hanging="532"/>
        <w:spacing w:after="0" w:line="191" w:lineRule="auto"/>
        <w:tabs>
          <w:tab w:leader="none" w:pos="108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There have been judicial and Congressional challenges to certain aspects of the ACA, and we expect there will be additional challenges and amendments to the ACA in the future. For example, in January 2017, the U.S. House of Representatives and Senate passed legislation, which, if signed into law, would repeal certain aspects of the ACA. In addition, Congress could consider subsequent legislation to replace those elements of the ACA if so repealed. At this time, the full effect that the ACA would have on our business remains unclear.</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2025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21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models. The U.S. Department of Health and Human Services, or HHS, has set a goal of moving 30% of Medicare payments to alternative payment models by 2016 and 50% of Medicare payments into these alternative payment models by the end of 2018.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 healthcare products and services, which could result in reduced demand for RPL554 or additional pricing pressures.</w:t>
      </w:r>
    </w:p>
    <w:p>
      <w:pPr>
        <w:spacing w:after="0" w:line="211"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RPL554 or put pressure on our product pricing.</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RPL554,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RPL554, restrict or regulate post-approval activities and affect our ability to commercialize RPL554, if approved. In international markets, reimbursement and healthcare payment systems vary significantly by country, and many countries have instituted price ceilings on specific products and therapies.</w:t>
      </w:r>
    </w:p>
    <w:p>
      <w:pPr>
        <w:spacing w:after="0" w:line="21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RPL554 may lose any regulatory approval that may have been obtained and we may not achieve or sustain profitability.</w:t>
      </w:r>
    </w:p>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Our business operations and current and future relationships with investigators, health care professionals, consultants, third-party payors and customers will be subject to applicable healthcare regulatory laws, which could expose us to penalties.</w:t>
      </w:r>
    </w:p>
    <w:p>
      <w:pPr>
        <w:spacing w:after="0" w:line="188"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RPL554, if approved. Such laws include:</w:t>
      </w:r>
    </w:p>
    <w:p>
      <w:pPr>
        <w:spacing w:after="0" w:line="209" w:lineRule="exact"/>
        <w:rPr>
          <w:sz w:val="20"/>
          <w:szCs w:val="20"/>
          <w:color w:val="auto"/>
        </w:rPr>
      </w:pPr>
    </w:p>
    <w:p>
      <w:pPr>
        <w:ind w:left="1080" w:right="20" w:hanging="532"/>
        <w:spacing w:after="0" w:line="205" w:lineRule="auto"/>
        <w:tabs>
          <w:tab w:leader="none" w:pos="108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340"/>
        <w:spacing w:after="0" w:line="239" w:lineRule="auto"/>
        <w:rPr>
          <w:sz w:val="20"/>
          <w:szCs w:val="20"/>
          <w:color w:val="auto"/>
        </w:rPr>
      </w:pPr>
      <w:r>
        <w:rPr>
          <w:rFonts w:ascii="Arial" w:cs="Arial" w:eastAsia="Arial" w:hAnsi="Arial"/>
          <w:sz w:val="18"/>
          <w:szCs w:val="18"/>
          <w:color w:val="auto"/>
        </w:rPr>
        <w:t>or in part, under U.S. federal and state healthcare programs such as Medicare and Medicaid. A person or entity does not need to have actual knowledge of the statute or specific intent to violate it in order to have committed a violation;</w:t>
      </w:r>
    </w:p>
    <w:p>
      <w:pPr>
        <w:spacing w:after="0" w:line="209" w:lineRule="exact"/>
        <w:rPr>
          <w:sz w:val="20"/>
          <w:szCs w:val="20"/>
          <w:color w:val="auto"/>
        </w:rPr>
      </w:pPr>
    </w:p>
    <w:p>
      <w:pPr>
        <w:ind w:left="1080" w:right="260" w:hanging="532"/>
        <w:spacing w:after="0" w:line="217"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96" w:lineRule="exact"/>
        <w:rPr>
          <w:rFonts w:ascii="Arial" w:cs="Arial" w:eastAsia="Arial" w:hAnsi="Arial"/>
          <w:sz w:val="29"/>
          <w:szCs w:val="29"/>
          <w:color w:val="auto"/>
          <w:vertAlign w:val="superscript"/>
        </w:rPr>
      </w:pPr>
    </w:p>
    <w:p>
      <w:pPr>
        <w:ind w:left="1080" w:hanging="532"/>
        <w:spacing w:after="0" w:line="222" w:lineRule="auto"/>
        <w:tabs>
          <w:tab w:leader="none" w:pos="108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94" w:lineRule="exact"/>
        <w:rPr>
          <w:rFonts w:ascii="Arial" w:cs="Arial" w:eastAsia="Arial" w:hAnsi="Arial"/>
          <w:sz w:val="28"/>
          <w:szCs w:val="28"/>
          <w:color w:val="auto"/>
          <w:vertAlign w:val="superscript"/>
        </w:rPr>
      </w:pPr>
    </w:p>
    <w:p>
      <w:pPr>
        <w:ind w:left="1080" w:right="80" w:hanging="532"/>
        <w:spacing w:after="0" w:line="222" w:lineRule="auto"/>
        <w:tabs>
          <w:tab w:leader="none" w:pos="108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194" w:lineRule="exact"/>
        <w:rPr>
          <w:rFonts w:ascii="Arial" w:cs="Arial" w:eastAsia="Arial" w:hAnsi="Arial"/>
          <w:sz w:val="28"/>
          <w:szCs w:val="28"/>
          <w:color w:val="auto"/>
          <w:vertAlign w:val="superscript"/>
        </w:rPr>
      </w:pPr>
    </w:p>
    <w:p>
      <w:pPr>
        <w:ind w:left="1080" w:right="400" w:hanging="532"/>
        <w:spacing w:after="0" w:line="183"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95" w:lineRule="exact"/>
        <w:rPr>
          <w:rFonts w:ascii="Arial" w:cs="Arial" w:eastAsia="Arial" w:hAnsi="Arial"/>
          <w:sz w:val="29"/>
          <w:szCs w:val="29"/>
          <w:color w:val="auto"/>
          <w:vertAlign w:val="superscript"/>
        </w:rPr>
      </w:pPr>
    </w:p>
    <w:p>
      <w:pPr>
        <w:ind w:left="1080" w:right="20" w:hanging="532"/>
        <w:spacing w:after="0" w:line="214"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w:t>
      </w:r>
    </w:p>
    <w:p>
      <w:pPr>
        <w:spacing w:after="0" w:line="197" w:lineRule="exact"/>
        <w:rPr>
          <w:rFonts w:ascii="Arial" w:cs="Arial" w:eastAsia="Arial" w:hAnsi="Arial"/>
          <w:sz w:val="29"/>
          <w:szCs w:val="29"/>
          <w:color w:val="auto"/>
          <w:vertAlign w:val="superscript"/>
        </w:rPr>
      </w:pPr>
    </w:p>
    <w:p>
      <w:pPr>
        <w:ind w:left="1080" w:hanging="532"/>
        <w:spacing w:after="0" w:line="233" w:lineRule="auto"/>
        <w:tabs>
          <w:tab w:leader="none" w:pos="108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195" w:lineRule="exact"/>
        <w:rPr>
          <w:rFonts w:ascii="Arial" w:cs="Arial" w:eastAsia="Arial" w:hAnsi="Arial"/>
          <w:sz w:val="28"/>
          <w:szCs w:val="28"/>
          <w:color w:val="auto"/>
          <w:vertAlign w:val="superscript"/>
        </w:rPr>
      </w:pPr>
    </w:p>
    <w:p>
      <w:pPr>
        <w:ind w:left="1080" w:right="480" w:hanging="532"/>
        <w:spacing w:after="0" w:line="183" w:lineRule="auto"/>
        <w:tabs>
          <w:tab w:leader="none" w:pos="10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color w:val="auto"/>
        </w:rPr>
        <w:t>We are subject to environmental, health and safety laws and regulations, and we may become exposed to liability and substantial expenses in connection with environmental compliance or remediation activities.</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187" w:lineRule="exact"/>
        <w:rPr>
          <w:sz w:val="20"/>
          <w:szCs w:val="20"/>
          <w:color w:val="auto"/>
        </w:rPr>
      </w:pPr>
    </w:p>
    <w:p>
      <w:pPr>
        <w:ind w:right="400"/>
        <w:spacing w:after="0" w:line="249" w:lineRule="auto"/>
        <w:rPr>
          <w:sz w:val="20"/>
          <w:szCs w:val="20"/>
          <w:color w:val="auto"/>
        </w:rPr>
      </w:pPr>
      <w:r>
        <w:rPr>
          <w:rFonts w:ascii="Arial" w:cs="Arial" w:eastAsia="Arial" w:hAnsi="Arial"/>
          <w:sz w:val="18"/>
          <w:szCs w:val="18"/>
          <w:b w:val="1"/>
          <w:b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20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1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right="1320"/>
        <w:spacing w:after="0" w:line="264" w:lineRule="auto"/>
        <w:rPr>
          <w:sz w:val="20"/>
          <w:szCs w:val="20"/>
          <w:color w:val="auto"/>
        </w:rPr>
      </w:pPr>
      <w:r>
        <w:rPr>
          <w:rFonts w:ascii="Arial" w:cs="Arial" w:eastAsia="Arial" w:hAnsi="Arial"/>
          <w:sz w:val="18"/>
          <w:szCs w:val="18"/>
          <w:b w:val="1"/>
          <w:bCs w:val="1"/>
          <w:color w:val="auto"/>
        </w:rPr>
        <w:t>We operate in a highly competitive and rapidly changing industry, which may result in others discovering, developing or commercializing competing products before or more successfully than we do.</w:t>
      </w:r>
    </w:p>
    <w:p>
      <w:pPr>
        <w:spacing w:after="0" w:line="18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RPL554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RPL554.</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Given the number of products already on the market to treat COPD and CF, we expect to face intense competition if RPL554 is approved for these indications. Boehringer Ingelheim, GlaxoSmithKline, AstraZeneca, Mylan, Novartis, Vertex and Sunovion currently have treatments on the market for COPD and CF, and we anticipate that new companies will enter these markets in the future. If we successfully develop and commercialize RPL554, it will compete with existing therapies and new therapies that may become available in the future. The highly competitive nature of and rapid technological changes in the biopharmaceutical and pharmaceutical industries could render RPL554 obsolete, less competitive or uneconomical. Our competitors may, among other things:</w:t>
      </w:r>
    </w:p>
    <w:p>
      <w:pPr>
        <w:spacing w:after="0" w:line="210" w:lineRule="exact"/>
        <w:rPr>
          <w:sz w:val="20"/>
          <w:szCs w:val="20"/>
          <w:color w:val="auto"/>
        </w:rPr>
      </w:pPr>
    </w:p>
    <w:p>
      <w:pPr>
        <w:ind w:left="1080" w:right="80" w:hanging="532"/>
        <w:spacing w:after="0" w:line="197"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196"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obtain quicker regulatory approval;</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establish superior proprietary positions covering our products and technologies;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implement more effective approaches to sales and marketing;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form more advantageous strategic alliances.</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third parties compete with us in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recruiting and retaining qualified scientific and management personnel, establishing clinical trial sites and patient registration and competing for other customers, for clinical trials, as well as in acquiring technologies complementary to, or necessary for, our programs. In addition, our collaborators, if any, may decide to market and sell products that compete with RPL554. Our commercial opportunity could be reduced or eliminated if our competitors develop and commercialize products that are more effective, have fewer or less severe side effects, are more convenient or are less expensive than RPL554. Our competitors may also obtain FDA or other regulatory approval for their products more rapidly than we may obtain approval for ours, which could result in our competitors establishing or strengthening their market position before we are able to enter the market.</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We may be unable to obtain orphan drug designation from the FDA for RPL554 for the treatment of CF, and even if we do obtain such designations, we may be unable to obtain or maintain the benefits associated with orphan drug designation, including the potential for orphan drug exclusivity.</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1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plan to seek orphan drug designation from the FDA and the EMA for RPL554 for the treatment of CF. Even if we are able to obtain orphan designation for RPL554 in the United States and/or the EU, we may not be the first to obtain marketing approval for any particular orphan indication due to the uncertainties associated with developing pharmaceutical products, which could prevent us from marketing RPL554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patients with the rare disease or condition following approval. Further, even if we obtain orphan drug exclusivity for RPL554, that exclusivity may not effectively protect RPL554 from competition because different drugs with different active moieties can be approved for the same condition. In addition, the FDA or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RPL554 for the treatment of CF, we may never receive such designations.</w:t>
      </w:r>
    </w:p>
    <w:p>
      <w:pPr>
        <w:spacing w:after="0" w:line="18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just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In April 2016, another similar legal challenge was initiated against the FDA for its denial of orphan drug exclusivity to another designated drug. In the future, there is the potential for additional legal challenges to the FDA's orphan drug regulations and policies, and it is uncertain how ongoing and future challenges might affect our business.</w:t>
      </w:r>
    </w:p>
    <w:p>
      <w:pPr>
        <w:spacing w:after="0" w:line="36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The successful commercialization of RPL554 will depend in part on the extent to which governmental authorities and health insurers establish adequate coverage, reimbursement levels and pricing policies. Failure to obtain or maintain adequate coverage and reimbursement for RPL554, if approved, could limit our ability to market those products and decrease our ability to generate revenue.</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RPL554, assuming approval. Our ability to achieve acceptable levels of coverage and reimbursement for products by governmental authorities, private health insurers and other organizations will have an effect on our ability to successfully commercialize RPL554. Assuming we obtain coverage for RPL554 by a third-party payor, the resulting reimbursement payment rates may not be adequate or may require co-payments that patients find unacceptably high. We cannot be sure that coverage and reimbursement in the United States, the EU or elsewhere will be available for RPL554 or any product that we may develop, and any reimbursement that may become available may be decreased or eliminated in the future.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RPL554 as substitutable and only offer to reimburse patients for the less expensive product. Even if we show improved efficacy or improved convenience of administration with RPL554, pricing of existing drugs may limit the amount we will be able to charge for RPL554. These payors may deny or revoke the reimbursement status of a given product or establish prices for new or existing marketed products at levels that are too low to enable us to realize an appropriate return on our investment in RPL554. If reimbursement is not available or is available only at limited levels, we may not be able to successfully commercialize RPL554, and may not be able to obtain a satisfactory financial return on RPL554.</w:t>
      </w:r>
    </w:p>
    <w:p>
      <w:pPr>
        <w:spacing w:after="0" w:line="208"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RPL554.</w:t>
      </w:r>
    </w:p>
    <w:p>
      <w:pPr>
        <w:spacing w:after="0" w:line="20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RPL554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RPL554.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RPL554. Accordingly, in markets outside the United States, the reimbursement for RPL554 may be reduced compared with the United States and may be insufficient to generate commercially reasonable revenue and profits.</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RPL554. We expect to experience pricing pressures in connection with the sale of RPL554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may not gain market acceptance, in which case our ability to generate product revenues will be compromised.</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Even if the FDA, the EMA or any other regulatory authority approves the marketing of RPL554, whether developed on our own or with a collaborator, physicians, healthcare providers, patients or the medical community may not accept or use RPL554. If RPL554 does not achieve an adequate level of acceptance, we may not generate significant product revenues or any profits from operations. The degree of market acceptance of RPL554 will depend on a variety of factors, including:</w:t>
      </w:r>
    </w:p>
    <w:p>
      <w:pPr>
        <w:spacing w:after="0" w:line="8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timing of market introduction;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number and clinical profile of competing products;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clinical indications for which RPL554 is approved;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acceptable evidence of safety and efficacy;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the prevalence and severity of any side effects;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relative convenience and ease of administration;</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cost-effectiveness;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marketing and distribution support;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80" w:hanging="532"/>
        <w:spacing w:after="0" w:line="183" w:lineRule="auto"/>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other potential advantages over alternative treatment methods.</w:t>
      </w:r>
    </w:p>
    <w:p>
      <w:pPr>
        <w:spacing w:after="0" w:line="208"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If RPL554 fails to gain market acceptance, this will adversely impact on our ability to generate revenues. Even if RPL554 achieves market acceptance, the market may prove not to be large enough to allow us to generate significant revenues.</w:t>
      </w:r>
    </w:p>
    <w:p>
      <w:pPr>
        <w:spacing w:after="0" w:line="18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color w:val="auto"/>
        </w:rPr>
        <w:t>We currently have no marketing, sales or distribution infrastructure. If we are unable to develop sales, marketing and distribution capabilities on our own or through collaborations, we may not be successful in commercializing RPL554.</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If RPL554 is approved, we intend either to establish a sales and marketing organization with technical expertise and supporting distribution capabilities to commercialize RPL554, or to outsource this function to a third party. Either of these options would be expensive and time-consuming. Some or all of these costs may be incurred in advance of any approval of RPL554.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RPL554.</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To the extent that we enter into collaboration agreements with respect to marketing, sales or distribution, our product revenue may be lower than if we directly marketed or sold RPL554,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RPL554. If we are not successful in commercializing RPL554, either on our own or through collaborations with one or more third parties, our future product revenue will suffer and we may incur significant additional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RPL554 and our business could be substantially harmed.</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and third-party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or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cGMP regulations. Our failure to comply with these regulations may require us to repeat clinical trials, which would delay the regulatory approval process.</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RPL554 and clinical trials. If independent investigators or CROs fail to devote sufficient resources to the development of RPL554, or if their performance is substandard, it may delay or compromise the prospects for approval and commercialization of RPL554. In addition, the use of third-party service providers requires us to disclose our proprietary information to these parties, which could increase the risk that this information will be misappropriated.</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RPL554. As a result, our results of operations and the commercial prospects for RPL554 would be harmed, our costs could increase and our ability to generate revenues could be delayed.</w:t>
      </w:r>
    </w:p>
    <w:p>
      <w:pPr>
        <w:spacing w:after="0" w:line="210"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Switching or adding additional CROs involves additional cost and requires management time and focus. In addition, there is a natural transition period when a new CRO commences work. As a result, delays could occur, which could materially impact our ability to meet our desired clinical development timelines.</w:t>
      </w:r>
    </w:p>
    <w:p>
      <w:pPr>
        <w:spacing w:after="0" w:line="18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If we fail to enter into new strategic relationships for RPL554, our business, research and development and commercialization prospects could be adversely affected.</w:t>
      </w:r>
    </w:p>
    <w:p>
      <w:pPr>
        <w:spacing w:after="0" w:line="18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Our development program for RPL554 and the potential commercialization of RPL554 will require substantial additional cash to fund expenses. Therefore, we may decide to enter into collaborations with pharmaceutical or biopharmaceutical companies for the development and potential commercialization of RPL554. For example, we may seek a collaborator for development of a DPI or MDI formulation of RPL554 for the maintenance treatment of COPD and potentially asthma and other respiratory diseases.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RPL554,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RPL554 to market and generate product revenue. If we do enter into a collaboration agreement, we could be subject to the following risks, among others:</w:t>
      </w:r>
    </w:p>
    <w:p>
      <w:pPr>
        <w:spacing w:after="0" w:line="8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we may not be able to control the amount and timing of resources that the collaborator devotes to the development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the collaborator may experience financial difficulties;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we may be required to relinquish important rights such as marketing, distribution and intellectual property rights;</w:t>
      </w:r>
    </w:p>
    <w:p>
      <w:pPr>
        <w:spacing w:after="0" w:line="194" w:lineRule="exact"/>
        <w:rPr>
          <w:rFonts w:ascii="Arial" w:cs="Arial" w:eastAsia="Arial" w:hAnsi="Arial"/>
          <w:sz w:val="29"/>
          <w:szCs w:val="29"/>
          <w:color w:val="auto"/>
          <w:vertAlign w:val="superscript"/>
        </w:rPr>
      </w:pPr>
    </w:p>
    <w:p>
      <w:pPr>
        <w:ind w:left="1080" w:right="340" w:hanging="532"/>
        <w:spacing w:after="0" w:line="183"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195"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 or</w:t>
      </w:r>
    </w:p>
    <w:p>
      <w:pPr>
        <w:spacing w:after="0" w:line="195"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the collaboration may not provide sufficient funds to be profitable for us after we fulfill our payment obligations under our agreement with Vernalis Development Limited, or Vernalis.</w:t>
      </w:r>
    </w:p>
    <w:p>
      <w:pPr>
        <w:spacing w:after="0" w:line="187" w:lineRule="exact"/>
        <w:rPr>
          <w:sz w:val="20"/>
          <w:szCs w:val="20"/>
          <w:color w:val="auto"/>
        </w:rPr>
      </w:pPr>
    </w:p>
    <w:p>
      <w:pPr>
        <w:ind w:right="180"/>
        <w:spacing w:after="0"/>
        <w:rPr>
          <w:sz w:val="20"/>
          <w:szCs w:val="20"/>
          <w:color w:val="auto"/>
        </w:rPr>
      </w:pPr>
      <w:r>
        <w:rPr>
          <w:rFonts w:ascii="Arial" w:cs="Arial" w:eastAsia="Arial" w:hAnsi="Arial"/>
          <w:sz w:val="18"/>
          <w:szCs w:val="18"/>
          <w:b w:val="1"/>
          <w:bCs w:val="1"/>
          <w:color w:val="auto"/>
        </w:rPr>
        <w:t>We currently rely on third-party manufacturers and suppliers for production of RPL554. Our dependence on these third parties may impair the advancement of our research and development programs and the development of RPL554. Moreover, we intend to rely on third parties to produce commercial supplies of RPL554, if approved, and commercialization could be stopped, delayed or made less profitable if those third parties fail to obtain approval of the FDA or comparable regulatory authorities, fail to provide us with sufficient quantities of product or fail to do so at acceptable quality levels or prices or fail to otherwise complete their duties in compliance with their obligations to us or other parties.</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limited personnel with experience in manufacturing, and we do not own facilities for manufacturing RPL554. Instead, we rely on and expect to continue to rely on third-party contract manufacturing organizations, or CMOs, for the supply of cGMP-grade clinical trial materials and commercial quantities of RPL554, if approved. While we may contract with other CMOs in the future, we currently contract with only one pharmaceuticals CMO for the manufacture of RPL554 drug substance. For RPL554 drug product in our new nebulized suspension formulation, we currently have two CMOs. Reliance on third-party suppliers for RPL554 may expose us to more risk than if we were to manufacture RPL554 ourselves. The facilities used to manufacture RPL554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control the manufacturing process of, and are or will be essentially dependent on, our CMOs for compliance with cGMP requirements for the manufacture of RPL554. If a CMO cannot successfully manufacture material that conforms to our specifications and the regulatory requirements of the FDA or a comparable foreign regulatory authority, it will not be able to secure or maintain regulatory approval for its manufacturing facilities. In addition, we have very little control over the ability of a CMO to maintain adequate quality control, quality assurance and qualified personnel. If the FDA or a comparable foreign regulatory authority does not approve these facilities for the manufacture of RPL554 or if it withdraws any such approval in the future, we may need to find alternative manufacturing facilities, which would delay our development program and significantly impact our ability to develop, obtain regulatory approval for or market RPL554, if approved. In addition, any failure to achieve and maintain compliance with these laws, regulations and standards could subject us to the risk that we may have to suspend the manufacturing of RPL554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RPL554 means that we are subject to the risk that RPL554 may have manufacturing defects that we have limited ability to prevent or control.</w:t>
      </w:r>
    </w:p>
    <w:p>
      <w:pPr>
        <w:spacing w:after="0" w:line="39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rely on and will continue to rely on CMOs to purchase from third-party suppliers the materials necessary to produce RPL554 for our clinical trials. There are a limited number of suppliers for raw materials that we may use to manufacture RPL554 and there may be a need to assess alternate suppliers to prevent a possible disruption of the manufacture of the materials necessary to produce RPL554 for our clinical trials, and if approved, ultimately for commercial sale. Any disruption in our relationship with our current CMOs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could have a material impact on our ability to continue our clinical development of RPL554. We do not and will not have any control over the process or timing of the acquisition of these raw materials by any CMO. Moreover, we currently do not have any agreements for the commercial production of these raw materials. Supplies of raw material could be interrupted from time to time and, if interrupted, we cannot be certain that alternative supplies could be obtained within a reasonable timeframe, at an acceptable cost, or at all. Although we generally do not begin a clinical trial unless we believe we have on hand, or will be able to obtain, a sufficient supply of RPL554 to complete the clinical trial, any significant delay in the supply of RPL554, or the raw material components needed to produce RPL554, for an ongoing clinical trial due to the need to replace our CMO or a third-party supplier could considerably delay completion of our clinical trials, product testing and potential regulatory approval of RPL554. If our CMO or we are unable to purchase these raw materials after regulatory approval has been obtained for RPL554, the commercial launch of RPL554 would be delayed or there would be a shortage in supply, which would impair our ability to generate revenues from the sale of RPL554. In addition, growth in the costs and expenses of raw materials may impair our ability to cost-effectively manufacture RPL554.</w:t>
      </w:r>
    </w:p>
    <w:p>
      <w:pPr>
        <w:spacing w:after="0" w:line="18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rely and will rely on CMOs and third-party suppliers to comply with and respect the proprietary rights of others in conducting their contractual obligations for us. If a CMO or third-party suppliers fail to acquire the proper licenses or otherwise infringe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RPL554, if approved.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Information Technology</w:t>
      </w:r>
    </w:p>
    <w:p>
      <w:pPr>
        <w:spacing w:after="0" w:line="212" w:lineRule="exact"/>
        <w:rPr>
          <w:sz w:val="20"/>
          <w:szCs w:val="20"/>
          <w:color w:val="auto"/>
        </w:rPr>
      </w:pPr>
    </w:p>
    <w:p>
      <w:pPr>
        <w:jc w:val="both"/>
        <w:ind w:right="60"/>
        <w:spacing w:after="0" w:line="328" w:lineRule="auto"/>
        <w:rPr>
          <w:sz w:val="20"/>
          <w:szCs w:val="20"/>
          <w:color w:val="auto"/>
        </w:rPr>
      </w:pPr>
      <w:r>
        <w:rPr>
          <w:rFonts w:ascii="Arial" w:cs="Arial" w:eastAsia="Arial" w:hAnsi="Arial"/>
          <w:sz w:val="16"/>
          <w:szCs w:val="16"/>
          <w:b w:val="1"/>
          <w:bCs w:val="1"/>
          <w:color w:val="auto"/>
        </w:rPr>
        <w:t>We rely on patents and other intellectual property rights to protect RPL554, the enforcement, defense and maintenance of which may be challenging and costly. Failure to enforce or protect these rights adequately could harm our ability to compete and impair our business.</w:t>
      </w:r>
    </w:p>
    <w:p>
      <w:pPr>
        <w:spacing w:after="0" w:line="140"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for RPL554, formulations of RPL554, polymorphs, salts and analogs of RPL554, methods used to manufacture RPL554, methods for manufacturing of final drug product for different inhalation devices such as nebulizer, DPI, MDI, and the methods for treating patients with respiratory diseases using RPL554 alone or in combination with other available products, or on in-licensing such rights. Our RPL554 development program relies on the patents and patent applications assigned and know-how licensed from Vernalis Development Limited, or Vernalis.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RPL554.</w:t>
      </w:r>
    </w:p>
    <w:p>
      <w:pPr>
        <w:spacing w:after="0" w:line="21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RPL554,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RPL554.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8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We may not identify relevant third-party patents or may incorrectly interpret the relevance, scope or expiration of a third-party patent which might adversely affect our ability to develop, manufacture and market RPL554.</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RPL554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RPL554 could have been filed by others without our knowledge. Additionally, pending patent applications that have been published can, subject to certain limitations, be later amended in a manner that could cover RPL554 or the use of RPL554.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RPL554. We may incorrectly determine that RPL554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RPL554. Our failure to identify and correctly interpret relevant patents may negatively impact our ability to develop and market RPL554.</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RPL554. We might, if possible, also be forced to redesign RPL554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9"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We may be involved in lawsuits to protect or enforce patents covering RPL554, which could be expensive, time-consuming and unsuccessful, and issued patents could be found invalid or unenforceable if challenged in court.</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RPL554,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21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RPL554. Patents and other intellectual property rights also will not protect our technology if competitors design around our protected technology without infringing our patents or other intellectual property rights.</w:t>
      </w:r>
    </w:p>
    <w:p>
      <w:pPr>
        <w:spacing w:after="0" w:line="21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ADSs.</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88"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biotechnology and pharmaceutical industries, including patent infringement lawsuits, interferences, oppositions and reexamination proceedings before the U.S. Patent and Trademark Office, or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RPL554 may be subject to claims of infringement of the intellectual property rights of third parties.</w:t>
      </w:r>
    </w:p>
    <w:p>
      <w:pPr>
        <w:spacing w:after="0" w:line="21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may in the future become party to, or be threatened with, adversarial proceedings or litigation regarding intellectual property rights with respect to our current and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39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RPL554 or from selling, incorporating, manufacturing or using our products in the United States and/or other jurisdictions that use the subject intellectual property. We might, if possible, also be forced to redesign RPL554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RPL554.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ind w:right="1220"/>
        <w:spacing w:after="0" w:line="264" w:lineRule="auto"/>
        <w:rPr>
          <w:sz w:val="20"/>
          <w:szCs w:val="20"/>
          <w:color w:val="auto"/>
        </w:rPr>
      </w:pPr>
      <w:r>
        <w:rPr>
          <w:rFonts w:ascii="Arial" w:cs="Arial" w:eastAsia="Arial" w:hAnsi="Arial"/>
          <w:sz w:val="18"/>
          <w:szCs w:val="18"/>
          <w:b w:val="1"/>
          <w:bCs w:val="1"/>
          <w:color w:val="auto"/>
        </w:rPr>
        <w:t>Intellectual property litigation could cause us to spend substantial resources and distract our personnel from their normal responsibilities.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we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If we fail to comply with our obligations under our existing and any future intellectual property licenses with third parties, we could lose license rights that are important to our business.</w:t>
      </w:r>
    </w:p>
    <w:p>
      <w:pPr>
        <w:spacing w:after="0" w:line="18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are party to a license agreement with Vernalis,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any current or future product candidates. Under our agreement with Vernalis, we may not abandon any of the assigned patents or allow any of the assigned patents to lapse without consent from Vernalis, which is not to be unreasonably delayed or withheld. If we do not obtain such consent in a timely manner or at all and such assigned patent rights lapse or are abandoned, our agreement with Vernalis may be terminated in its entirety. For example, if we decide for commercial reasons to let an assigned patent lapse in a country of little commercial importance, but Vernalis does not provide consent and such patent rights lapse, we may lose all intellectual property rights covering RPL554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We may not be successful in maintaining necessary rights to RPL554 or obtaining other intellectual property rights important to our business through acquisitions and in-licenses.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RPL554, and our success will likely depend on maintaining these rights. Because our programs may require the use of proprietary rights held by third parties, the growth of our business will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likely depend in part on our ability to acquire, in-license, maintain or use these proprietary rights. In addition, RPL554 may require specific formulations to work effectively and the rights to these formulations may be held by others. We may be unable to acquire or in-license any compositions, methods of use, processes, or other third-party intellectual property rights from third parties that we identify as necessary for RPL554.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RPL554 or a development program on acceptable terms, we may have to abandon development of RPL554 or that development program.</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competitive position may be adversely affected.</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If we do not obtain protection under the Hatch-Waxman Amendments and similar non-U.S. legislation for extending the term of patents covering RPL554 and any other product candidates, our ability to compete effectively could be impaired.</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RPL554 expire in 2020, and our other issued patents will expire in 2031,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 RPL554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Depending upon the timing, duration and conditions of FDA marketing approval of RPL554,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9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auto"/>
        </w:rPr>
        <w:t>We enjoy only limited geographical protection with respect to certain patents and may face difficulties in certain jurisdictions, which may diminish the value of intellectual property rights in those jurisdictions.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generally file our first patent application, or priority filing, at the United Kingdom Intellectual Property Office. International applications under the Patent Cooperation Treaty, or PCT, are usually filed within twelve months after the priority filing. Based on the PCT filing, national and regional patent applications may be filed in additional jurisdictions where we believe RPL554 may be marketed or manufactured. We have so far not filed for patent protection in all national and regional jurisdictions where such protection may be available. Filing, prosecuting and defending patents covering RPL554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21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RPL554, and our and our licensors' or collaborators' patents or other intellectual property rights may not be effective or sufficient to prevent them from competing.</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RPL554. Accordingly, our efforts to protect our intellectual property rights in such countries may be inadequate, which may have an adverse effect on our ability to successfully commercialize RPL554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do not necessarily address all potential threats to our competitive advantage.</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9" w:lineRule="exact"/>
        <w:rPr>
          <w:sz w:val="20"/>
          <w:szCs w:val="20"/>
          <w:color w:val="auto"/>
        </w:rPr>
      </w:pPr>
    </w:p>
    <w:p>
      <w:pPr>
        <w:ind w:left="1080" w:right="42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Others may be able to make compounds that are the same as or similar to RPL554 but that are not covered by the claims of the patents that we own or have exclusively licensed.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The patents of third parties may impair our ability to develop or commercialize RPL554.</w:t>
      </w:r>
    </w:p>
    <w:p>
      <w:pPr>
        <w:spacing w:after="0" w:line="194"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195" w:lineRule="exact"/>
        <w:rPr>
          <w:rFonts w:ascii="Arial" w:cs="Arial" w:eastAsia="Arial" w:hAnsi="Arial"/>
          <w:sz w:val="29"/>
          <w:szCs w:val="29"/>
          <w:color w:val="auto"/>
          <w:vertAlign w:val="superscript"/>
        </w:rPr>
      </w:pPr>
    </w:p>
    <w:p>
      <w:pPr>
        <w:ind w:left="1080" w:right="30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certain of our inventions.</w:t>
      </w:r>
    </w:p>
    <w:p>
      <w:pPr>
        <w:spacing w:after="0" w:line="195" w:lineRule="exact"/>
        <w:rPr>
          <w:rFonts w:ascii="Arial" w:cs="Arial" w:eastAsia="Arial" w:hAnsi="Arial"/>
          <w:sz w:val="29"/>
          <w:szCs w:val="29"/>
          <w:color w:val="auto"/>
          <w:vertAlign w:val="superscript"/>
        </w:rPr>
      </w:pPr>
    </w:p>
    <w:p>
      <w:pPr>
        <w:ind w:left="1080" w:right="48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It is possible that our pending patent applications will not lead to issued patents.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5" w:lineRule="exact"/>
        <w:rPr>
          <w:rFonts w:ascii="Arial" w:cs="Arial" w:eastAsia="Arial" w:hAnsi="Arial"/>
          <w:sz w:val="29"/>
          <w:szCs w:val="29"/>
          <w:color w:val="auto"/>
          <w:vertAlign w:val="superscript"/>
        </w:rPr>
      </w:pPr>
    </w:p>
    <w:p>
      <w:pPr>
        <w:ind w:left="1080" w:right="460" w:hanging="532"/>
        <w:spacing w:after="0" w:line="183" w:lineRule="auto"/>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Third parties performing manufacturing or testing for us using our products or technologies could use the intellectual property of others without obtaining a proper license.</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We may not develop additional technologies that are patentable.</w:t>
      </w:r>
    </w:p>
    <w:p>
      <w:pPr>
        <w:spacing w:after="0" w:line="18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Changes in patent laws or patent jurisprudence could diminish the value of patents in general, thereby impairing our ability to protect RPL554 or any future product candidates.</w:t>
      </w:r>
    </w:p>
    <w:p>
      <w:pPr>
        <w:spacing w:after="0" w:line="18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patents is costly, time-consuming and inherently uncertain. In addition, the America Invents Act, or the AIA, which was passed in September 16, 2011, resulted in significant changes to the U.S. patent system.</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United States Patent and Trademark Office, or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1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6"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Confidentiality agreements with employees and others may not adequately prevent disclosure of trade secrets and protect other proprietary information.</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8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15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61" w:lineRule="exact"/>
        <w:rPr>
          <w:sz w:val="20"/>
          <w:szCs w:val="20"/>
          <w:color w:val="auto"/>
        </w:rPr>
      </w:pPr>
    </w:p>
    <w:p>
      <w:pPr>
        <w:jc w:val="both"/>
        <w:ind w:right="200"/>
        <w:spacing w:after="0" w:line="249"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RPL554, our competitors might be able to enter the market, which would hurt our competitive position and could impair our ability to successfully commercialize RPL554 in any indication for which it is approved.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information, or that of our suppliers and any future collaborators, may be lost or we may suffer security breaches.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us and our ability to conduct clinical trials, which could adversely affect our reputation and delay our clinical development of RPL554.</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Our information technology systems could experience serious disruptions that could distract our operations and cause delays in our research and development work.</w:t>
      </w:r>
    </w:p>
    <w:p>
      <w:pPr>
        <w:spacing w:after="0" w:line="188"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and delays in our research and development work.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and ability to compete depends on retaining our key personnel and recruiting additional qualified personnel.</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been instrumental for us and have substantial experience with RPL554 and related technologies. These key management individuals include our chief executive officer, Jan-Anders Karlsson, our chief medical officer, Kenneth Newman, our chief financial officer, Piers Morgan, our legal counsel, Claire Poll, and our senior vice president, chemistry manufacturing and controls, Peter Spargo.</w:t>
      </w:r>
    </w:p>
    <w:p>
      <w:pPr>
        <w:spacing w:after="0" w:line="209"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We expect to expand our development, regulatory and sales and marketing capabilities, and as a result, we may encounter difficulties in managing our growth, which could disrupt our operations.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Our ADSs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ADSs may be volatile and may fluctuate due to factors beyond our control.</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78"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positive or negative results from, or delays in, testing and clinical trials by us, collaborators or competitors;</w:t>
      </w:r>
    </w:p>
    <w:p>
      <w:pPr>
        <w:ind w:left="1080" w:right="380" w:hanging="532"/>
        <w:spacing w:after="0" w:line="187" w:lineRule="auto"/>
        <w:tabs>
          <w:tab w:leader="none" w:pos="108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delays in entering into collaborations and strategic relationships with respect to development or commercialization of RPL554 or entry into collaborations and strategic relationships on terms that are not deemed to be favorable to us;</w:t>
      </w:r>
    </w:p>
    <w:p>
      <w:pPr>
        <w:spacing w:after="0" w:line="1" w:lineRule="exact"/>
        <w:rPr>
          <w:rFonts w:ascii="Arial" w:cs="Arial" w:eastAsia="Arial" w:hAnsi="Arial"/>
          <w:sz w:val="28"/>
          <w:szCs w:val="28"/>
          <w:color w:val="auto"/>
          <w:vertAlign w:val="superscript"/>
        </w:rPr>
      </w:pP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technological innovations or commercial product introductions by us or competitors;</w:t>
      </w: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changes in government regulations;</w:t>
      </w: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developments concerning proprietary rights, including patents and litigation matters;</w:t>
      </w: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public concern relating to the commercial value or safety of RPL554;</w:t>
      </w: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financing or other corporate transactions;</w:t>
      </w: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publication of research reports or comments by securities or industry analysts;</w:t>
      </w: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general market conditions in the pharmaceutical industry or in the economy as a whole;</w:t>
      </w:r>
    </w:p>
    <w:p>
      <w:pPr>
        <w:ind w:left="1080" w:hanging="532"/>
        <w:spacing w:after="0" w:line="183" w:lineRule="auto"/>
        <w:tabs>
          <w:tab w:leader="none" w:pos="10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the loss of any of our key scientific or senior management personnel;</w:t>
      </w:r>
    </w:p>
    <w:p>
      <w:pPr>
        <w:ind w:left="1080" w:right="140" w:hanging="532"/>
        <w:spacing w:after="0" w:line="187" w:lineRule="auto"/>
        <w:tabs>
          <w:tab w:leader="none" w:pos="108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sales of our ordinary shares or ADSs by us, our senior management and board members, holders of our ADSs or our shareholders in the future; or</w:t>
      </w:r>
    </w:p>
    <w:p>
      <w:pPr>
        <w:spacing w:after="0" w:line="1" w:lineRule="exact"/>
        <w:rPr>
          <w:rFonts w:ascii="Arial" w:cs="Arial" w:eastAsia="Arial" w:hAnsi="Arial"/>
          <w:sz w:val="28"/>
          <w:szCs w:val="28"/>
          <w:color w:val="auto"/>
          <w:vertAlign w:val="superscript"/>
        </w:rPr>
      </w:pPr>
    </w:p>
    <w:p>
      <w:pPr>
        <w:ind w:left="1080" w:hanging="532"/>
        <w:spacing w:after="0" w:line="183" w:lineRule="auto"/>
        <w:tabs>
          <w:tab w:leader="none" w:pos="108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other events and factors, many of which are beyond our control.</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We will incur increased costs as a result of operating as a public company in the United States, and our senior management will be required to devote substantial time to new compliance initiatives and corporate governance practices.</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a U.S. public company,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compliance matters and higher costs necessitated by ongoing revisions to disclosure and governance practices.</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by our senior management on our internal control over financial reporting. However, while we remain an emerging growth company, or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There has been no public market for our ADSs prior to this offering, and an active market may not develop in which investors can resell our ADSs.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Prior to this offering, there has been no public market for our ADSs, although our ordinary shares have traded on AIM. We cannot predict the extent to which an active market for our ADSs will develop or be sustained after this offering, or how the development of such a market might affect the market price for our ADSs. The initial public offering price of our ADSs in this offering will be agreed upon between us and the underwriters based on a number of factors, including market conditions in effect at the time of the offering, which may not be indicative of the price at which our ADSs will trade following completion of the offering. Investors may not be able to sell their ADSs at or above the initial public offering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dual listing of our ordinary shares and our ADSs following this offering may adversely affect the liquidity and value of our ADSs.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Following this offering and after our ADSs begin trading on NASDAQ, our ordinary shares will continue to be admitted to trading on AIM. We cannot predict the effect of this dual listing on the value of our ordinary shares and ADSs. However, the dual listing of our ordinary shares and ADSs may dilute the liquidity of these securities in one or both markets and may adversely affect the development of an active trading market for our ADSs in the United States. The price of our ADSs could also be adversely affected by trading in our ordinary shares on AIM. Although our ordinary shares are currently admitted to trading on AIM, following this offering, we may decide to cancel the admission of our ordinary shares to trading on AIM. Cancellation of the admission of our ordinary shares to trading on AIM would require the requisite consent of shareholders in a general meeting prescribed by AIM Rules for Companies, unless the London Stock Exchange agrees otherwise. We cannot predict the effect such cancellation would have on the market price of our ADSs.</w:t>
      </w:r>
    </w:p>
    <w:p>
      <w:pPr>
        <w:spacing w:after="0" w:line="186"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Certain of our existing shareholders, members of our board of directors, and senior management will continue to own a majority of our ordinary shares and as a result, will be able to exercise significant control over us, and your interests may conflict with the interests of our existing shareholders.</w:t>
      </w:r>
    </w:p>
    <w:p>
      <w:pPr>
        <w:spacing w:after="0" w:line="202" w:lineRule="exact"/>
        <w:rPr>
          <w:sz w:val="20"/>
          <w:szCs w:val="20"/>
          <w:color w:val="auto"/>
        </w:rPr>
      </w:pPr>
    </w:p>
    <w:p>
      <w:pPr>
        <w:jc w:val="both"/>
        <w:ind w:right="160"/>
        <w:spacing w:after="0" w:line="234" w:lineRule="auto"/>
        <w:rPr>
          <w:sz w:val="20"/>
          <w:szCs w:val="20"/>
          <w:color w:val="auto"/>
        </w:rPr>
      </w:pPr>
      <w:r>
        <w:rPr>
          <w:rFonts w:ascii="Arial" w:cs="Arial" w:eastAsia="Arial" w:hAnsi="Arial"/>
          <w:sz w:val="18"/>
          <w:szCs w:val="18"/>
          <w:color w:val="auto"/>
        </w:rPr>
        <w:t>As of , 2017, after giving effect to the closing of this offering, our senior management, board of directors and greater than 5% shareholders and their respective affiliates, in the aggregate, will own approximately % of our ordinary shares, including ordinary shares represented by our ADSs, assuming no exercise of outstanding options or warrants, and approximately % of our ordinary shares, assuming</w:t>
      </w:r>
    </w:p>
    <w:p>
      <w:pPr>
        <w:spacing w:after="0" w:line="2"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exercise of all outstanding warrants, which become exercisable upon the completion of this offering. Depending on the level of attendance at our general meetings of shareholders, these shareholders either alone or voting together as a group may be in a position to determine or significantly influence the outcome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Among other consequences, this concentration of ownership may have the effect of delaying or preventing a change in control and might therefore negatively affect the market price of our ADSs.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or the possibility of future sales, of a substantial number of our ADSs could adversely affect the price of our ADSs.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Future sales of a substantial number of our ordinary shares or ADSs, or the perception that such sales will occur, could cause a decline in the</w:t>
      </w:r>
    </w:p>
    <w:p>
      <w:pPr>
        <w:ind w:right="160"/>
        <w:spacing w:after="0" w:line="234" w:lineRule="auto"/>
        <w:rPr>
          <w:sz w:val="20"/>
          <w:szCs w:val="20"/>
          <w:color w:val="auto"/>
        </w:rPr>
      </w:pPr>
      <w:r>
        <w:rPr>
          <w:rFonts w:ascii="Arial" w:cs="Arial" w:eastAsia="Arial" w:hAnsi="Arial"/>
          <w:sz w:val="18"/>
          <w:szCs w:val="18"/>
          <w:color w:val="auto"/>
        </w:rPr>
        <w:t>market price of our ADSs. Based upon the number of shares outstanding as of , 2017, after giving effect to the closing of this offering, we will have ordinary shares outstanding, assuming no exercise of outstanding options or warrants. ADSs issued and sold in</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this offering may be resold in the public market immediately without restriction, unless purchased by our affiliates. A significant portion of these ordinary shares and ADSs will be subject to the lock-up agreements described in the "Shares and ADSs Eligible for Future Sale" and "Underwriting." If, after the end of such lock-up agreements,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 We have also entered into a registration rights agreement pursuant to which we agreed under certain circumstances to file a registration statement to register the resale of the ordinary shares or ADSs held by certain of our existing shareholders, as well as to cooperate in certain public offerings of such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ADSs in this offering, you will suffer immediate dilution of your investment.</w:t>
      </w:r>
    </w:p>
    <w:p>
      <w:pPr>
        <w:spacing w:after="0" w:line="23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expect the initial public offering price of our ADSs to be substantially higher than the net tangible book value per ADS prior to this offering. Therefore, if you purchase ADSs in this offering, you will pay a price per ADS that substantially exceeds our net tangible book value per ADS after this offering. To the extent outstanding options or warrants are exercised for ordinary shares, you may experience further dilution. Based on the</w:t>
      </w:r>
    </w:p>
    <w:p>
      <w:pPr>
        <w:spacing w:after="0"/>
        <w:tabs>
          <w:tab w:leader="none" w:pos="380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6"/>
          <w:szCs w:val="16"/>
          <w:color w:val="auto"/>
        </w:rPr>
        <w:t>per ADS, which reflects the last reported sale price of our ordinary shares on AIM</w:t>
      </w:r>
    </w:p>
    <w:p>
      <w:pPr>
        <w:spacing w:after="0" w:line="235" w:lineRule="auto"/>
        <w:tabs>
          <w:tab w:leader="none" w:pos="16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2017 and the exchange rate set forth on the cover page of this prospectus, you will experience immediate dilution of</w:t>
      </w:r>
    </w:p>
    <w:p>
      <w:pPr>
        <w:ind w:right="220" w:firstLine="8"/>
        <w:spacing w:after="0" w:line="239" w:lineRule="auto"/>
        <w:tabs>
          <w:tab w:leader="none" w:pos="8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ADS, representing the difference between our net tangible book value per ADS after giving effect to this offering and the assumed initial public offering price. See "Dilution."</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color w:val="auto"/>
        </w:rPr>
        <w:t>Because we do not anticipate paying any cash dividends on our ADSs in the foreseeable future, capital appreciation, if any, will be your sole source of gains and you may never receive a return on your investment.</w:t>
      </w:r>
    </w:p>
    <w:p>
      <w:pPr>
        <w:spacing w:after="0" w:line="188" w:lineRule="exact"/>
        <w:rPr>
          <w:sz w:val="20"/>
          <w:szCs w:val="20"/>
          <w:color w:val="auto"/>
        </w:rPr>
      </w:pPr>
    </w:p>
    <w:p>
      <w:pPr>
        <w:ind w:firstLine="244"/>
        <w:spacing w:after="0" w:line="236" w:lineRule="auto"/>
        <w:rPr>
          <w:sz w:val="20"/>
          <w:szCs w:val="20"/>
          <w:color w:val="auto"/>
        </w:rPr>
      </w:pPr>
      <w:r>
        <w:rPr>
          <w:rFonts w:ascii="Arial" w:cs="Arial" w:eastAsia="Arial" w:hAnsi="Arial"/>
          <w:sz w:val="18"/>
          <w:szCs w:val="18"/>
          <w:color w:val="auto"/>
        </w:rPr>
        <w:t>Under current U.K.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senior management will have broad discretion in the application of the net proceeds from this offering and could spend the proceeds in ways that do not improve our results of operations or enhance the value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ordinary shares or ADSs. The failure by our senior management to apply these funds effectively could result in financial losses, cause the price of our ADSs to decline and delay the development of RPL554. Pending their use, we may invest the net proceeds from this offering in a manner that does not produce income or that loses value.</w:t>
      </w:r>
    </w:p>
    <w:p>
      <w:pPr>
        <w:spacing w:after="0" w:line="186"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color w:val="auto"/>
        </w:rPr>
        <w:t>Securities traded on AIM may carry a higher risk than securities traded on other exchanges, which may impact the value of your investment.</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ADSs, or of the ordinary shares underlying our ADSs, may not reflect the underlying value of our company.</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You may not have the same voting rights as the holders of our ordinary shares and may not receive voting materials in time to be able to exercise your right to vote.</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evidenced by our ADSs on an individual basis. Holders of our ADSs will appoint the depositary or its nominee as their representative to exercise the voting rights attaching to the ordinary shares represented by our ADSs. You may not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You may not receive distributions on our ordinary shares represented by our ADSs or any value for them if it is illegal or impractical to make them available to holders of ADSs.</w:t>
      </w:r>
    </w:p>
    <w:p>
      <w:pPr>
        <w:spacing w:after="0" w:line="18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depositary for our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you may not receive the distributions we make on our ordinary shares or any value from them if it is unlawful or impractical to make them available to you. These restrictions may have a material adverse effect on the value of your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be subject to limitations on transfer of your ADSs.</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 of our shareholders may differ from the rights typically offered to shareholders of a U.S. corporation.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See "Description of Share Capital and Articles of Association — Differences in Corporate Law" in this prospectus for a description of the principal differences between the provisions of the Companies Act 2006 applicable to us and, for example, the Delaware General Corporation Law relating to shareholders' rights and protections.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of U.S. civil liabilities may not be enforceable against us.</w:t>
      </w:r>
    </w:p>
    <w:p>
      <w:pPr>
        <w:spacing w:after="0" w:line="2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We qualify as a foreign private issuer and, as a result, we will not be subject to U.S. proxy rules and will be subject to Exchange Act reporting obligations that, to some extent, are more lenient and less frequent than those of a U.S. domestic public company.</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Upon the closing of this offering, we will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a foreign private issuer, we intend to furnish quarterly unaudited financial information to the SEC on Form 6-K. In addition, foreign private issuers are not required to file their annual report on Form 20-F until 120 days after the end of each fiscal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As a foreign private issuer and as permitted by the listing requirements of NASDAQ, we will rely on certain home country governance practices rather than the corporate governance requirements of NASDAQ.</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a foreign private issuer, in accordance with the listing requirements of NASDAQ, we will follow our home country governance requirements and certain exemptions thereunder rather than the corporate governance requirements of NASDAQ.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8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have a majority of the board of directors consist of independent directors;</w:t>
      </w:r>
    </w:p>
    <w:p>
      <w:pPr>
        <w:ind w:left="1080" w:hanging="532"/>
        <w:spacing w:after="0" w:line="183" w:lineRule="auto"/>
        <w:tabs>
          <w:tab w:leader="none" w:pos="108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require non-management directors to meet on a regular basis without management present;</w:t>
      </w:r>
    </w:p>
    <w:p>
      <w:pPr>
        <w:ind w:left="1080" w:hanging="532"/>
        <w:spacing w:after="0" w:line="183" w:lineRule="auto"/>
        <w:tabs>
          <w:tab w:leader="none" w:pos="108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promptly disclose any waivers of the code for directors or executive officers that should address certain specified items;</w:t>
      </w:r>
    </w:p>
    <w:p>
      <w:pPr>
        <w:ind w:left="1080" w:hanging="532"/>
        <w:spacing w:after="0" w:line="183" w:lineRule="auto"/>
        <w:tabs>
          <w:tab w:leader="none" w:pos="108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have an independent nominating committee;</w:t>
      </w:r>
    </w:p>
    <w:p>
      <w:pPr>
        <w:ind w:left="1080" w:hanging="532"/>
        <w:spacing w:after="0" w:line="183" w:lineRule="auto"/>
        <w:tabs>
          <w:tab w:leader="none" w:pos="108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solicit proxies and provide proxy statements for all shareholder meetings; and</w:t>
      </w:r>
    </w:p>
    <w:p>
      <w:pPr>
        <w:ind w:left="1080" w:hanging="532"/>
        <w:spacing w:after="0" w:line="183" w:lineRule="auto"/>
        <w:tabs>
          <w:tab w:leader="none" w:pos="1080" w:val="left"/>
        </w:tabs>
        <w:numPr>
          <w:ilvl w:val="0"/>
          <w:numId w:val="37"/>
        </w:numPr>
        <w:rPr>
          <w:rFonts w:ascii="Arial" w:cs="Arial" w:eastAsia="Arial" w:hAnsi="Arial"/>
          <w:sz w:val="24"/>
          <w:szCs w:val="24"/>
          <w:color w:val="auto"/>
          <w:vertAlign w:val="superscript"/>
        </w:rPr>
      </w:pPr>
      <w:r>
        <w:rPr>
          <w:rFonts w:ascii="Arial" w:cs="Arial" w:eastAsia="Arial" w:hAnsi="Arial"/>
          <w:sz w:val="15"/>
          <w:szCs w:val="15"/>
          <w:color w:val="auto"/>
        </w:rPr>
        <w:t>seek shareholder approval for the implementation of certain equity compensation plans and issuances of ordinary shares.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an overview of our corporate governance principles, see "Description of Share Capital and Articles of Association — Articles of Association."</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accordance with our NASDAQ listing, 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211"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Because we are exempt from certain NASDAQ governance requirements, you may not have the same protections afforded to shareholders of companies that are subject to these NASDAQ requirements.</w:t>
      </w:r>
    </w:p>
    <w:p>
      <w:pPr>
        <w:spacing w:after="0" w:line="18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auto"/>
        </w:rPr>
        <w:t>We may lose our foreign private issuer status, which would then require us to comply with the Exchange Act's domestic reporting regime and cause us to incur significant legal, accounting and other expenses.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a foreign private issuer, we are not required to comply with all of the periodic disclosure and current reporting requirements of the Exchange Act applicable to U.S. domestic issuers. 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In order to maintain our current status as a foreign private issuer, either</w:t>
      </w:r>
    </w:p>
    <w:p>
      <w:pPr>
        <w:spacing w:after="0" w:line="1" w:lineRule="exact"/>
        <w:rPr>
          <w:sz w:val="20"/>
          <w:szCs w:val="20"/>
          <w:color w:val="auto"/>
        </w:rPr>
      </w:pPr>
    </w:p>
    <w:p>
      <w:pPr>
        <w:ind w:right="60" w:firstLine="8"/>
        <w:spacing w:after="0" w:line="235"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majority of our ADSs must be either directly or indirectly owned of record by non-residents of the United States or (b)(i) a majority of our executive officers or directors cannot be U.S. citizens or residents, (ii) more than 50 percent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ADSs less attractive to investors.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ADSs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19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are designed to prevent fraud. Any failure to implement required new or improved controls, or difficulties encountered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their implementation could cause us to fail to meet our reporting obligations. In addition, any testing by us conducted in connection with</w:t>
      </w:r>
    </w:p>
    <w:p>
      <w:pPr>
        <w:spacing w:after="0"/>
        <w:rPr>
          <w:sz w:val="20"/>
          <w:szCs w:val="20"/>
          <w:color w:val="auto"/>
        </w:rPr>
      </w:pPr>
      <w:r>
        <w:rPr>
          <w:rFonts w:ascii="Arial" w:cs="Arial" w:eastAsia="Arial" w:hAnsi="Arial"/>
          <w:sz w:val="16"/>
          <w:szCs w:val="16"/>
          <w:color w:val="auto"/>
        </w:rPr>
        <w:t>Section 404, or any subsequent testing by our independent registered public accounting firm, may reveal deficiencies in our internal controls over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financial reporting that are deemed to be material weaknesses or that may require prospective or retroactive changes to our financial statements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identify other areas for further attention or improvement. Inadequate internal controls could also cause investors to lose confidence in our reported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which could have a negative effect on the trading price of our ADSs.</w:t>
      </w:r>
    </w:p>
    <w:p>
      <w:pPr>
        <w:spacing w:after="0" w:line="21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connection with the preparation for this initial public offering, we reassessed our critical accounting policies to ensure compliance with IFRS. As part of this reassessment, we identified errors relating to the recognition of assumed liabilities and goodwill in connection with the acquisition of Rhinopharma in September 2006. We concluded that a lack of adequate controls surrounding our historic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are currently in the process of remediating this material weakness and have taken steps that we believe will address the underlying causes of the material weakness by the hiring of our new chief financial officer and enhancing our financial reporting team's technical accounting knowledge associated with the accounting rules for business combinations. However, we cannot be certain that these efforts will be sufficient to remediate this material weakness or prevent future material weaknesses or significant deficiencies from occurring.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the price of our ADSs and our trading volume could decline.</w:t>
      </w:r>
    </w:p>
    <w:p>
      <w:pPr>
        <w:spacing w:after="0" w:line="18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Securities and industry analysts do not currently, and may never, publish research on us. If no or too few securities or industry analysts commence coverage on us, the trading price for our ADSs would likely be negatively affected. In the event securities or industry analysts initiate coverage, if one or more of the analysts who cover us downgrade our ADSs or publish inaccurate or unfavorable research about our business, the price of our ADSs would likely decline. If one or more of these analysts cease coverage of us or fail to publish reports on us regularly, demand for our ADSs could decrease, which might cause the price of our ADSs and trading volume to decline.</w:t>
      </w:r>
    </w:p>
    <w:p>
      <w:pPr>
        <w:spacing w:after="0" w:line="188" w:lineRule="exact"/>
        <w:rPr>
          <w:sz w:val="20"/>
          <w:szCs w:val="20"/>
          <w:color w:val="auto"/>
        </w:rPr>
      </w:pPr>
    </w:p>
    <w:p>
      <w:pPr>
        <w:ind w:right="400"/>
        <w:spacing w:after="0" w:line="328" w:lineRule="auto"/>
        <w:rPr>
          <w:sz w:val="20"/>
          <w:szCs w:val="20"/>
          <w:color w:val="auto"/>
        </w:rPr>
      </w:pPr>
      <w:r>
        <w:rPr>
          <w:rFonts w:ascii="Arial" w:cs="Arial" w:eastAsia="Arial" w:hAnsi="Arial"/>
          <w:sz w:val="16"/>
          <w:szCs w:val="16"/>
          <w:b w:val="1"/>
          <w:bCs w:val="1"/>
          <w:color w:val="auto"/>
        </w:rPr>
        <w:t>We believe we will likely be classified as a passive foreign investment company for U.S. federal income tax purposes for the current year, which could result in adverse U.S. federal income tax consequences to U.S. investors in our ordinary shares or ADSs.</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Tax Considerations — Material U.S. Federal Income Tax Considerations for U.S. Holders") owns the ordinary shares or ADSs, we will continue to be treated as a PFIC with respect to such U.S. Holder in all succeeding years during which the U.S. Holder owns the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Tax Considerations — Material U.S. Federal Income Tax Considerations for U.S. Holders — Passive Foreign Investment Company Rules."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12" w:lineRule="exact"/>
        <w:rPr>
          <w:sz w:val="20"/>
          <w:szCs w:val="20"/>
          <w:color w:val="auto"/>
        </w:rPr>
      </w:pPr>
    </w:p>
    <w:p>
      <w:pPr>
        <w:ind w:left="1080" w:right="20" w:hanging="532"/>
        <w:spacing w:after="0" w:line="187" w:lineRule="auto"/>
        <w:tabs>
          <w:tab w:leader="none" w:pos="1080"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the development of RPL554, including statements regarding the expected initiation, timing, progress and availability of data from our clinical trials;</w:t>
      </w:r>
    </w:p>
    <w:p>
      <w:pPr>
        <w:spacing w:after="0" w:line="1" w:lineRule="exact"/>
        <w:rPr>
          <w:rFonts w:ascii="Arial" w:cs="Arial" w:eastAsia="Arial" w:hAnsi="Arial"/>
          <w:sz w:val="28"/>
          <w:szCs w:val="28"/>
          <w:color w:val="auto"/>
          <w:vertAlign w:val="superscript"/>
        </w:rPr>
      </w:pPr>
    </w:p>
    <w:p>
      <w:pPr>
        <w:ind w:left="1080" w:hanging="532"/>
        <w:spacing w:after="0" w:line="183" w:lineRule="auto"/>
        <w:tabs>
          <w:tab w:leader="none" w:pos="10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the potential attributes and benefit of RPL554 and its competitive position;</w:t>
      </w:r>
    </w:p>
    <w:p>
      <w:pPr>
        <w:ind w:left="1080" w:hanging="532"/>
        <w:spacing w:after="0" w:line="183" w:lineRule="auto"/>
        <w:tabs>
          <w:tab w:leader="none" w:pos="10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our ability to successfully commercialize RPL554, if approved;</w:t>
      </w:r>
    </w:p>
    <w:p>
      <w:pPr>
        <w:ind w:left="1080" w:hanging="532"/>
        <w:spacing w:after="0" w:line="183" w:lineRule="auto"/>
        <w:tabs>
          <w:tab w:leader="none" w:pos="10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our expectations regarding the use of proceeds from this offering;</w:t>
      </w:r>
    </w:p>
    <w:p>
      <w:pPr>
        <w:ind w:left="1080" w:hanging="532"/>
        <w:spacing w:after="0" w:line="183" w:lineRule="auto"/>
        <w:tabs>
          <w:tab w:leader="none" w:pos="10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our estimates regarding expenses, future revenues, capital requirements and our need for additional financing;</w:t>
      </w:r>
    </w:p>
    <w:p>
      <w:pPr>
        <w:ind w:left="1080" w:hanging="532"/>
        <w:spacing w:after="0" w:line="183" w:lineRule="auto"/>
        <w:tabs>
          <w:tab w:leader="none" w:pos="10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our ability to acquire or in-license new product candidates;</w:t>
      </w:r>
    </w:p>
    <w:p>
      <w:pPr>
        <w:ind w:left="1080" w:hanging="532"/>
        <w:spacing w:after="0" w:line="183" w:lineRule="auto"/>
        <w:tabs>
          <w:tab w:leader="none" w:pos="10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potential collaborations; and</w:t>
      </w:r>
    </w:p>
    <w:p>
      <w:pPr>
        <w:ind w:left="1080" w:hanging="532"/>
        <w:spacing w:after="0" w:line="183" w:lineRule="auto"/>
        <w:tabs>
          <w:tab w:leader="none" w:pos="108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the duration of our patent portfolio.</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EXCHANGE RATE INFORMATION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business is primarily conducted in the United Kingdom, and we maintain our books and records in pounds sterling. On February 24, 2017, the exchange rate was £1.00 to $1.2499. We have presented our financial data in this prospectus in pounds sterling. For the convenience of the reader, we have translated some of our financial information into U.S. dollars. Unless otherwise indicated, translations from pounds sterling to U.S. dollars were made at the rate of £1.00 to $1.2337, the noon buying rate of the Federal Reserve Bank of New York on December 30, 2016. Such U.S. dollar amounts are not necessarily indicative of the amounts of U.S. dollars that could actually have been purchased upon exchange of pounds sterling at the dates indicated.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exchange rates between the pound sterling and the U.S. dollar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Average for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4"/>
        </w:trPr>
        <w:tc>
          <w:tcPr>
            <w:tcW w:w="11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w w:val="99"/>
              </w:rPr>
              <w:t>Period-end</w:t>
            </w:r>
            <w:r>
              <w:rPr>
                <w:rFonts w:ascii="Arial" w:cs="Arial" w:eastAsia="Arial" w:hAnsi="Arial"/>
                <w:sz w:val="21"/>
                <w:szCs w:val="21"/>
                <w:b w:val="1"/>
                <w:bCs w:val="1"/>
                <w:color w:val="auto"/>
                <w:w w:val="99"/>
                <w:vertAlign w:val="superscript"/>
              </w:rPr>
              <w:t>(1)</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48"/>
              <w:spacing w:after="0" w:line="205" w:lineRule="exact"/>
              <w:rPr>
                <w:sz w:val="20"/>
                <w:szCs w:val="20"/>
                <w:color w:val="auto"/>
              </w:rPr>
            </w:pPr>
            <w:r>
              <w:rPr>
                <w:rFonts w:ascii="Arial" w:cs="Arial" w:eastAsia="Arial" w:hAnsi="Arial"/>
                <w:sz w:val="14"/>
                <w:szCs w:val="14"/>
                <w:b w:val="1"/>
                <w:bCs w:val="1"/>
                <w:color w:val="auto"/>
              </w:rPr>
              <w:t>period</w:t>
            </w:r>
            <w:r>
              <w:rPr>
                <w:rFonts w:ascii="Arial" w:cs="Arial" w:eastAsia="Arial" w:hAnsi="Arial"/>
                <w:sz w:val="21"/>
                <w:szCs w:val="21"/>
                <w:b w:val="1"/>
                <w:bCs w:val="1"/>
                <w:color w:val="auto"/>
                <w:vertAlign w:val="superscript"/>
              </w:rPr>
              <w:t>(2)</w:t>
            </w:r>
          </w:p>
        </w:tc>
        <w:tc>
          <w:tcPr>
            <w:tcW w:w="160" w:type="dxa"/>
            <w:vAlign w:val="bottom"/>
          </w:tcPr>
          <w:p>
            <w:pPr>
              <w:spacing w:after="0"/>
              <w:rPr>
                <w:sz w:val="17"/>
                <w:szCs w:val="17"/>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High</w:t>
            </w:r>
          </w:p>
        </w:tc>
        <w:tc>
          <w:tcPr>
            <w:tcW w:w="1320" w:type="dxa"/>
            <w:vAlign w:val="bottom"/>
            <w:gridSpan w:val="2"/>
          </w:tcPr>
          <w:p>
            <w:pPr>
              <w:spacing w:after="0"/>
              <w:rPr>
                <w:sz w:val="17"/>
                <w:szCs w:val="17"/>
                <w:color w:val="auto"/>
              </w:rPr>
            </w:pPr>
          </w:p>
        </w:tc>
      </w:tr>
      <w:tr>
        <w:trPr>
          <w:trHeight w:val="156"/>
        </w:trPr>
        <w:tc>
          <w:tcPr>
            <w:tcW w:w="1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040" w:type="dxa"/>
            <w:vAlign w:val="bottom"/>
            <w:gridSpan w:val="6"/>
          </w:tcPr>
          <w:p>
            <w:pPr>
              <w:ind w:left="800"/>
              <w:spacing w:after="0" w:line="155" w:lineRule="exact"/>
              <w:rPr>
                <w:sz w:val="20"/>
                <w:szCs w:val="20"/>
                <w:color w:val="auto"/>
              </w:rPr>
            </w:pPr>
            <w:r>
              <w:rPr>
                <w:rFonts w:ascii="Arial" w:cs="Arial" w:eastAsia="Arial" w:hAnsi="Arial"/>
                <w:sz w:val="14"/>
                <w:szCs w:val="14"/>
                <w:b w:val="1"/>
                <w:bCs w:val="1"/>
                <w:color w:val="auto"/>
              </w:rPr>
              <w:t>(U.S. dollars per pound sterling)</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20" w:type="dxa"/>
            <w:vAlign w:val="bottom"/>
            <w:gridSpan w:val="2"/>
          </w:tcPr>
          <w:p>
            <w:pPr>
              <w:jc w:val="right"/>
              <w:ind w:right="4692"/>
              <w:spacing w:after="0" w:line="202" w:lineRule="exact"/>
              <w:rPr>
                <w:sz w:val="20"/>
                <w:szCs w:val="20"/>
                <w:color w:val="auto"/>
              </w:rPr>
            </w:pPr>
            <w:r>
              <w:rPr>
                <w:rFonts w:ascii="Arial" w:cs="Arial" w:eastAsia="Arial" w:hAnsi="Arial"/>
                <w:sz w:val="18"/>
                <w:szCs w:val="18"/>
                <w:color w:val="auto"/>
              </w:rPr>
              <w:t>2012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1.6262</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1.4699</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1.5301</w:t>
            </w:r>
          </w:p>
        </w:tc>
        <w:tc>
          <w:tcPr>
            <w:tcW w:w="160" w:type="dxa"/>
            <w:vAlign w:val="bottom"/>
          </w:tcPr>
          <w:p>
            <w:pPr>
              <w:spacing w:after="0"/>
              <w:rPr>
                <w:sz w:val="17"/>
                <w:szCs w:val="17"/>
                <w:color w:val="auto"/>
              </w:rPr>
            </w:pPr>
          </w:p>
        </w:tc>
        <w:tc>
          <w:tcPr>
            <w:tcW w:w="760" w:type="dxa"/>
            <w:vAlign w:val="bottom"/>
          </w:tcPr>
          <w:p>
            <w:pPr>
              <w:ind w:left="220"/>
              <w:spacing w:after="0" w:line="202" w:lineRule="exact"/>
              <w:rPr>
                <w:sz w:val="20"/>
                <w:szCs w:val="20"/>
                <w:color w:val="auto"/>
              </w:rPr>
            </w:pPr>
            <w:r>
              <w:rPr>
                <w:rFonts w:ascii="Arial" w:cs="Arial" w:eastAsia="Arial" w:hAnsi="Arial"/>
                <w:sz w:val="18"/>
                <w:szCs w:val="18"/>
                <w:color w:val="auto"/>
                <w:w w:val="94"/>
              </w:rPr>
              <w:t>1.6275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jc w:val="right"/>
              <w:ind w:right="4692"/>
              <w:spacing w:after="0" w:line="202" w:lineRule="exact"/>
              <w:rPr>
                <w:sz w:val="20"/>
                <w:szCs w:val="20"/>
                <w:color w:val="auto"/>
              </w:rPr>
            </w:pPr>
            <w:r>
              <w:rPr>
                <w:rFonts w:ascii="Arial" w:cs="Arial" w:eastAsia="Arial" w:hAnsi="Arial"/>
                <w:sz w:val="18"/>
                <w:szCs w:val="18"/>
                <w:color w:val="auto"/>
                <w:w w:val="89"/>
              </w:rPr>
              <w:t>2013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1.5578</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1.5668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1.4837</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1.6574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20" w:type="dxa"/>
            <w:vAlign w:val="bottom"/>
            <w:gridSpan w:val="2"/>
          </w:tcPr>
          <w:p>
            <w:pPr>
              <w:jc w:val="right"/>
              <w:ind w:right="4692"/>
              <w:spacing w:after="0" w:line="202" w:lineRule="exact"/>
              <w:rPr>
                <w:sz w:val="20"/>
                <w:szCs w:val="20"/>
                <w:color w:val="auto"/>
              </w:rPr>
            </w:pPr>
            <w:r>
              <w:rPr>
                <w:rFonts w:ascii="Arial" w:cs="Arial" w:eastAsia="Arial" w:hAnsi="Arial"/>
                <w:sz w:val="18"/>
                <w:szCs w:val="18"/>
                <w:color w:val="auto"/>
              </w:rPr>
              <w:t>2014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1.5668</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1.5517</w:t>
            </w:r>
          </w:p>
        </w:tc>
        <w:tc>
          <w:tcPr>
            <w:tcW w:w="160" w:type="dxa"/>
            <w:vAlign w:val="bottom"/>
          </w:tcPr>
          <w:p>
            <w:pPr>
              <w:spacing w:after="0"/>
              <w:rPr>
                <w:sz w:val="17"/>
                <w:szCs w:val="17"/>
                <w:color w:val="auto"/>
              </w:rPr>
            </w:pPr>
          </w:p>
        </w:tc>
        <w:tc>
          <w:tcPr>
            <w:tcW w:w="760" w:type="dxa"/>
            <w:vAlign w:val="bottom"/>
          </w:tcPr>
          <w:p>
            <w:pPr>
              <w:ind w:left="220"/>
              <w:spacing w:after="0" w:line="202" w:lineRule="exact"/>
              <w:rPr>
                <w:sz w:val="20"/>
                <w:szCs w:val="20"/>
                <w:color w:val="auto"/>
              </w:rPr>
            </w:pPr>
            <w:r>
              <w:rPr>
                <w:rFonts w:ascii="Arial" w:cs="Arial" w:eastAsia="Arial" w:hAnsi="Arial"/>
                <w:sz w:val="18"/>
                <w:szCs w:val="18"/>
                <w:color w:val="auto"/>
                <w:w w:val="94"/>
              </w:rPr>
              <w:t>1.7165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jc w:val="right"/>
              <w:ind w:right="4692"/>
              <w:spacing w:after="0" w:line="202" w:lineRule="exact"/>
              <w:rPr>
                <w:sz w:val="20"/>
                <w:szCs w:val="20"/>
                <w:color w:val="auto"/>
              </w:rPr>
            </w:pPr>
            <w:r>
              <w:rPr>
                <w:rFonts w:ascii="Arial" w:cs="Arial" w:eastAsia="Arial" w:hAnsi="Arial"/>
                <w:sz w:val="18"/>
                <w:szCs w:val="18"/>
                <w:color w:val="auto"/>
                <w:w w:val="89"/>
              </w:rPr>
              <w:t>2015</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1.6461</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1.4648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1.5882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20" w:type="dxa"/>
            <w:vAlign w:val="bottom"/>
            <w:gridSpan w:val="2"/>
          </w:tcPr>
          <w:p>
            <w:pPr>
              <w:jc w:val="right"/>
              <w:ind w:right="4692"/>
              <w:spacing w:after="0" w:line="202" w:lineRule="exact"/>
              <w:rPr>
                <w:sz w:val="20"/>
                <w:szCs w:val="20"/>
                <w:color w:val="auto"/>
              </w:rPr>
            </w:pPr>
            <w:r>
              <w:rPr>
                <w:rFonts w:ascii="Arial" w:cs="Arial" w:eastAsia="Arial" w:hAnsi="Arial"/>
                <w:sz w:val="18"/>
                <w:szCs w:val="18"/>
                <w:color w:val="auto"/>
              </w:rPr>
              <w:t>2016</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1.2337</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1.3467</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1.2155</w:t>
            </w:r>
          </w:p>
        </w:tc>
        <w:tc>
          <w:tcPr>
            <w:tcW w:w="160" w:type="dxa"/>
            <w:vAlign w:val="bottom"/>
          </w:tcPr>
          <w:p>
            <w:pPr>
              <w:spacing w:after="0"/>
              <w:rPr>
                <w:sz w:val="17"/>
                <w:szCs w:val="17"/>
                <w:color w:val="auto"/>
              </w:rPr>
            </w:pPr>
          </w:p>
        </w:tc>
        <w:tc>
          <w:tcPr>
            <w:tcW w:w="760" w:type="dxa"/>
            <w:vAlign w:val="bottom"/>
          </w:tcPr>
          <w:p>
            <w:pPr>
              <w:ind w:left="220"/>
              <w:spacing w:after="0" w:line="202" w:lineRule="exact"/>
              <w:rPr>
                <w:sz w:val="20"/>
                <w:szCs w:val="20"/>
                <w:color w:val="auto"/>
              </w:rPr>
            </w:pPr>
            <w:r>
              <w:rPr>
                <w:rFonts w:ascii="Arial" w:cs="Arial" w:eastAsia="Arial" w:hAnsi="Arial"/>
                <w:sz w:val="18"/>
                <w:szCs w:val="18"/>
                <w:color w:val="auto"/>
                <w:w w:val="94"/>
              </w:rPr>
              <w:t>1.4800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 (through February 24)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1.2499</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1.2500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1.2428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1.2643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pacing w:after="0" w:line="140"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In the event that the period end fell on a day for which data are not available, the exchange rate on the prior most recent business day is given.</w:t>
      </w:r>
    </w:p>
    <w:p>
      <w:pPr>
        <w:spacing w:after="0" w:line="151" w:lineRule="exact"/>
        <w:rPr>
          <w:rFonts w:ascii="Arial" w:cs="Arial" w:eastAsia="Arial" w:hAnsi="Arial"/>
          <w:sz w:val="22"/>
          <w:szCs w:val="22"/>
          <w:color w:val="auto"/>
          <w:vertAlign w:val="superscript"/>
        </w:rPr>
      </w:pPr>
    </w:p>
    <w:p>
      <w:pPr>
        <w:ind w:left="540" w:right="580" w:hanging="532"/>
        <w:spacing w:after="0" w:line="193" w:lineRule="auto"/>
        <w:tabs>
          <w:tab w:leader="none" w:pos="54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The average of the noon buying rate for pounds sterling on the last day of each full month during the relevant year or each business day during the relevant month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320" w:type="dxa"/>
            <w:vAlign w:val="bottom"/>
            <w:gridSpan w:val="3"/>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100" w:type="dxa"/>
            <w:vAlign w:val="bottom"/>
            <w:gridSpan w:val="7"/>
          </w:tcPr>
          <w:p>
            <w:pPr>
              <w:jc w:val="center"/>
              <w:ind w:right="1320"/>
              <w:spacing w:after="0" w:line="143" w:lineRule="exact"/>
              <w:rPr>
                <w:sz w:val="20"/>
                <w:szCs w:val="20"/>
                <w:color w:val="auto"/>
              </w:rPr>
            </w:pPr>
            <w:r>
              <w:rPr>
                <w:rFonts w:ascii="Arial" w:cs="Arial" w:eastAsia="Arial" w:hAnsi="Arial"/>
                <w:sz w:val="14"/>
                <w:szCs w:val="14"/>
                <w:b w:val="1"/>
                <w:bCs w:val="1"/>
                <w:color w:val="auto"/>
              </w:rPr>
              <w:t>(U.S. dollars per pound</w:t>
            </w:r>
          </w:p>
        </w:tc>
      </w:tr>
      <w:tr>
        <w:trPr>
          <w:trHeight w:val="175"/>
        </w:trPr>
        <w:tc>
          <w:tcPr>
            <w:tcW w:w="11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rPr>
              <w:t>sterling)</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116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Month Ended:</w:t>
            </w:r>
          </w:p>
        </w:tc>
        <w:tc>
          <w:tcPr>
            <w:tcW w:w="3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August 31, 2016</w:t>
            </w:r>
          </w:p>
        </w:tc>
        <w:tc>
          <w:tcPr>
            <w:tcW w:w="4320" w:type="dxa"/>
            <w:vAlign w:val="bottom"/>
            <w:gridSpan w:val="2"/>
          </w:tcPr>
          <w:p>
            <w:pPr>
              <w:ind w:left="3760"/>
              <w:spacing w:after="0" w:line="202" w:lineRule="exact"/>
              <w:rPr>
                <w:sz w:val="20"/>
                <w:szCs w:val="20"/>
                <w:color w:val="auto"/>
              </w:rPr>
            </w:pPr>
            <w:r>
              <w:rPr>
                <w:rFonts w:ascii="Arial" w:cs="Arial" w:eastAsia="Arial" w:hAnsi="Arial"/>
                <w:sz w:val="18"/>
                <w:szCs w:val="18"/>
                <w:color w:val="auto"/>
                <w:w w:val="98"/>
              </w:rPr>
              <w:t>1.2874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1.3335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2016</w:t>
            </w:r>
          </w:p>
        </w:tc>
        <w:tc>
          <w:tcPr>
            <w:tcW w:w="4320" w:type="dxa"/>
            <w:vAlign w:val="bottom"/>
            <w:gridSpan w:val="2"/>
            <w:shd w:val="clear" w:color="auto" w:fill="CCEEFF"/>
          </w:tcPr>
          <w:p>
            <w:pPr>
              <w:ind w:left="3760"/>
              <w:spacing w:after="0" w:line="202" w:lineRule="exact"/>
              <w:rPr>
                <w:sz w:val="20"/>
                <w:szCs w:val="20"/>
                <w:color w:val="auto"/>
              </w:rPr>
            </w:pPr>
            <w:r>
              <w:rPr>
                <w:rFonts w:ascii="Arial" w:cs="Arial" w:eastAsia="Arial" w:hAnsi="Arial"/>
                <w:sz w:val="18"/>
                <w:szCs w:val="18"/>
                <w:color w:val="auto"/>
                <w:w w:val="98"/>
              </w:rPr>
              <w:t>1.2959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October 31, 2016</w:t>
            </w:r>
          </w:p>
        </w:tc>
        <w:tc>
          <w:tcPr>
            <w:tcW w:w="4320" w:type="dxa"/>
            <w:vAlign w:val="bottom"/>
            <w:gridSpan w:val="2"/>
          </w:tcPr>
          <w:p>
            <w:pPr>
              <w:ind w:left="3760"/>
              <w:spacing w:after="0" w:line="202" w:lineRule="exact"/>
              <w:rPr>
                <w:sz w:val="20"/>
                <w:szCs w:val="20"/>
                <w:color w:val="auto"/>
              </w:rPr>
            </w:pPr>
            <w:r>
              <w:rPr>
                <w:rFonts w:ascii="Arial" w:cs="Arial" w:eastAsia="Arial" w:hAnsi="Arial"/>
                <w:sz w:val="18"/>
                <w:szCs w:val="18"/>
                <w:color w:val="auto"/>
                <w:w w:val="98"/>
              </w:rPr>
              <w:t>1.2218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1.2546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30, 2016</w:t>
            </w:r>
          </w:p>
        </w:tc>
        <w:tc>
          <w:tcPr>
            <w:tcW w:w="4320" w:type="dxa"/>
            <w:vAlign w:val="bottom"/>
            <w:gridSpan w:val="2"/>
            <w:shd w:val="clear" w:color="auto" w:fill="CCEEFF"/>
          </w:tcPr>
          <w:p>
            <w:pPr>
              <w:ind w:left="3760"/>
              <w:spacing w:after="0" w:line="202" w:lineRule="exact"/>
              <w:rPr>
                <w:sz w:val="20"/>
                <w:szCs w:val="20"/>
                <w:color w:val="auto"/>
              </w:rPr>
            </w:pPr>
            <w:r>
              <w:rPr>
                <w:rFonts w:ascii="Arial" w:cs="Arial" w:eastAsia="Arial" w:hAnsi="Arial"/>
                <w:sz w:val="18"/>
                <w:szCs w:val="18"/>
                <w:color w:val="auto"/>
                <w:w w:val="98"/>
              </w:rPr>
              <w:t>1.2218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December 31, 2016</w:t>
            </w:r>
          </w:p>
        </w:tc>
        <w:tc>
          <w:tcPr>
            <w:tcW w:w="4320" w:type="dxa"/>
            <w:vAlign w:val="bottom"/>
            <w:gridSpan w:val="2"/>
          </w:tcPr>
          <w:p>
            <w:pPr>
              <w:ind w:left="3760"/>
              <w:spacing w:after="0" w:line="202" w:lineRule="exact"/>
              <w:rPr>
                <w:sz w:val="20"/>
                <w:szCs w:val="20"/>
                <w:color w:val="auto"/>
              </w:rPr>
            </w:pPr>
            <w:r>
              <w:rPr>
                <w:rFonts w:ascii="Arial" w:cs="Arial" w:eastAsia="Arial" w:hAnsi="Arial"/>
                <w:sz w:val="18"/>
                <w:szCs w:val="18"/>
                <w:color w:val="auto"/>
                <w:w w:val="98"/>
              </w:rPr>
              <w:t>1.2708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1.2222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31, 2017</w:t>
            </w:r>
          </w:p>
        </w:tc>
        <w:tc>
          <w:tcPr>
            <w:tcW w:w="4320" w:type="dxa"/>
            <w:vAlign w:val="bottom"/>
            <w:gridSpan w:val="2"/>
            <w:shd w:val="clear" w:color="auto" w:fill="CCEEFF"/>
          </w:tcPr>
          <w:p>
            <w:pPr>
              <w:ind w:left="3760"/>
              <w:spacing w:after="0" w:line="202" w:lineRule="exact"/>
              <w:rPr>
                <w:sz w:val="20"/>
                <w:szCs w:val="20"/>
                <w:color w:val="auto"/>
              </w:rPr>
            </w:pPr>
            <w:r>
              <w:rPr>
                <w:rFonts w:ascii="Arial" w:cs="Arial" w:eastAsia="Arial" w:hAnsi="Arial"/>
                <w:sz w:val="18"/>
                <w:szCs w:val="18"/>
                <w:color w:val="auto"/>
                <w:w w:val="98"/>
              </w:rPr>
              <w:t>1.2118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February 2017 (through February 24)</w:t>
            </w:r>
          </w:p>
        </w:tc>
        <w:tc>
          <w:tcPr>
            <w:tcW w:w="4320" w:type="dxa"/>
            <w:vAlign w:val="bottom"/>
            <w:gridSpan w:val="2"/>
          </w:tcPr>
          <w:p>
            <w:pPr>
              <w:ind w:left="3760"/>
              <w:spacing w:after="0"/>
              <w:rPr>
                <w:sz w:val="20"/>
                <w:szCs w:val="20"/>
                <w:color w:val="auto"/>
              </w:rPr>
            </w:pPr>
            <w:r>
              <w:rPr>
                <w:rFonts w:ascii="Arial" w:cs="Arial" w:eastAsia="Arial" w:hAnsi="Arial"/>
                <w:sz w:val="18"/>
                <w:szCs w:val="18"/>
                <w:color w:val="auto"/>
                <w:w w:val="98"/>
              </w:rPr>
              <w:t>1.2428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424"/>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500" w:type="dxa"/>
            <w:vAlign w:val="bottom"/>
          </w:tcPr>
          <w:p>
            <w:pPr>
              <w:jc w:val="right"/>
              <w:ind w:right="2432"/>
              <w:spacing w:after="0"/>
              <w:rPr>
                <w:sz w:val="20"/>
                <w:szCs w:val="20"/>
                <w:color w:val="auto"/>
              </w:rPr>
            </w:pPr>
            <w:r>
              <w:rPr>
                <w:rFonts w:ascii="Arial" w:cs="Arial" w:eastAsia="Arial" w:hAnsi="Arial"/>
                <w:sz w:val="18"/>
                <w:szCs w:val="18"/>
                <w:color w:val="auto"/>
              </w:rPr>
              <w:t>56</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c>
          <w:tcPr>
            <w:tcW w:w="35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PRICE RANGE OF OUR ORDINARY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have been trading on AIM under the symbol "VRP" since September 19, 2006.</w:t>
      </w:r>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following table presents, for the periods indicated, the reported high and low sale prices of our ordinary shares on AIM in pounds sterling and U.S. dollars. On February 10, 2017, we effected a 50-for-one share consolidation. Except for the price information presented for the time period after February 10, 2017, the price information in the table below does not reflect the share consolidation. Price per ordinary share in U.S. dollars amounts below have been translated into U.S. dollars at the noon buying rate of the Federal Reserve Bank of New York on February 24, 2017 of £1.00 to $1.2499.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rPr>
              <w:t>Price Per Ordinary</w:t>
            </w:r>
          </w:p>
        </w:tc>
        <w:tc>
          <w:tcPr>
            <w:tcW w:w="160" w:type="dxa"/>
            <w:vAlign w:val="bottom"/>
          </w:tcPr>
          <w:p>
            <w:pPr>
              <w:spacing w:after="0"/>
              <w:rPr>
                <w:sz w:val="14"/>
                <w:szCs w:val="14"/>
                <w:color w:val="auto"/>
              </w:rPr>
            </w:pPr>
          </w:p>
        </w:tc>
        <w:tc>
          <w:tcPr>
            <w:tcW w:w="3000" w:type="dxa"/>
            <w:vAlign w:val="bottom"/>
            <w:gridSpan w:val="6"/>
          </w:tcPr>
          <w:p>
            <w:pPr>
              <w:ind w:left="200"/>
              <w:spacing w:after="0"/>
              <w:rPr>
                <w:sz w:val="20"/>
                <w:szCs w:val="20"/>
                <w:color w:val="auto"/>
              </w:rPr>
            </w:pPr>
            <w:r>
              <w:rPr>
                <w:rFonts w:ascii="Arial" w:cs="Arial" w:eastAsia="Arial" w:hAnsi="Arial"/>
                <w:sz w:val="14"/>
                <w:szCs w:val="14"/>
                <w:b w:val="1"/>
                <w:bCs w:val="1"/>
                <w:color w:val="auto"/>
              </w:rPr>
              <w:t>Price Per Ordinary</w:t>
            </w:r>
          </w:p>
        </w:tc>
      </w:tr>
      <w:tr>
        <w:trPr>
          <w:trHeight w:val="175"/>
        </w:trPr>
        <w:tc>
          <w:tcPr>
            <w:tcW w:w="11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1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Share £</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Share $</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0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High</w:t>
            </w:r>
          </w:p>
        </w:tc>
        <w:tc>
          <w:tcPr>
            <w:tcW w:w="5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3"/>
                <w:szCs w:val="13"/>
                <w:color w:val="auto"/>
              </w:rPr>
            </w:pPr>
          </w:p>
        </w:tc>
        <w:tc>
          <w:tcPr>
            <w:tcW w:w="1120" w:type="dxa"/>
            <w:vAlign w:val="bottom"/>
            <w:gridSpan w:val="3"/>
          </w:tcPr>
          <w:p>
            <w:pPr>
              <w:ind w:left="220"/>
              <w:spacing w:after="0" w:line="155" w:lineRule="exact"/>
              <w:rPr>
                <w:sz w:val="20"/>
                <w:szCs w:val="20"/>
                <w:color w:val="auto"/>
              </w:rPr>
            </w:pPr>
            <w:r>
              <w:rPr>
                <w:rFonts w:ascii="Arial" w:cs="Arial" w:eastAsia="Arial" w:hAnsi="Arial"/>
                <w:sz w:val="14"/>
                <w:szCs w:val="14"/>
                <w:b w:val="1"/>
                <w:bCs w:val="1"/>
                <w:color w:val="auto"/>
              </w:rPr>
              <w:t>High</w:t>
            </w:r>
          </w:p>
        </w:tc>
        <w:tc>
          <w:tcPr>
            <w:tcW w:w="5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spacing w:after="0"/>
              <w:rPr>
                <w:sz w:val="13"/>
                <w:szCs w:val="13"/>
                <w:color w:val="auto"/>
              </w:rPr>
            </w:pPr>
          </w:p>
        </w:tc>
      </w:tr>
      <w:tr>
        <w:trPr>
          <w:trHeight w:val="196"/>
        </w:trPr>
        <w:tc>
          <w:tcPr>
            <w:tcW w:w="116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jc w:val="right"/>
              <w:ind w:right="4992"/>
              <w:spacing w:after="0" w:line="202" w:lineRule="exact"/>
              <w:rPr>
                <w:sz w:val="20"/>
                <w:szCs w:val="20"/>
                <w:color w:val="auto"/>
              </w:rPr>
            </w:pPr>
            <w:r>
              <w:rPr>
                <w:rFonts w:ascii="Arial" w:cs="Arial" w:eastAsia="Arial" w:hAnsi="Arial"/>
                <w:sz w:val="18"/>
                <w:szCs w:val="18"/>
                <w:color w:val="auto"/>
              </w:rPr>
              <w:t>2012</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0.0552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0.0259</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0.0690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0.0324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jc w:val="right"/>
              <w:ind w:right="4992"/>
              <w:spacing w:after="0" w:line="202" w:lineRule="exact"/>
              <w:rPr>
                <w:sz w:val="20"/>
                <w:szCs w:val="20"/>
                <w:color w:val="auto"/>
              </w:rPr>
            </w:pPr>
            <w:r>
              <w:rPr>
                <w:rFonts w:ascii="Arial" w:cs="Arial" w:eastAsia="Arial" w:hAnsi="Arial"/>
                <w:sz w:val="18"/>
                <w:szCs w:val="18"/>
                <w:color w:val="auto"/>
                <w:w w:val="89"/>
              </w:rPr>
              <w:t>2013</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0.0516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0.0175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0.0645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0.0219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jc w:val="right"/>
              <w:ind w:right="4992"/>
              <w:spacing w:after="0" w:line="202" w:lineRule="exact"/>
              <w:rPr>
                <w:sz w:val="20"/>
                <w:szCs w:val="20"/>
                <w:color w:val="auto"/>
              </w:rPr>
            </w:pPr>
            <w:r>
              <w:rPr>
                <w:rFonts w:ascii="Arial" w:cs="Arial" w:eastAsia="Arial" w:hAnsi="Arial"/>
                <w:sz w:val="18"/>
                <w:szCs w:val="18"/>
                <w:color w:val="auto"/>
              </w:rPr>
              <w:t>2014</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0.0437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0.0105</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0.0131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jc w:val="right"/>
              <w:ind w:right="4992"/>
              <w:spacing w:after="0" w:line="202" w:lineRule="exact"/>
              <w:rPr>
                <w:sz w:val="20"/>
                <w:szCs w:val="20"/>
                <w:color w:val="auto"/>
              </w:rPr>
            </w:pPr>
            <w:r>
              <w:rPr>
                <w:rFonts w:ascii="Arial" w:cs="Arial" w:eastAsia="Arial" w:hAnsi="Arial"/>
                <w:sz w:val="18"/>
                <w:szCs w:val="18"/>
                <w:color w:val="auto"/>
                <w:w w:val="89"/>
              </w:rPr>
              <w:t>2015</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0.0672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0.0120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0.0840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0.0150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jc w:val="right"/>
              <w:ind w:right="4992"/>
              <w:spacing w:after="0" w:line="202" w:lineRule="exact"/>
              <w:rPr>
                <w:sz w:val="20"/>
                <w:szCs w:val="20"/>
                <w:color w:val="auto"/>
              </w:rPr>
            </w:pPr>
            <w:r>
              <w:rPr>
                <w:rFonts w:ascii="Arial" w:cs="Arial" w:eastAsia="Arial" w:hAnsi="Arial"/>
                <w:sz w:val="18"/>
                <w:szCs w:val="18"/>
                <w:color w:val="auto"/>
              </w:rPr>
              <w:t>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0.0524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0.0217</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0.0655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0.0271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 (through February 10)</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0.0338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0.0295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0.0369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2017 (February 11 through March 1)</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1.5000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1.2400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1.8749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1.5499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1160" w:type="dxa"/>
            <w:vAlign w:val="bottom"/>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First Quarter 2014</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0.0437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0.0223</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0.0279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2014</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0.0238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0.0120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0.0297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0.0150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Third Quarter 2014</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0.0133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0.0107</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0.0166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0.0134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2014</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0.0173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0.0105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0.0216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0.0131</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First Quarter 2015</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0.0293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0.0120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0.0366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0.0150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2015</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0.0672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0.0248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0.0840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0.0310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Third Quarter 2015</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0.0535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0.0393</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0.0669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0.0491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2015</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0.0455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0.0260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0.0569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0.0325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First Quarter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0.0238</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0.0540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0.0297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0.0283</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0.0466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0.0354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Third Quarter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0.0345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0.0295</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0.0431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0.0369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0.0420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0.0300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0.0525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0.0375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First Quarter 2017 (through February 10)</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0.0338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0.0295</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0.0422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0.0369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2017 (February 11 through March 1)</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1.5000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1.2400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1.8749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1.5499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19"/>
        </w:trPr>
        <w:tc>
          <w:tcPr>
            <w:tcW w:w="6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Most Recent Six Months: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0.0320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0.0315</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0.0394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October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0.0420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0.0316</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0.0525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0.0395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2016</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0.0410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0.0331</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0.0512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0.0414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December 2016</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0.0357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0.0300</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0.0446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0.0375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2017</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0.0338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0.0298</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0.0422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0.0369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6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February 1, 2017 to February 10, 2017</w:t>
            </w:r>
          </w:p>
        </w:tc>
        <w:tc>
          <w:tcPr>
            <w:tcW w:w="740" w:type="dxa"/>
            <w:vAlign w:val="bottom"/>
          </w:tcPr>
          <w:p>
            <w:pPr>
              <w:ind w:left="200"/>
              <w:spacing w:after="0" w:line="202" w:lineRule="exact"/>
              <w:rPr>
                <w:sz w:val="20"/>
                <w:szCs w:val="20"/>
                <w:color w:val="auto"/>
              </w:rPr>
            </w:pPr>
            <w:r>
              <w:rPr>
                <w:rFonts w:ascii="Arial" w:cs="Arial" w:eastAsia="Arial" w:hAnsi="Arial"/>
                <w:sz w:val="18"/>
                <w:szCs w:val="18"/>
                <w:color w:val="auto"/>
                <w:w w:val="94"/>
              </w:rPr>
              <w:t>0.0300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0.0295</w:t>
            </w:r>
          </w:p>
        </w:tc>
        <w:tc>
          <w:tcPr>
            <w:tcW w:w="9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4"/>
              </w:rPr>
              <w:t>0.0375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w w:val="94"/>
              </w:rPr>
              <w:t>0.0369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February 11, 2017 to February 28, 2017</w:t>
            </w:r>
          </w:p>
        </w:tc>
        <w:tc>
          <w:tcPr>
            <w:tcW w:w="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1.5000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1.2400</w:t>
            </w:r>
          </w:p>
        </w:tc>
        <w:tc>
          <w:tcPr>
            <w:tcW w:w="9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1.8749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1.5499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4"/>
        </w:trPr>
        <w:tc>
          <w:tcPr>
            <w:tcW w:w="6620" w:type="dxa"/>
            <w:vAlign w:val="bottom"/>
            <w:gridSpan w:val="2"/>
          </w:tcPr>
          <w:p>
            <w:pPr>
              <w:ind w:left="1140"/>
              <w:spacing w:after="0"/>
              <w:rPr>
                <w:sz w:val="20"/>
                <w:szCs w:val="20"/>
                <w:color w:val="auto"/>
              </w:rPr>
            </w:pPr>
            <w:r>
              <w:rPr>
                <w:rFonts w:ascii="Arial" w:cs="Arial" w:eastAsia="Arial" w:hAnsi="Arial"/>
                <w:sz w:val="18"/>
                <w:szCs w:val="18"/>
                <w:color w:val="auto"/>
              </w:rPr>
              <w:t>March 1, 2017</w:t>
            </w:r>
          </w:p>
        </w:tc>
        <w:tc>
          <w:tcPr>
            <w:tcW w:w="740" w:type="dxa"/>
            <w:vAlign w:val="bottom"/>
          </w:tcPr>
          <w:p>
            <w:pPr>
              <w:ind w:left="200"/>
              <w:spacing w:after="0"/>
              <w:rPr>
                <w:sz w:val="20"/>
                <w:szCs w:val="20"/>
                <w:color w:val="auto"/>
              </w:rPr>
            </w:pPr>
            <w:r>
              <w:rPr>
                <w:rFonts w:ascii="Arial" w:cs="Arial" w:eastAsia="Arial" w:hAnsi="Arial"/>
                <w:sz w:val="18"/>
                <w:szCs w:val="18"/>
                <w:color w:val="auto"/>
                <w:w w:val="94"/>
              </w:rPr>
              <w:t>1.4008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4"/>
              </w:rPr>
              <w:t>1.4008</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w w:val="94"/>
              </w:rPr>
              <w:t>1.7509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4"/>
              </w:rPr>
              <w:t>1.7509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bl>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 2017, the last reported sale price of our ordinary shares on AIM was £ per share ($ per ordinary share based on the exchange rate set forth above).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5420" w:type="dxa"/>
            <w:vAlign w:val="bottom"/>
            <w:gridSpan w:val="2"/>
          </w:tcPr>
          <w:p>
            <w:pPr>
              <w:ind w:left="3460"/>
              <w:spacing w:after="0"/>
              <w:rPr>
                <w:sz w:val="20"/>
                <w:szCs w:val="20"/>
                <w:color w:val="auto"/>
              </w:rPr>
            </w:pPr>
            <w:r>
              <w:rPr>
                <w:rFonts w:ascii="Arial" w:cs="Arial" w:eastAsia="Arial" w:hAnsi="Arial"/>
                <w:sz w:val="18"/>
                <w:szCs w:val="18"/>
                <w:b w:val="1"/>
                <w:bCs w:val="1"/>
                <w:color w:val="auto"/>
              </w:rPr>
              <w:t>USE OF PROCEEDS</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6800" w:type="dxa"/>
            <w:vAlign w:val="bottom"/>
            <w:gridSpan w:val="3"/>
          </w:tcPr>
          <w:p>
            <w:pPr>
              <w:spacing w:after="0"/>
              <w:rPr>
                <w:sz w:val="20"/>
                <w:szCs w:val="20"/>
                <w:color w:val="auto"/>
              </w:rPr>
            </w:pPr>
            <w:r>
              <w:rPr>
                <w:rFonts w:ascii="Arial" w:cs="Arial" w:eastAsia="Arial" w:hAnsi="Arial"/>
                <w:sz w:val="18"/>
                <w:szCs w:val="18"/>
                <w:color w:val="auto"/>
              </w:rPr>
              <w:t>We estimate that the net proceeds to us from this offering will be approximately $</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million (or approximately $</w:t>
            </w:r>
          </w:p>
        </w:tc>
        <w:tc>
          <w:tcPr>
            <w:tcW w:w="1440" w:type="dxa"/>
            <w:vAlign w:val="bottom"/>
          </w:tcPr>
          <w:p>
            <w:pPr>
              <w:ind w:left="60"/>
              <w:spacing w:after="0"/>
              <w:rPr>
                <w:sz w:val="20"/>
                <w:szCs w:val="20"/>
                <w:color w:val="auto"/>
              </w:rPr>
            </w:pPr>
            <w:r>
              <w:rPr>
                <w:rFonts w:ascii="Arial" w:cs="Arial" w:eastAsia="Arial" w:hAnsi="Arial"/>
                <w:sz w:val="18"/>
                <w:szCs w:val="18"/>
                <w:color w:val="auto"/>
              </w:rPr>
              <w:t>million if the</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underwriters exercise in full their option to purchase an additional</w:t>
            </w:r>
          </w:p>
        </w:tc>
        <w:tc>
          <w:tcPr>
            <w:tcW w:w="4400" w:type="dxa"/>
            <w:vAlign w:val="bottom"/>
            <w:gridSpan w:val="3"/>
          </w:tcPr>
          <w:p>
            <w:pPr>
              <w:ind w:left="400"/>
              <w:spacing w:after="0" w:line="202" w:lineRule="exact"/>
              <w:rPr>
                <w:sz w:val="20"/>
                <w:szCs w:val="20"/>
                <w:color w:val="auto"/>
              </w:rPr>
            </w:pPr>
            <w:r>
              <w:rPr>
                <w:rFonts w:ascii="Arial" w:cs="Arial" w:eastAsia="Arial" w:hAnsi="Arial"/>
                <w:sz w:val="18"/>
                <w:szCs w:val="18"/>
                <w:color w:val="auto"/>
                <w:w w:val="97"/>
              </w:rPr>
              <w:t>ADSs), assuming an initial public offering price of $</w:t>
            </w:r>
          </w:p>
        </w:tc>
        <w:tc>
          <w:tcPr>
            <w:tcW w:w="1440" w:type="dxa"/>
            <w:vAlign w:val="bottom"/>
          </w:tcPr>
          <w:p>
            <w:pPr>
              <w:ind w:left="740"/>
              <w:spacing w:after="0" w:line="202" w:lineRule="exact"/>
              <w:rPr>
                <w:sz w:val="20"/>
                <w:szCs w:val="20"/>
                <w:color w:val="auto"/>
              </w:rPr>
            </w:pPr>
            <w:r>
              <w:rPr>
                <w:rFonts w:ascii="Arial" w:cs="Arial" w:eastAsia="Arial" w:hAnsi="Arial"/>
                <w:sz w:val="18"/>
                <w:szCs w:val="18"/>
                <w:color w:val="auto"/>
                <w:w w:val="93"/>
              </w:rPr>
              <w:t>per ADS,</w:t>
            </w:r>
          </w:p>
        </w:tc>
      </w:tr>
      <w:tr>
        <w:trPr>
          <w:trHeight w:val="203"/>
        </w:trPr>
        <w:tc>
          <w:tcPr>
            <w:tcW w:w="8360" w:type="dxa"/>
            <w:vAlign w:val="bottom"/>
            <w:gridSpan w:val="4"/>
          </w:tcPr>
          <w:p>
            <w:pPr>
              <w:spacing w:after="0" w:line="202" w:lineRule="exact"/>
              <w:rPr>
                <w:sz w:val="20"/>
                <w:szCs w:val="20"/>
                <w:color w:val="auto"/>
              </w:rPr>
            </w:pPr>
            <w:r>
              <w:rPr>
                <w:rFonts w:ascii="Arial" w:cs="Arial" w:eastAsia="Arial" w:hAnsi="Arial"/>
                <w:sz w:val="18"/>
                <w:szCs w:val="18"/>
                <w:color w:val="auto"/>
              </w:rPr>
              <w:t>which reflects the last reported sale price of our ordinary shares on AIM and the exchange rate on</w:t>
            </w:r>
          </w:p>
        </w:tc>
        <w:tc>
          <w:tcPr>
            <w:tcW w:w="29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 2017, after deducting the</w:t>
            </w:r>
          </w:p>
        </w:tc>
      </w:tr>
      <w:tr>
        <w:trPr>
          <w:trHeight w:val="211"/>
        </w:trPr>
        <w:tc>
          <w:tcPr>
            <w:tcW w:w="8360" w:type="dxa"/>
            <w:vAlign w:val="bottom"/>
            <w:gridSpan w:val="4"/>
          </w:tcPr>
          <w:p>
            <w:pPr>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Each $1.00 increase or decrease in the assumed initial public offering price per ADS would increase or decrease our net proceeds by</w:t>
      </w:r>
    </w:p>
    <w:p>
      <w:pPr>
        <w:jc w:val="both"/>
        <w:ind w:right="100" w:firstLine="8"/>
        <w:spacing w:after="0" w:line="264" w:lineRule="auto"/>
        <w:tabs>
          <w:tab w:leader="none" w:pos="879" w:val="left"/>
        </w:tabs>
        <w:numPr>
          <w:ilvl w:val="0"/>
          <w:numId w:val="41"/>
        </w:numPr>
        <w:rPr>
          <w:rFonts w:ascii="Arial" w:cs="Arial" w:eastAsia="Arial" w:hAnsi="Arial"/>
          <w:sz w:val="16"/>
          <w:szCs w:val="16"/>
          <w:color w:val="auto"/>
        </w:rPr>
      </w:pPr>
      <w:r>
        <w:rPr>
          <w:rFonts w:ascii="Arial" w:cs="Arial" w:eastAsia="Arial" w:hAnsi="Arial"/>
          <w:sz w:val="16"/>
          <w:szCs w:val="16"/>
          <w:color w:val="auto"/>
        </w:rPr>
        <w:t>million after deducting the estimated underwriting discounts and commissions and assuming that the number of ADS offered by us, as set forth on the cover of this prospectus, remains the same. An increase or decrease of 1,000,000 ADSs in the number of ADSs offered by us, as</w:t>
      </w:r>
    </w:p>
    <w:p>
      <w:pPr>
        <w:ind w:right="220"/>
        <w:spacing w:after="0" w:line="239" w:lineRule="auto"/>
        <w:rPr>
          <w:sz w:val="20"/>
          <w:szCs w:val="20"/>
          <w:color w:val="auto"/>
        </w:rPr>
      </w:pPr>
      <w:r>
        <w:rPr>
          <w:rFonts w:ascii="Arial" w:cs="Arial" w:eastAsia="Arial" w:hAnsi="Arial"/>
          <w:sz w:val="18"/>
          <w:szCs w:val="18"/>
          <w:color w:val="auto"/>
        </w:rPr>
        <w:t>set forth on the cover page of this prospectus, would increase or decrease our net proceeds by approximately $ million after deducting the estimated underwriting discounts and commissions and assuming no change in the assumed initial public offering price per ADS.</w:t>
      </w:r>
    </w:p>
    <w:p>
      <w:pPr>
        <w:spacing w:after="0" w:line="209"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We intend to use the net proceeds from this offering, together with our existing cash and cash equivalents, to fund our planned clinical trials of RPL554 for the treatment of COPD and CF and the remainder to fund our other current and future research and development activities and for working capital and other general corporate purposes.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costs necessary to develop RPL554 and other product candidates can be difficult.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RPL554 or other product candidates and any unforeseen cash needs. As a result, our management will retain broad discretion over the allocation of the net proceeds from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Based on our planned use of the net proceeds of this offering and our current cash and cash equivalents, we estimate that such funds will be</w:t>
      </w:r>
    </w:p>
    <w:p>
      <w:pPr>
        <w:ind w:right="280"/>
        <w:spacing w:after="0" w:line="239" w:lineRule="auto"/>
        <w:rPr>
          <w:sz w:val="20"/>
          <w:szCs w:val="20"/>
          <w:color w:val="auto"/>
        </w:rPr>
      </w:pPr>
      <w:r>
        <w:rPr>
          <w:rFonts w:ascii="Arial" w:cs="Arial" w:eastAsia="Arial" w:hAnsi="Arial"/>
          <w:sz w:val="18"/>
          <w:szCs w:val="18"/>
          <w:color w:val="auto"/>
        </w:rPr>
        <w:t>sufficient to enable us to fund our operating expenses and capital expenditure requirements through . We have based this estimate on assumptions that may prove to be incorrect, and we could use our available capital resources sooner than we currently expect.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and certificates of deposit.</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table below sets forth our cash and cash equivalents and capitalization as of December 31, 2016 derived from our Annual Consolidated Financial Statements included elsewhere in this prospectus:</w:t>
      </w:r>
    </w:p>
    <w:p>
      <w:pPr>
        <w:spacing w:after="0" w:line="86"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on an actual basis; and</w:t>
      </w:r>
    </w:p>
    <w:p>
      <w:pPr>
        <w:sectPr>
          <w:pgSz w:w="11900" w:h="16838" w:orient="portrait"/>
          <w:cols w:equalWidth="0" w:num="1">
            <w:col w:w="11440"/>
          </w:cols>
          <w:pgMar w:left="240" w:top="143" w:right="219" w:bottom="1440" w:gutter="0" w:footer="0" w:header="0"/>
        </w:sectPr>
      </w:pPr>
    </w:p>
    <w:p>
      <w:pPr>
        <w:spacing w:after="0" w:line="17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an as adjusted basis to give effect to the issuance and sale of ADSs in this offering at the assumed initial public offering price of $ per ADS, which reflects the last reported sale price of our ordinary shares on AIM and the exchange rate on</w:t>
      </w:r>
    </w:p>
    <w:p>
      <w:pPr>
        <w:spacing w:after="0" w:line="1" w:lineRule="exact"/>
        <w:rPr>
          <w:sz w:val="20"/>
          <w:szCs w:val="20"/>
          <w:color w:val="auto"/>
        </w:rPr>
      </w:pPr>
    </w:p>
    <w:p>
      <w:pPr>
        <w:sectPr>
          <w:pgSz w:w="11900" w:h="16838" w:orient="portrait"/>
          <w:cols w:equalWidth="0" w:num="2">
            <w:col w:w="620" w:space="460"/>
            <w:col w:w="10360"/>
          </w:cols>
          <w:pgMar w:left="240" w:top="143" w:right="219" w:bottom="1440" w:gutter="0" w:footer="0" w:header="0"/>
          <w:type w:val="continuous"/>
        </w:sectPr>
      </w:pPr>
    </w:p>
    <w:p>
      <w:pPr>
        <w:ind w:left="2500"/>
        <w:spacing w:after="0" w:line="226" w:lineRule="auto"/>
        <w:rPr>
          <w:sz w:val="20"/>
          <w:szCs w:val="20"/>
          <w:color w:val="auto"/>
        </w:rPr>
      </w:pPr>
      <w:r>
        <w:rPr>
          <w:rFonts w:ascii="Arial" w:cs="Arial" w:eastAsia="Arial" w:hAnsi="Arial"/>
          <w:sz w:val="18"/>
          <w:szCs w:val="18"/>
          <w:color w:val="auto"/>
        </w:rPr>
        <w:t>, 2017, after deducting the estimated underwriting discounts and commissions and estimated offering expenses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payable by us.</w:t>
      </w:r>
    </w:p>
    <w:p>
      <w:pPr>
        <w:spacing w:after="0" w:line="212"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You should read this table in conjunction with our Annual Consolidated Financial Statements included elsewhere in this prospectus and "Exchange Rate Information," "Use of Proceeds," "Selected Consolidated Financial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20" w:type="dxa"/>
            <w:vAlign w:val="bottom"/>
            <w:gridSpan w:val="10"/>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Actual</w:t>
            </w: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3"/>
          </w:tcPr>
          <w:p>
            <w:pPr>
              <w:jc w:val="right"/>
              <w:ind w:right="380"/>
              <w:spacing w:after="0" w:line="183"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21"/>
                <w:szCs w:val="21"/>
                <w:b w:val="1"/>
                <w:bCs w:val="1"/>
                <w:color w:val="auto"/>
                <w:vertAlign w:val="superscript"/>
              </w:rPr>
              <w:t>(1)</w:t>
            </w:r>
          </w:p>
        </w:tc>
        <w:tc>
          <w:tcPr>
            <w:tcW w:w="1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39,785</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49,083</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1140"/>
              <w:spacing w:after="0"/>
              <w:rPr>
                <w:sz w:val="20"/>
                <w:szCs w:val="20"/>
                <w:color w:val="auto"/>
              </w:rPr>
            </w:pPr>
            <w:r>
              <w:rPr>
                <w:rFonts w:ascii="Arial" w:cs="Arial" w:eastAsia="Arial" w:hAnsi="Arial"/>
                <w:sz w:val="18"/>
                <w:szCs w:val="18"/>
                <w:color w:val="auto"/>
              </w:rPr>
              <w:t>Derivative financial instrument</w:t>
            </w: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gridSpan w:val="2"/>
            <w:vMerge w:val="continue"/>
          </w:tcPr>
          <w:p>
            <w:pPr>
              <w:spacing w:after="0"/>
              <w:rPr>
                <w:sz w:val="15"/>
                <w:szCs w:val="15"/>
                <w:color w:val="auto"/>
              </w:rPr>
            </w:pPr>
          </w:p>
        </w:tc>
        <w:tc>
          <w:tcPr>
            <w:tcW w:w="144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8"/>
                <w:szCs w:val="18"/>
                <w:color w:val="auto"/>
              </w:rPr>
              <w:t>7,923</w:t>
            </w:r>
          </w:p>
        </w:tc>
        <w:tc>
          <w:tcPr>
            <w:tcW w:w="100" w:type="dxa"/>
            <w:vAlign w:val="bottom"/>
          </w:tcPr>
          <w:p>
            <w:pPr>
              <w:spacing w:after="0"/>
              <w:rPr>
                <w:sz w:val="15"/>
                <w:szCs w:val="15"/>
                <w:color w:val="auto"/>
              </w:rPr>
            </w:pPr>
          </w:p>
        </w:tc>
        <w:tc>
          <w:tcPr>
            <w:tcW w:w="28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8"/>
                <w:szCs w:val="18"/>
                <w:color w:val="auto"/>
              </w:rPr>
              <w:t>9,774</w:t>
            </w:r>
          </w:p>
        </w:tc>
        <w:tc>
          <w:tcPr>
            <w:tcW w:w="100" w:type="dxa"/>
            <w:vAlign w:val="bottom"/>
          </w:tcPr>
          <w:p>
            <w:pPr>
              <w:spacing w:after="0"/>
              <w:rPr>
                <w:sz w:val="15"/>
                <w:szCs w:val="15"/>
                <w:color w:val="auto"/>
              </w:rPr>
            </w:pPr>
          </w:p>
        </w:tc>
        <w:tc>
          <w:tcPr>
            <w:tcW w:w="380" w:type="dxa"/>
            <w:vAlign w:val="bottom"/>
            <w:gridSpan w:val="2"/>
          </w:tcPr>
          <w:p>
            <w:pPr>
              <w:jc w:val="right"/>
              <w:ind w:right="240"/>
              <w:spacing w:after="0" w:line="183"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8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60" w:type="dxa"/>
            <w:vAlign w:val="bottom"/>
          </w:tcPr>
          <w:p>
            <w:pPr>
              <w:ind w:left="160"/>
              <w:spacing w:after="0" w:line="202" w:lineRule="exact"/>
              <w:rPr>
                <w:sz w:val="20"/>
                <w:szCs w:val="20"/>
                <w:color w:val="auto"/>
              </w:rPr>
            </w:pPr>
            <w:r>
              <w:rPr>
                <w:rFonts w:ascii="Arial" w:cs="Arial" w:eastAsia="Arial" w:hAnsi="Arial"/>
                <w:sz w:val="18"/>
                <w:szCs w:val="18"/>
                <w:color w:val="auto"/>
              </w:rPr>
              <w:t>Share capital</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2,568</w:t>
            </w:r>
          </w:p>
        </w:tc>
        <w:tc>
          <w:tcPr>
            <w:tcW w:w="100" w:type="dxa"/>
            <w:vAlign w:val="bottom"/>
          </w:tcPr>
          <w:p>
            <w:pPr>
              <w:spacing w:after="0"/>
              <w:rPr>
                <w:sz w:val="17"/>
                <w:szCs w:val="17"/>
                <w:color w:val="auto"/>
              </w:rPr>
            </w:pPr>
          </w:p>
        </w:tc>
        <w:tc>
          <w:tcPr>
            <w:tcW w:w="2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100" w:type="dxa"/>
            <w:vAlign w:val="bottom"/>
          </w:tcPr>
          <w:p>
            <w:pPr>
              <w:spacing w:after="0"/>
              <w:rPr>
                <w:sz w:val="17"/>
                <w:szCs w:val="17"/>
                <w:color w:val="auto"/>
              </w:rPr>
            </w:pPr>
          </w:p>
        </w:tc>
        <w:tc>
          <w:tcPr>
            <w:tcW w:w="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58,527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60" w:type="dxa"/>
            <w:vAlign w:val="bottom"/>
          </w:tcPr>
          <w:p>
            <w:pPr>
              <w:ind w:left="160"/>
              <w:spacing w:after="0" w:line="202" w:lineRule="exact"/>
              <w:rPr>
                <w:sz w:val="20"/>
                <w:szCs w:val="20"/>
                <w:color w:val="auto"/>
              </w:rPr>
            </w:pPr>
            <w:r>
              <w:rPr>
                <w:rFonts w:ascii="Arial" w:cs="Arial" w:eastAsia="Arial" w:hAnsi="Arial"/>
                <w:sz w:val="18"/>
                <w:szCs w:val="18"/>
                <w:color w:val="auto"/>
              </w:rPr>
              <w:t>Share-based payments reserve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(28,728)</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(35,442)</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860" w:type="dxa"/>
            <w:vAlign w:val="bottom"/>
          </w:tcPr>
          <w:p>
            <w:pPr>
              <w:ind w:left="340"/>
              <w:spacing w:after="0" w:line="196" w:lineRule="exact"/>
              <w:rPr>
                <w:sz w:val="20"/>
                <w:szCs w:val="20"/>
                <w:color w:val="auto"/>
              </w:rPr>
            </w:pPr>
            <w:r>
              <w:rPr>
                <w:rFonts w:ascii="Arial" w:cs="Arial" w:eastAsia="Arial" w:hAnsi="Arial"/>
                <w:sz w:val="18"/>
                <w:szCs w:val="18"/>
                <w:color w:val="auto"/>
              </w:rPr>
              <w:t>Total equity</w:t>
            </w:r>
          </w:p>
        </w:tc>
        <w:tc>
          <w:tcPr>
            <w:tcW w:w="1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34,468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capitalization</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42,391</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52,298</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5560" w:type="dxa"/>
            <w:vAlign w:val="bottom"/>
            <w:gridSpan w:val="4"/>
            <w:vMerge w:val="restart"/>
          </w:tcPr>
          <w:p>
            <w:pPr>
              <w:ind w:left="20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5480" w:type="dxa"/>
            <w:vAlign w:val="bottom"/>
            <w:vMerge w:val="restart"/>
          </w:tcPr>
          <w:p>
            <w:pPr>
              <w:ind w:left="300"/>
              <w:spacing w:after="0"/>
              <w:rPr>
                <w:sz w:val="20"/>
                <w:szCs w:val="20"/>
                <w:color w:val="auto"/>
              </w:rPr>
            </w:pPr>
            <w:r>
              <w:rPr>
                <w:rFonts w:ascii="Arial" w:cs="Arial" w:eastAsia="Arial" w:hAnsi="Arial"/>
                <w:sz w:val="14"/>
                <w:szCs w:val="14"/>
                <w:color w:val="auto"/>
              </w:rPr>
              <w:t>per ADS, which reflects the last reported sale price of our ordinary shares on AIM</w:t>
            </w: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5560" w:type="dxa"/>
            <w:vAlign w:val="bottom"/>
            <w:gridSpan w:val="4"/>
            <w:vMerge w:val="continue"/>
          </w:tcPr>
          <w:p>
            <w:pPr>
              <w:spacing w:after="0"/>
              <w:rPr>
                <w:sz w:val="5"/>
                <w:szCs w:val="5"/>
                <w:color w:val="auto"/>
              </w:rPr>
            </w:pPr>
          </w:p>
        </w:tc>
        <w:tc>
          <w:tcPr>
            <w:tcW w:w="5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color w:val="auto"/>
              </w:rPr>
              <w:t>and the exchange rate on</w:t>
            </w:r>
          </w:p>
        </w:tc>
        <w:tc>
          <w:tcPr>
            <w:tcW w:w="860" w:type="dxa"/>
            <w:vAlign w:val="bottom"/>
          </w:tcPr>
          <w:p>
            <w:pPr>
              <w:spacing w:after="0"/>
              <w:rPr>
                <w:sz w:val="14"/>
                <w:szCs w:val="14"/>
                <w:color w:val="auto"/>
              </w:rPr>
            </w:pPr>
          </w:p>
        </w:tc>
        <w:tc>
          <w:tcPr>
            <w:tcW w:w="8260" w:type="dxa"/>
            <w:vAlign w:val="bottom"/>
            <w:gridSpan w:val="2"/>
          </w:tcPr>
          <w:p>
            <w:pPr>
              <w:ind w:left="220"/>
              <w:spacing w:after="0"/>
              <w:rPr>
                <w:sz w:val="20"/>
                <w:szCs w:val="20"/>
                <w:color w:val="auto"/>
              </w:rPr>
            </w:pPr>
            <w:r>
              <w:rPr>
                <w:rFonts w:ascii="Arial" w:cs="Arial" w:eastAsia="Arial" w:hAnsi="Arial"/>
                <w:sz w:val="14"/>
                <w:szCs w:val="14"/>
                <w:color w:val="auto"/>
              </w:rPr>
              <w:t>, 2017, would increase or decrease the as adjusted amount of each of cash and cash equivalents, total equity and total</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color w:val="auto"/>
              </w:rPr>
              <w:t>capitalization by $</w:t>
            </w:r>
          </w:p>
        </w:tc>
        <w:tc>
          <w:tcPr>
            <w:tcW w:w="860" w:type="dxa"/>
            <w:vAlign w:val="bottom"/>
          </w:tcPr>
          <w:p>
            <w:pPr>
              <w:ind w:left="80"/>
              <w:spacing w:after="0"/>
              <w:rPr>
                <w:sz w:val="20"/>
                <w:szCs w:val="20"/>
                <w:color w:val="auto"/>
              </w:rPr>
            </w:pPr>
            <w:r>
              <w:rPr>
                <w:rFonts w:ascii="Arial" w:cs="Arial" w:eastAsia="Arial" w:hAnsi="Arial"/>
                <w:sz w:val="14"/>
                <w:szCs w:val="14"/>
                <w:color w:val="auto"/>
              </w:rPr>
              <w:t>million (£</w:t>
            </w:r>
          </w:p>
        </w:tc>
        <w:tc>
          <w:tcPr>
            <w:tcW w:w="8260" w:type="dxa"/>
            <w:vAlign w:val="bottom"/>
            <w:gridSpan w:val="2"/>
          </w:tcPr>
          <w:p>
            <w:pPr>
              <w:ind w:left="420"/>
              <w:spacing w:after="0"/>
              <w:rPr>
                <w:sz w:val="20"/>
                <w:szCs w:val="20"/>
                <w:color w:val="auto"/>
              </w:rPr>
            </w:pPr>
            <w:r>
              <w:rPr>
                <w:rFonts w:ascii="Arial" w:cs="Arial" w:eastAsia="Arial" w:hAnsi="Arial"/>
                <w:sz w:val="14"/>
                <w:szCs w:val="14"/>
                <w:color w:val="auto"/>
              </w:rPr>
              <w:t>million), assuming the number of ADSs offered by us, as set forth on the cover page of this prospectus, remains the same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1040" w:type="dxa"/>
            <w:vAlign w:val="bottom"/>
            <w:gridSpan w:val="5"/>
          </w:tcPr>
          <w:p>
            <w:pPr>
              <w:ind w:left="200"/>
              <w:spacing w:after="0"/>
              <w:rPr>
                <w:sz w:val="20"/>
                <w:szCs w:val="20"/>
                <w:color w:val="auto"/>
              </w:rPr>
            </w:pPr>
            <w:r>
              <w:rPr>
                <w:rFonts w:ascii="Arial" w:cs="Arial" w:eastAsia="Arial" w:hAnsi="Arial"/>
                <w:sz w:val="14"/>
                <w:szCs w:val="14"/>
                <w:color w:val="auto"/>
              </w:rPr>
              <w:t>and after deducting the estimated underwriting discounts and commissions. An increase or decrease of 1,000,000 in the number of ADSs offered by us, as set forth on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1040" w:type="dxa"/>
            <w:vAlign w:val="bottom"/>
            <w:gridSpan w:val="5"/>
          </w:tcPr>
          <w:p>
            <w:pPr>
              <w:ind w:left="200"/>
              <w:spacing w:after="0"/>
              <w:rPr>
                <w:sz w:val="20"/>
                <w:szCs w:val="20"/>
                <w:color w:val="auto"/>
              </w:rPr>
            </w:pPr>
            <w:r>
              <w:rPr>
                <w:rFonts w:ascii="Arial" w:cs="Arial" w:eastAsia="Arial" w:hAnsi="Arial"/>
                <w:sz w:val="14"/>
                <w:szCs w:val="14"/>
                <w:color w:val="auto"/>
              </w:rPr>
              <w:t>cover page of this prospectus, would increase or decrease the as adjusted amount of each of cash and cash equivalents, total equity and total capitalization by</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600" w:type="dxa"/>
            <w:vAlign w:val="bottom"/>
          </w:tcPr>
          <w:p>
            <w:pPr>
              <w:ind w:left="200"/>
              <w:spacing w:after="0"/>
              <w:rPr>
                <w:sz w:val="20"/>
                <w:szCs w:val="20"/>
                <w:color w:val="auto"/>
              </w:rPr>
            </w:pPr>
            <w:r>
              <w:rPr>
                <w:rFonts w:ascii="Arial" w:cs="Arial" w:eastAsia="Arial" w:hAnsi="Arial"/>
                <w:sz w:val="14"/>
                <w:szCs w:val="14"/>
                <w:color w:val="auto"/>
              </w:rPr>
              <w:t>$</w:t>
            </w:r>
          </w:p>
        </w:tc>
        <w:tc>
          <w:tcPr>
            <w:tcW w:w="1320" w:type="dxa"/>
            <w:vAlign w:val="bottom"/>
          </w:tcPr>
          <w:p>
            <w:pPr>
              <w:ind w:left="320"/>
              <w:spacing w:after="0"/>
              <w:rPr>
                <w:sz w:val="20"/>
                <w:szCs w:val="20"/>
                <w:color w:val="auto"/>
              </w:rPr>
            </w:pPr>
            <w:r>
              <w:rPr>
                <w:rFonts w:ascii="Arial" w:cs="Arial" w:eastAsia="Arial" w:hAnsi="Arial"/>
                <w:sz w:val="14"/>
                <w:szCs w:val="14"/>
                <w:color w:val="auto"/>
              </w:rPr>
              <w:t>million (£</w:t>
            </w:r>
          </w:p>
        </w:tc>
        <w:tc>
          <w:tcPr>
            <w:tcW w:w="9120" w:type="dxa"/>
            <w:vAlign w:val="bottom"/>
            <w:gridSpan w:val="3"/>
          </w:tcPr>
          <w:p>
            <w:pPr>
              <w:ind w:left="220"/>
              <w:spacing w:after="0"/>
              <w:rPr>
                <w:sz w:val="20"/>
                <w:szCs w:val="20"/>
                <w:color w:val="auto"/>
              </w:rPr>
            </w:pPr>
            <w:r>
              <w:rPr>
                <w:rFonts w:ascii="Arial" w:cs="Arial" w:eastAsia="Arial" w:hAnsi="Arial"/>
                <w:sz w:val="14"/>
                <w:szCs w:val="14"/>
                <w:color w:val="auto"/>
              </w:rPr>
              <w:t>million), assuming no change in the assumed initial public offering price per ADS and after deducting the estimated underwriting discounts</w:t>
            </w:r>
          </w:p>
        </w:tc>
        <w:tc>
          <w:tcPr>
            <w:tcW w:w="0" w:type="dxa"/>
            <w:vAlign w:val="bottom"/>
          </w:tcPr>
          <w:p>
            <w:pPr>
              <w:spacing w:after="0"/>
              <w:rPr>
                <w:sz w:val="1"/>
                <w:szCs w:val="1"/>
                <w:color w:val="auto"/>
              </w:rPr>
            </w:pPr>
          </w:p>
        </w:tc>
      </w:tr>
    </w:tbl>
    <w:p>
      <w:pPr>
        <w:ind w:left="540"/>
        <w:spacing w:after="0"/>
        <w:rPr>
          <w:sz w:val="20"/>
          <w:szCs w:val="20"/>
          <w:color w:val="auto"/>
        </w:rPr>
      </w:pPr>
      <w:r>
        <w:rPr>
          <w:rFonts w:ascii="Arial" w:cs="Arial" w:eastAsia="Arial" w:hAnsi="Arial"/>
          <w:sz w:val="14"/>
          <w:szCs w:val="14"/>
          <w:color w:val="auto"/>
        </w:rPr>
        <w:t>and commissions.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w:t>
      </w:r>
    </w:p>
    <w:p>
      <w:pPr>
        <w:spacing w:after="0" w:line="212" w:lineRule="exact"/>
        <w:rPr>
          <w:sz w:val="20"/>
          <w:szCs w:val="20"/>
          <w:color w:val="auto"/>
        </w:rPr>
      </w:pPr>
    </w:p>
    <w:p>
      <w:pPr>
        <w:ind w:left="1080" w:right="140" w:hanging="532"/>
        <w:spacing w:after="0" w:line="183" w:lineRule="auto"/>
        <w:tabs>
          <w:tab w:leader="none" w:pos="108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2,837,333 ordinary shares issuable upon the exercise of share options outstanding as of December 31, 2016 at a weighted average exercise price of £1.87 per share;</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2,298,773 ordinary shares that may be issued under our equity incentive plans as of December 31, 2016; and</w:t>
      </w:r>
    </w:p>
    <w:p>
      <w:pPr>
        <w:spacing w:after="0" w:line="194"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12,646,370 ordinary shares issuable upon the exercise of warrants outstanding as of December 31, 2016 at a weighted average exercise price of £1.7174 per share.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initial public offering price per ADS and our net tangible book value per ADS after this offering.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we had a historical net tangible book value of £32.2 million ($39.7 million), corresponding to a net tangible book value of</w:t>
      </w:r>
    </w:p>
    <w:p>
      <w:pPr>
        <w:jc w:val="both"/>
        <w:ind w:right="160"/>
        <w:spacing w:after="0" w:line="238" w:lineRule="auto"/>
        <w:rPr>
          <w:sz w:val="20"/>
          <w:szCs w:val="20"/>
          <w:color w:val="auto"/>
        </w:rPr>
      </w:pPr>
      <w:r>
        <w:rPr>
          <w:rFonts w:ascii="Arial" w:cs="Arial" w:eastAsia="Arial" w:hAnsi="Arial"/>
          <w:sz w:val="18"/>
          <w:szCs w:val="18"/>
          <w:color w:val="auto"/>
        </w:rPr>
        <w:t>£0.63 per ordinary share ($0.77 per ordinary share) and $ per ADS. Net tangible book value per share represents the amount of our total assets less our total liabilities, excluding goodwill and other intangible assets, divided by the total number of our ordinary shares outstanding as of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color w:val="auto"/>
              </w:rPr>
              <w:t>After giving effect to the sale by us of</w:t>
            </w:r>
          </w:p>
        </w:tc>
        <w:tc>
          <w:tcPr>
            <w:tcW w:w="5860" w:type="dxa"/>
            <w:vAlign w:val="bottom"/>
            <w:gridSpan w:val="3"/>
          </w:tcPr>
          <w:p>
            <w:pPr>
              <w:ind w:left="420"/>
              <w:spacing w:after="0"/>
              <w:rPr>
                <w:sz w:val="20"/>
                <w:szCs w:val="20"/>
                <w:color w:val="auto"/>
              </w:rPr>
            </w:pPr>
            <w:r>
              <w:rPr>
                <w:rFonts w:ascii="Arial" w:cs="Arial" w:eastAsia="Arial" w:hAnsi="Arial"/>
                <w:sz w:val="18"/>
                <w:szCs w:val="18"/>
                <w:color w:val="auto"/>
              </w:rPr>
              <w:t>ADSs in this offering at the assumed initial public offering price of $</w:t>
            </w:r>
          </w:p>
        </w:tc>
        <w:tc>
          <w:tcPr>
            <w:tcW w:w="2080" w:type="dxa"/>
            <w:vAlign w:val="bottom"/>
          </w:tcPr>
          <w:p>
            <w:pPr>
              <w:ind w:left="500"/>
              <w:spacing w:after="0"/>
              <w:rPr>
                <w:sz w:val="20"/>
                <w:szCs w:val="20"/>
                <w:color w:val="auto"/>
              </w:rPr>
            </w:pPr>
            <w:r>
              <w:rPr>
                <w:rFonts w:ascii="Arial" w:cs="Arial" w:eastAsia="Arial" w:hAnsi="Arial"/>
                <w:sz w:val="18"/>
                <w:szCs w:val="18"/>
                <w:color w:val="auto"/>
              </w:rPr>
              <w:t>per ADS, which</w:t>
            </w:r>
          </w:p>
        </w:tc>
      </w:tr>
      <w:tr>
        <w:trPr>
          <w:trHeight w:val="203"/>
        </w:trPr>
        <w:tc>
          <w:tcPr>
            <w:tcW w:w="7480" w:type="dxa"/>
            <w:vAlign w:val="bottom"/>
            <w:gridSpan w:val="3"/>
          </w:tcPr>
          <w:p>
            <w:pPr>
              <w:spacing w:after="0" w:line="202" w:lineRule="exact"/>
              <w:rPr>
                <w:sz w:val="20"/>
                <w:szCs w:val="20"/>
                <w:color w:val="auto"/>
              </w:rPr>
            </w:pPr>
            <w:r>
              <w:rPr>
                <w:rFonts w:ascii="Arial" w:cs="Arial" w:eastAsia="Arial" w:hAnsi="Arial"/>
                <w:sz w:val="18"/>
                <w:szCs w:val="18"/>
                <w:color w:val="auto"/>
              </w:rPr>
              <w:t>reflects the last reported sale price of our ordinary shares on AIM and the exchange rate on</w:t>
            </w:r>
          </w:p>
        </w:tc>
        <w:tc>
          <w:tcPr>
            <w:tcW w:w="3880" w:type="dxa"/>
            <w:vAlign w:val="bottom"/>
            <w:gridSpan w:val="2"/>
          </w:tcPr>
          <w:p>
            <w:pPr>
              <w:ind w:left="1020"/>
              <w:spacing w:after="0" w:line="202" w:lineRule="exact"/>
              <w:rPr>
                <w:sz w:val="20"/>
                <w:szCs w:val="20"/>
                <w:color w:val="auto"/>
              </w:rPr>
            </w:pPr>
            <w:r>
              <w:rPr>
                <w:rFonts w:ascii="Arial" w:cs="Arial" w:eastAsia="Arial" w:hAnsi="Arial"/>
                <w:sz w:val="18"/>
                <w:szCs w:val="18"/>
                <w:color w:val="auto"/>
                <w:w w:val="97"/>
              </w:rPr>
              <w:t>, 2017, after deducting the estimated</w:t>
            </w:r>
          </w:p>
        </w:tc>
      </w:tr>
      <w:tr>
        <w:trPr>
          <w:trHeight w:val="203"/>
        </w:trPr>
        <w:tc>
          <w:tcPr>
            <w:tcW w:w="11360" w:type="dxa"/>
            <w:vAlign w:val="bottom"/>
            <w:gridSpan w:val="5"/>
          </w:tcPr>
          <w:p>
            <w:pPr>
              <w:spacing w:after="0" w:line="202" w:lineRule="exact"/>
              <w:rPr>
                <w:sz w:val="20"/>
                <w:szCs w:val="20"/>
                <w:color w:val="auto"/>
              </w:rPr>
            </w:pPr>
            <w:r>
              <w:rPr>
                <w:rFonts w:ascii="Arial" w:cs="Arial" w:eastAsia="Arial" w:hAnsi="Arial"/>
                <w:sz w:val="18"/>
                <w:szCs w:val="18"/>
                <w:color w:val="auto"/>
              </w:rPr>
              <w:t>underwriting discounts and commissions and estimated offering expenses payable by us, our as adjusted net tangible book value as of</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December 31, 2016 would have been £</w:t>
            </w:r>
          </w:p>
        </w:tc>
        <w:tc>
          <w:tcPr>
            <w:tcW w:w="1520" w:type="dxa"/>
            <w:vAlign w:val="bottom"/>
          </w:tcPr>
          <w:p>
            <w:pPr>
              <w:ind w:left="440"/>
              <w:spacing w:after="0" w:line="202" w:lineRule="exact"/>
              <w:rPr>
                <w:sz w:val="20"/>
                <w:szCs w:val="20"/>
                <w:color w:val="auto"/>
              </w:rPr>
            </w:pPr>
            <w:r>
              <w:rPr>
                <w:rFonts w:ascii="Arial" w:cs="Arial" w:eastAsia="Arial" w:hAnsi="Arial"/>
                <w:sz w:val="18"/>
                <w:szCs w:val="18"/>
                <w:color w:val="auto"/>
              </w:rPr>
              <w:t>million ($</w:t>
            </w:r>
          </w:p>
        </w:tc>
        <w:tc>
          <w:tcPr>
            <w:tcW w:w="2540" w:type="dxa"/>
            <w:vAlign w:val="bottom"/>
          </w:tcPr>
          <w:p>
            <w:pPr>
              <w:ind w:left="400"/>
              <w:spacing w:after="0" w:line="202" w:lineRule="exact"/>
              <w:rPr>
                <w:sz w:val="20"/>
                <w:szCs w:val="20"/>
                <w:color w:val="auto"/>
              </w:rPr>
            </w:pPr>
            <w:r>
              <w:rPr>
                <w:rFonts w:ascii="Arial" w:cs="Arial" w:eastAsia="Arial" w:hAnsi="Arial"/>
                <w:sz w:val="18"/>
                <w:szCs w:val="18"/>
                <w:color w:val="auto"/>
              </w:rPr>
              <w:t>million), representing $</w:t>
            </w:r>
          </w:p>
        </w:tc>
        <w:tc>
          <w:tcPr>
            <w:tcW w:w="38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per ADS. This represents an immediate</w:t>
            </w: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increase in net tangible book value of $</w:t>
            </w:r>
          </w:p>
        </w:tc>
        <w:tc>
          <w:tcPr>
            <w:tcW w:w="58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per ADS, to existing shareholders and an immediate dilution of $</w:t>
            </w:r>
          </w:p>
        </w:tc>
        <w:tc>
          <w:tcPr>
            <w:tcW w:w="2080" w:type="dxa"/>
            <w:vAlign w:val="bottom"/>
          </w:tcPr>
          <w:p>
            <w:pPr>
              <w:ind w:left="240"/>
              <w:spacing w:after="0" w:line="202" w:lineRule="exact"/>
              <w:rPr>
                <w:sz w:val="20"/>
                <w:szCs w:val="20"/>
                <w:color w:val="auto"/>
              </w:rPr>
            </w:pPr>
            <w:r>
              <w:rPr>
                <w:rFonts w:ascii="Arial" w:cs="Arial" w:eastAsia="Arial" w:hAnsi="Arial"/>
                <w:sz w:val="18"/>
                <w:szCs w:val="18"/>
                <w:color w:val="auto"/>
              </w:rPr>
              <w:t>per ADS, to new</w:t>
            </w:r>
          </w:p>
        </w:tc>
      </w:tr>
    </w:tbl>
    <w:p>
      <w:pPr>
        <w:ind w:right="540"/>
        <w:spacing w:after="0" w:line="238" w:lineRule="auto"/>
        <w:rPr>
          <w:sz w:val="20"/>
          <w:szCs w:val="20"/>
          <w:color w:val="auto"/>
        </w:rPr>
      </w:pPr>
      <w:r>
        <w:rPr>
          <w:rFonts w:ascii="Arial" w:cs="Arial" w:eastAsia="Arial" w:hAnsi="Arial"/>
          <w:sz w:val="18"/>
          <w:szCs w:val="18"/>
          <w:color w:val="auto"/>
        </w:rPr>
        <w:t>investors purchasing ADSs in this offering at the assumed initial public offering price. Dilution per ADS to new investors is determined by subtracting as adjusted net tangible book value per ADS after this offering from the assumed initial public offering price per ADS paid by new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dilution to new investors purchasing ADSs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6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Net tangible book value per ADS as of December 31, 2016</w:t>
            </w:r>
          </w:p>
        </w:tc>
        <w:tc>
          <w:tcPr>
            <w:tcW w:w="640" w:type="dxa"/>
            <w:vAlign w:val="bottom"/>
          </w:tcPr>
          <w:p>
            <w:pPr>
              <w:spacing w:after="0"/>
              <w:rPr>
                <w:sz w:val="17"/>
                <w:szCs w:val="17"/>
                <w:color w:val="auto"/>
              </w:rPr>
            </w:pPr>
          </w:p>
        </w:tc>
        <w:tc>
          <w:tcPr>
            <w:tcW w:w="1000" w:type="dxa"/>
            <w:vAlign w:val="bottom"/>
            <w:gridSpan w:val="2"/>
          </w:tcPr>
          <w:p>
            <w:pPr>
              <w:jc w:val="right"/>
              <w:ind w:right="7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8"/>
                <w:szCs w:val="18"/>
                <w:color w:val="auto"/>
                <w:w w:val="98"/>
              </w:rPr>
              <w:t>Increase in net tangible book value per ADS attributable to this offering</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9"/>
              </w:rPr>
              <w:t>As adjusted net tangible book value per ADS after this offering</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Dilution per ADS to new investors in this offering</w:t>
            </w:r>
          </w:p>
        </w:tc>
        <w:tc>
          <w:tcPr>
            <w:tcW w:w="6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415"/>
        </w:trPr>
        <w:tc>
          <w:tcPr>
            <w:tcW w:w="6820" w:type="dxa"/>
            <w:vAlign w:val="bottom"/>
            <w:gridSpan w:val="5"/>
          </w:tcPr>
          <w:p>
            <w:pPr>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4620" w:type="dxa"/>
            <w:vAlign w:val="bottom"/>
            <w:gridSpan w:val="8"/>
          </w:tcPr>
          <w:p>
            <w:pPr>
              <w:ind w:left="80"/>
              <w:spacing w:after="0"/>
              <w:rPr>
                <w:sz w:val="20"/>
                <w:szCs w:val="20"/>
                <w:color w:val="auto"/>
              </w:rPr>
            </w:pPr>
            <w:r>
              <w:rPr>
                <w:rFonts w:ascii="Arial" w:cs="Arial" w:eastAsia="Arial" w:hAnsi="Arial"/>
                <w:sz w:val="18"/>
                <w:szCs w:val="18"/>
                <w:color w:val="auto"/>
              </w:rPr>
              <w:t>ADSs, our as adjusted net tangible book value per ADS</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after this offering would be $</w:t>
            </w:r>
          </w:p>
        </w:tc>
        <w:tc>
          <w:tcPr>
            <w:tcW w:w="7860" w:type="dxa"/>
            <w:vAlign w:val="bottom"/>
            <w:gridSpan w:val="9"/>
          </w:tcPr>
          <w:p>
            <w:pPr>
              <w:ind w:left="620"/>
              <w:spacing w:after="0" w:line="202" w:lineRule="exact"/>
              <w:rPr>
                <w:sz w:val="20"/>
                <w:szCs w:val="20"/>
                <w:color w:val="auto"/>
              </w:rPr>
            </w:pPr>
            <w:r>
              <w:rPr>
                <w:rFonts w:ascii="Arial" w:cs="Arial" w:eastAsia="Arial" w:hAnsi="Arial"/>
                <w:sz w:val="18"/>
                <w:szCs w:val="18"/>
                <w:color w:val="auto"/>
              </w:rPr>
              <w:t>per ADS, representing an immediate increase in as adjusted net tangible book value of $</w:t>
            </w:r>
          </w:p>
        </w:tc>
        <w:tc>
          <w:tcPr>
            <w:tcW w:w="1260" w:type="dxa"/>
            <w:vAlign w:val="bottom"/>
          </w:tcPr>
          <w:p>
            <w:pPr>
              <w:ind w:left="380"/>
              <w:spacing w:after="0" w:line="202" w:lineRule="exact"/>
              <w:rPr>
                <w:sz w:val="20"/>
                <w:szCs w:val="20"/>
                <w:color w:val="auto"/>
              </w:rPr>
            </w:pPr>
            <w:r>
              <w:rPr>
                <w:rFonts w:ascii="Arial" w:cs="Arial" w:eastAsia="Arial" w:hAnsi="Arial"/>
                <w:sz w:val="18"/>
                <w:szCs w:val="18"/>
                <w:color w:val="auto"/>
              </w:rPr>
              <w:t>per ADS,</w:t>
            </w:r>
          </w:p>
        </w:tc>
      </w:tr>
      <w:tr>
        <w:trPr>
          <w:trHeight w:val="203"/>
        </w:trPr>
        <w:tc>
          <w:tcPr>
            <w:tcW w:w="4380" w:type="dxa"/>
            <w:vAlign w:val="bottom"/>
            <w:gridSpan w:val="4"/>
          </w:tcPr>
          <w:p>
            <w:pPr>
              <w:spacing w:after="0" w:line="202" w:lineRule="exact"/>
              <w:rPr>
                <w:sz w:val="20"/>
                <w:szCs w:val="20"/>
                <w:color w:val="auto"/>
              </w:rPr>
            </w:pPr>
            <w:r>
              <w:rPr>
                <w:rFonts w:ascii="Arial" w:cs="Arial" w:eastAsia="Arial" w:hAnsi="Arial"/>
                <w:sz w:val="18"/>
                <w:szCs w:val="18"/>
                <w:color w:val="auto"/>
              </w:rPr>
              <w:t>to existing shareholders and immediate dilution of $</w:t>
            </w:r>
          </w:p>
        </w:tc>
        <w:tc>
          <w:tcPr>
            <w:tcW w:w="7060" w:type="dxa"/>
            <w:vAlign w:val="bottom"/>
            <w:gridSpan w:val="9"/>
          </w:tcPr>
          <w:p>
            <w:pPr>
              <w:ind w:left="360"/>
              <w:spacing w:after="0" w:line="202" w:lineRule="exact"/>
              <w:rPr>
                <w:sz w:val="20"/>
                <w:szCs w:val="20"/>
                <w:color w:val="auto"/>
              </w:rPr>
            </w:pPr>
            <w:r>
              <w:rPr>
                <w:rFonts w:ascii="Arial" w:cs="Arial" w:eastAsia="Arial" w:hAnsi="Arial"/>
                <w:sz w:val="18"/>
                <w:szCs w:val="18"/>
                <w:color w:val="auto"/>
              </w:rPr>
              <w:t>per ADS to new investors participating in this offering, based on an assumed initial</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public offering price of $</w:t>
            </w:r>
          </w:p>
        </w:tc>
        <w:tc>
          <w:tcPr>
            <w:tcW w:w="9120" w:type="dxa"/>
            <w:vAlign w:val="bottom"/>
            <w:gridSpan w:val="10"/>
          </w:tcPr>
          <w:p>
            <w:pPr>
              <w:ind w:left="280"/>
              <w:spacing w:after="0" w:line="202" w:lineRule="exact"/>
              <w:rPr>
                <w:sz w:val="20"/>
                <w:szCs w:val="20"/>
                <w:color w:val="auto"/>
              </w:rPr>
            </w:pPr>
            <w:r>
              <w:rPr>
                <w:rFonts w:ascii="Arial" w:cs="Arial" w:eastAsia="Arial" w:hAnsi="Arial"/>
                <w:sz w:val="18"/>
                <w:szCs w:val="18"/>
                <w:color w:val="auto"/>
              </w:rPr>
              <w:t>per ADS, which reflects the last reported sale price of our ordinary shares on AIM and the exchange rate</w:t>
            </w:r>
          </w:p>
        </w:tc>
      </w:t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on</w:t>
            </w:r>
          </w:p>
        </w:tc>
        <w:tc>
          <w:tcPr>
            <w:tcW w:w="1400" w:type="dxa"/>
            <w:vAlign w:val="bottom"/>
            <w:gridSpan w:val="2"/>
          </w:tcPr>
          <w:p>
            <w:pPr>
              <w:jc w:val="right"/>
              <w:ind w:right="72"/>
              <w:spacing w:after="0"/>
              <w:rPr>
                <w:sz w:val="20"/>
                <w:szCs w:val="20"/>
                <w:color w:val="auto"/>
              </w:rPr>
            </w:pPr>
            <w:r>
              <w:rPr>
                <w:rFonts w:ascii="Arial" w:cs="Arial" w:eastAsia="Arial" w:hAnsi="Arial"/>
                <w:sz w:val="18"/>
                <w:szCs w:val="18"/>
                <w:color w:val="auto"/>
              </w:rPr>
              <w:t>, 2017.</w:t>
            </w:r>
          </w:p>
        </w:tc>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10"/>
        </w:trPr>
        <w:tc>
          <w:tcPr>
            <w:tcW w:w="6820" w:type="dxa"/>
            <w:vAlign w:val="bottom"/>
            <w:gridSpan w:val="5"/>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20" w:type="dxa"/>
            <w:vAlign w:val="bottom"/>
            <w:gridSpan w:val="8"/>
          </w:tcPr>
          <w:p>
            <w:pPr>
              <w:ind w:left="100"/>
              <w:spacing w:after="0"/>
              <w:rPr>
                <w:sz w:val="20"/>
                <w:szCs w:val="20"/>
                <w:color w:val="auto"/>
              </w:rPr>
            </w:pPr>
            <w:r>
              <w:rPr>
                <w:rFonts w:ascii="Arial" w:cs="Arial" w:eastAsia="Arial" w:hAnsi="Arial"/>
                <w:sz w:val="18"/>
                <w:szCs w:val="18"/>
                <w:color w:val="auto"/>
                <w:w w:val="98"/>
              </w:rPr>
              <w:t>per ADS, which reflects the last reported sale price of our</w:t>
            </w:r>
          </w:p>
        </w:tc>
      </w:tr>
      <w:tr>
        <w:trPr>
          <w:trHeight w:val="203"/>
        </w:trPr>
        <w:tc>
          <w:tcPr>
            <w:tcW w:w="4380" w:type="dxa"/>
            <w:vAlign w:val="bottom"/>
            <w:gridSpan w:val="4"/>
          </w:tcPr>
          <w:p>
            <w:pPr>
              <w:spacing w:after="0" w:line="202" w:lineRule="exact"/>
              <w:rPr>
                <w:sz w:val="20"/>
                <w:szCs w:val="20"/>
                <w:color w:val="auto"/>
              </w:rPr>
            </w:pPr>
            <w:r>
              <w:rPr>
                <w:rFonts w:ascii="Arial" w:cs="Arial" w:eastAsia="Arial" w:hAnsi="Arial"/>
                <w:sz w:val="18"/>
                <w:szCs w:val="18"/>
                <w:color w:val="auto"/>
              </w:rPr>
              <w:t>ordinary shares on AIM and the exchange rate on</w:t>
            </w:r>
          </w:p>
        </w:tc>
        <w:tc>
          <w:tcPr>
            <w:tcW w:w="7060" w:type="dxa"/>
            <w:vAlign w:val="bottom"/>
            <w:gridSpan w:val="9"/>
          </w:tcPr>
          <w:p>
            <w:pPr>
              <w:ind w:left="900"/>
              <w:spacing w:after="0" w:line="202" w:lineRule="exact"/>
              <w:rPr>
                <w:sz w:val="20"/>
                <w:szCs w:val="20"/>
                <w:color w:val="auto"/>
              </w:rPr>
            </w:pPr>
            <w:r>
              <w:rPr>
                <w:rFonts w:ascii="Arial" w:cs="Arial" w:eastAsia="Arial" w:hAnsi="Arial"/>
                <w:sz w:val="18"/>
                <w:szCs w:val="18"/>
                <w:color w:val="auto"/>
              </w:rPr>
              <w:t>, 2017, would increase or decrease the as adjusted net tangible book value</w:t>
            </w:r>
          </w:p>
        </w:tc>
      </w:tr>
      <w:tr>
        <w:trPr>
          <w:trHeight w:val="203"/>
        </w:trPr>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after this offering by $</w:t>
            </w:r>
          </w:p>
        </w:tc>
        <w:tc>
          <w:tcPr>
            <w:tcW w:w="5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per ADS and the dilution to new investors in the offering by $</w:t>
            </w:r>
          </w:p>
        </w:tc>
        <w:tc>
          <w:tcPr>
            <w:tcW w:w="100" w:type="dxa"/>
            <w:vAlign w:val="bottom"/>
          </w:tcPr>
          <w:p>
            <w:pPr>
              <w:spacing w:after="0"/>
              <w:rPr>
                <w:sz w:val="17"/>
                <w:szCs w:val="17"/>
                <w:color w:val="auto"/>
              </w:rPr>
            </w:pPr>
          </w:p>
        </w:tc>
        <w:tc>
          <w:tcPr>
            <w:tcW w:w="3880" w:type="dxa"/>
            <w:vAlign w:val="bottom"/>
            <w:gridSpan w:val="6"/>
          </w:tcPr>
          <w:p>
            <w:pPr>
              <w:ind w:left="300"/>
              <w:spacing w:after="0" w:line="202" w:lineRule="exact"/>
              <w:rPr>
                <w:sz w:val="20"/>
                <w:szCs w:val="20"/>
                <w:color w:val="auto"/>
              </w:rPr>
            </w:pPr>
            <w:r>
              <w:rPr>
                <w:rFonts w:ascii="Arial" w:cs="Arial" w:eastAsia="Arial" w:hAnsi="Arial"/>
                <w:sz w:val="18"/>
                <w:szCs w:val="18"/>
                <w:color w:val="auto"/>
              </w:rPr>
              <w:t>per ADS, after deducting the estimated</w:t>
            </w:r>
          </w:p>
        </w:tc>
      </w:tr>
    </w:tbl>
    <w:p>
      <w:pPr>
        <w:ind w:right="220"/>
        <w:spacing w:after="0" w:line="396" w:lineRule="auto"/>
        <w:rPr>
          <w:sz w:val="20"/>
          <w:szCs w:val="20"/>
          <w:color w:val="auto"/>
        </w:rPr>
      </w:pPr>
      <w:r>
        <w:rPr>
          <w:rFonts w:ascii="Arial" w:cs="Arial" w:eastAsia="Arial" w:hAnsi="Arial"/>
          <w:sz w:val="16"/>
          <w:szCs w:val="16"/>
          <w:color w:val="auto"/>
        </w:rPr>
        <w:t>underwriting discounts and commissions and assuming that the number of ADSs offered by us, as set forth on the cover page of this prospectus, remains the same. An increase of 1,000,000 in the number of ADSs offered by us, as set forth on the cover page of this prospectus,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increase the as adjusted net tangible book value after this offering by $ per ADS and decrease the dilution to new investors participating in this offering by $ per ADS, assuming no change in the assumed initial public offering price per ADS and after deducting the estimated</w:t>
      </w:r>
    </w:p>
    <w:p>
      <w:pPr>
        <w:spacing w:after="0" w:line="2" w:lineRule="exact"/>
        <w:rPr>
          <w:sz w:val="20"/>
          <w:szCs w:val="20"/>
          <w:color w:val="auto"/>
        </w:rPr>
      </w:pPr>
    </w:p>
    <w:p>
      <w:pPr>
        <w:ind w:left="5620" w:right="980" w:hanging="5607"/>
        <w:spacing w:after="0" w:line="489" w:lineRule="auto"/>
        <w:rPr>
          <w:sz w:val="20"/>
          <w:szCs w:val="20"/>
          <w:color w:val="auto"/>
        </w:rPr>
      </w:pPr>
      <w:r>
        <w:rPr>
          <w:rFonts w:ascii="Arial" w:cs="Arial" w:eastAsia="Arial" w:hAnsi="Arial"/>
          <w:sz w:val="18"/>
          <w:szCs w:val="18"/>
          <w:color w:val="auto"/>
        </w:rPr>
        <w:t>underwriting discounts and commissions. A decrease of 1,000,000 in the number of ADSs offered by us, as set forth on the cover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Table of Contents</w:t>
              </w:r>
            </w:hyperlink>
          </w:p>
        </w:tc>
        <w:tc>
          <w:tcPr>
            <w:tcW w:w="26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429"/>
        </w:trPr>
        <w:tc>
          <w:tcPr>
            <w:tcW w:w="7920" w:type="dxa"/>
            <w:vAlign w:val="bottom"/>
            <w:gridSpan w:val="3"/>
          </w:tcPr>
          <w:p>
            <w:pPr>
              <w:spacing w:after="0"/>
              <w:rPr>
                <w:sz w:val="20"/>
                <w:szCs w:val="20"/>
                <w:color w:val="auto"/>
              </w:rPr>
            </w:pPr>
            <w:r>
              <w:rPr>
                <w:rFonts w:ascii="Arial" w:cs="Arial" w:eastAsia="Arial" w:hAnsi="Arial"/>
                <w:sz w:val="18"/>
                <w:szCs w:val="18"/>
                <w:color w:val="auto"/>
              </w:rPr>
              <w:t>of this prospectus, would decrease the as adjusted net tangible book value after this offering by $</w:t>
            </w:r>
          </w:p>
        </w:tc>
        <w:tc>
          <w:tcPr>
            <w:tcW w:w="3260" w:type="dxa"/>
            <w:vAlign w:val="bottom"/>
          </w:tcPr>
          <w:p>
            <w:pPr>
              <w:ind w:left="400"/>
              <w:spacing w:after="0"/>
              <w:rPr>
                <w:sz w:val="20"/>
                <w:szCs w:val="20"/>
                <w:color w:val="auto"/>
              </w:rPr>
            </w:pPr>
            <w:r>
              <w:rPr>
                <w:rFonts w:ascii="Arial" w:cs="Arial" w:eastAsia="Arial" w:hAnsi="Arial"/>
                <w:sz w:val="18"/>
                <w:szCs w:val="18"/>
                <w:color w:val="auto"/>
                <w:w w:val="96"/>
              </w:rPr>
              <w:t>per ADS, and increase the dilution to</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new investors participating in this offering by $</w:t>
            </w:r>
          </w:p>
        </w:tc>
        <w:tc>
          <w:tcPr>
            <w:tcW w:w="72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98"/>
              </w:rPr>
              <w:t>per ADS, assuming no change in the assumed initial public offering price per ADS and</w:t>
            </w:r>
          </w:p>
        </w:tc>
      </w:tr>
    </w:tbl>
    <w:p>
      <w:pPr>
        <w:spacing w:after="0"/>
        <w:rPr>
          <w:sz w:val="20"/>
          <w:szCs w:val="20"/>
          <w:color w:val="auto"/>
        </w:rPr>
      </w:pPr>
      <w:r>
        <w:rPr>
          <w:rFonts w:ascii="Arial" w:cs="Arial" w:eastAsia="Arial" w:hAnsi="Arial"/>
          <w:sz w:val="18"/>
          <w:szCs w:val="18"/>
          <w:color w:val="auto"/>
        </w:rPr>
        <w:t>after deducting the estimated underwriting discounts and commissions.</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following table summarizes, as of December 31, 2016, on the as adjusted basis described above, the number of ordinary shares purchased from us, including ordinary shares represented by ADSs, the total consideration paid to us and the average price per ordinary share and per ADS paid by existing shareholders and by new investors purchasing ADSs in this offering. The table below is based on an assumed initial public offering</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price of $ per ADS, which reflects the last reported sale price of our ordinary shares on AIM and the exchange rate on , 2017,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4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3"/>
            <w:vMerge w:val="restart"/>
          </w:tcPr>
          <w:p>
            <w:pPr>
              <w:jc w:val="center"/>
              <w:ind w:right="64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84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tcBorders>
              <w:bottom w:val="single" w:sz="8" w:color="auto"/>
            </w:tcBorders>
            <w:gridSpan w:val="3"/>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Borders>
              <w:bottom w:val="single" w:sz="8" w:color="auto"/>
            </w:tcBorders>
            <w:gridSpan w:val="4"/>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4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ADS</w:t>
            </w: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right="528"/>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New investors</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right="528"/>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6760" w:type="dxa"/>
            <w:vAlign w:val="bottom"/>
            <w:gridSpan w:val="10"/>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80" w:type="dxa"/>
            <w:vAlign w:val="bottom"/>
            <w:gridSpan w:val="11"/>
          </w:tcPr>
          <w:p>
            <w:pPr>
              <w:ind w:left="160"/>
              <w:spacing w:after="0"/>
              <w:rPr>
                <w:sz w:val="20"/>
                <w:szCs w:val="20"/>
                <w:color w:val="auto"/>
              </w:rPr>
            </w:pPr>
            <w:r>
              <w:rPr>
                <w:rFonts w:ascii="Arial" w:cs="Arial" w:eastAsia="Arial" w:hAnsi="Arial"/>
                <w:sz w:val="18"/>
                <w:szCs w:val="18"/>
                <w:color w:val="auto"/>
                <w:w w:val="98"/>
              </w:rPr>
              <w:t>per ADS, which reflects the last reported sale price of our</w:t>
            </w:r>
          </w:p>
        </w:tc>
        <w:tc>
          <w:tcPr>
            <w:tcW w:w="0" w:type="dxa"/>
            <w:vAlign w:val="bottom"/>
          </w:tcPr>
          <w:p>
            <w:pPr>
              <w:spacing w:after="0"/>
              <w:rPr>
                <w:sz w:val="1"/>
                <w:szCs w:val="1"/>
                <w:color w:val="auto"/>
              </w:rPr>
            </w:pPr>
          </w:p>
        </w:tc>
      </w:tr>
      <w:tr>
        <w:trPr>
          <w:trHeight w:val="203"/>
        </w:trPr>
        <w:tc>
          <w:tcPr>
            <w:tcW w:w="4740" w:type="dxa"/>
            <w:vAlign w:val="bottom"/>
            <w:gridSpan w:val="5"/>
          </w:tcPr>
          <w:p>
            <w:pPr>
              <w:spacing w:after="0" w:line="202" w:lineRule="exact"/>
              <w:rPr>
                <w:sz w:val="20"/>
                <w:szCs w:val="20"/>
                <w:color w:val="auto"/>
              </w:rPr>
            </w:pPr>
            <w:r>
              <w:rPr>
                <w:rFonts w:ascii="Arial" w:cs="Arial" w:eastAsia="Arial" w:hAnsi="Arial"/>
                <w:sz w:val="18"/>
                <w:szCs w:val="18"/>
                <w:color w:val="auto"/>
              </w:rPr>
              <w:t>ordinary shares on AIM and the exchange rate on</w:t>
            </w:r>
          </w:p>
        </w:tc>
        <w:tc>
          <w:tcPr>
            <w:tcW w:w="180" w:type="dxa"/>
            <w:vAlign w:val="bottom"/>
          </w:tcPr>
          <w:p>
            <w:pPr>
              <w:spacing w:after="0"/>
              <w:rPr>
                <w:sz w:val="17"/>
                <w:szCs w:val="17"/>
                <w:color w:val="auto"/>
              </w:rPr>
            </w:pPr>
          </w:p>
        </w:tc>
        <w:tc>
          <w:tcPr>
            <w:tcW w:w="6520" w:type="dxa"/>
            <w:vAlign w:val="bottom"/>
            <w:gridSpan w:val="15"/>
          </w:tcPr>
          <w:p>
            <w:pPr>
              <w:ind w:left="360"/>
              <w:spacing w:after="0" w:line="202" w:lineRule="exact"/>
              <w:rPr>
                <w:sz w:val="20"/>
                <w:szCs w:val="20"/>
                <w:color w:val="auto"/>
              </w:rPr>
            </w:pPr>
            <w:r>
              <w:rPr>
                <w:rFonts w:ascii="Arial" w:cs="Arial" w:eastAsia="Arial" w:hAnsi="Arial"/>
                <w:sz w:val="18"/>
                <w:szCs w:val="18"/>
                <w:color w:val="auto"/>
              </w:rPr>
              <w:t>, 2017, would increase or decrease the total consideration paid by new</w:t>
            </w: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w w:val="99"/>
              </w:rPr>
              <w:t>investors by $</w:t>
            </w:r>
          </w:p>
        </w:tc>
        <w:tc>
          <w:tcPr>
            <w:tcW w:w="40" w:type="dxa"/>
            <w:vAlign w:val="bottom"/>
          </w:tcPr>
          <w:p>
            <w:pPr>
              <w:spacing w:after="0"/>
              <w:rPr>
                <w:sz w:val="17"/>
                <w:szCs w:val="17"/>
                <w:color w:val="auto"/>
              </w:rPr>
            </w:pPr>
          </w:p>
        </w:tc>
        <w:tc>
          <w:tcPr>
            <w:tcW w:w="10280" w:type="dxa"/>
            <w:vAlign w:val="bottom"/>
            <w:gridSpan w:val="18"/>
          </w:tcPr>
          <w:p>
            <w:pPr>
              <w:ind w:left="720"/>
              <w:spacing w:after="0" w:line="202" w:lineRule="exact"/>
              <w:rPr>
                <w:sz w:val="20"/>
                <w:szCs w:val="20"/>
                <w:color w:val="auto"/>
              </w:rPr>
            </w:pPr>
            <w:r>
              <w:rPr>
                <w:rFonts w:ascii="Arial" w:cs="Arial" w:eastAsia="Arial" w:hAnsi="Arial"/>
                <w:sz w:val="18"/>
                <w:szCs w:val="18"/>
                <w:color w:val="auto"/>
              </w:rPr>
              <w:t>million and, in the case of an increase, would increase the percentage of total consideration paid by new investors</w:t>
            </w:r>
          </w:p>
        </w:tc>
        <w:tc>
          <w:tcPr>
            <w:tcW w:w="0" w:type="dxa"/>
            <w:vAlign w:val="bottom"/>
          </w:tcPr>
          <w:p>
            <w:pPr>
              <w:spacing w:after="0"/>
              <w:rPr>
                <w:sz w:val="1"/>
                <w:szCs w:val="1"/>
                <w:color w:val="auto"/>
              </w:rPr>
            </w:pP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1060" w:type="dxa"/>
            <w:vAlign w:val="bottom"/>
            <w:gridSpan w:val="20"/>
          </w:tcPr>
          <w:p>
            <w:pPr>
              <w:ind w:left="200"/>
              <w:spacing w:after="0" w:line="202" w:lineRule="exact"/>
              <w:rPr>
                <w:sz w:val="20"/>
                <w:szCs w:val="20"/>
                <w:color w:val="auto"/>
              </w:rPr>
            </w:pPr>
            <w:r>
              <w:rPr>
                <w:rFonts w:ascii="Arial" w:cs="Arial" w:eastAsia="Arial" w:hAnsi="Arial"/>
                <w:sz w:val="18"/>
                <w:szCs w:val="18"/>
                <w:color w:val="auto"/>
              </w:rPr>
              <w:t>percentage points and, in the case of a decrease, would decrease the percentage of total consideration paid by new investors</w:t>
            </w:r>
          </w:p>
        </w:tc>
        <w:tc>
          <w:tcPr>
            <w:tcW w:w="0" w:type="dxa"/>
            <w:vAlign w:val="bottom"/>
          </w:tcPr>
          <w:p>
            <w:pPr>
              <w:spacing w:after="0"/>
              <w:rPr>
                <w:sz w:val="1"/>
                <w:szCs w:val="1"/>
                <w:color w:val="auto"/>
              </w:rPr>
            </w:pP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1060" w:type="dxa"/>
            <w:vAlign w:val="bottom"/>
            <w:gridSpan w:val="20"/>
          </w:tcPr>
          <w:p>
            <w:pPr>
              <w:jc w:val="center"/>
              <w:spacing w:after="0" w:line="202" w:lineRule="exact"/>
              <w:rPr>
                <w:sz w:val="20"/>
                <w:szCs w:val="20"/>
                <w:color w:val="auto"/>
              </w:rPr>
            </w:pPr>
            <w:r>
              <w:rPr>
                <w:rFonts w:ascii="Arial" w:cs="Arial" w:eastAsia="Arial" w:hAnsi="Arial"/>
                <w:sz w:val="18"/>
                <w:szCs w:val="18"/>
                <w:color w:val="auto"/>
                <w:w w:val="97"/>
              </w:rPr>
              <w:t>percentage points, assuming that the number of ADSs offered by us, as set forth on the cover page of this prospectus, remains the same.</w:t>
            </w: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Arial" w:cs="Arial" w:eastAsia="Arial" w:hAnsi="Arial"/>
          <w:sz w:val="18"/>
          <w:szCs w:val="18"/>
          <w:color w:val="auto"/>
        </w:rPr>
        <w:t>An increase or decrease of 1,000,000 in the number of ADSs offered by us, as set forth on the cover page of this prospectus, would increase or</w:t>
      </w:r>
    </w:p>
    <w:tbl>
      <w:tblPr>
        <w:tblLayout w:type="fixed"/>
        <w:tblInd w:w="0" w:type="dxa"/>
        <w:tblCellMar>
          <w:top w:w="0" w:type="dxa"/>
          <w:left w:w="0" w:type="dxa"/>
          <w:bottom w:w="0" w:type="dxa"/>
          <w:right w:w="0" w:type="dxa"/>
        </w:tblCellMar>
      </w:tblPr>
      <w:tr>
        <w:trPr>
          <w:trHeight w:val="203"/>
        </w:trPr>
        <w:tc>
          <w:tcPr>
            <w:tcW w:w="5020" w:type="dxa"/>
            <w:vAlign w:val="bottom"/>
            <w:gridSpan w:val="3"/>
          </w:tcPr>
          <w:p>
            <w:pPr>
              <w:spacing w:after="0" w:line="203" w:lineRule="exact"/>
              <w:rPr>
                <w:sz w:val="20"/>
                <w:szCs w:val="20"/>
                <w:color w:val="auto"/>
              </w:rPr>
            </w:pPr>
            <w:r>
              <w:rPr>
                <w:rFonts w:ascii="Arial" w:cs="Arial" w:eastAsia="Arial" w:hAnsi="Arial"/>
                <w:sz w:val="18"/>
                <w:szCs w:val="18"/>
                <w:color w:val="auto"/>
              </w:rPr>
              <w:t>decrease the total consideration paid by new investors by $</w:t>
            </w:r>
          </w:p>
        </w:tc>
        <w:tc>
          <w:tcPr>
            <w:tcW w:w="63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million and, in the case of an increase, would increase the percentage of total</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 by new investors by</w:t>
            </w:r>
          </w:p>
        </w:tc>
        <w:tc>
          <w:tcPr>
            <w:tcW w:w="81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percentage points and, in the case of a decrease, would decrease the percentage of total</w:t>
            </w:r>
          </w:p>
        </w:tc>
        <w:tc>
          <w:tcPr>
            <w:tcW w:w="0" w:type="dxa"/>
            <w:vAlign w:val="bottom"/>
          </w:tcPr>
          <w:p>
            <w:pPr>
              <w:spacing w:after="0"/>
              <w:rPr>
                <w:sz w:val="1"/>
                <w:szCs w:val="1"/>
                <w:color w:val="auto"/>
              </w:rPr>
            </w:pPr>
          </w:p>
        </w:tc>
      </w:tr>
      <w:tr>
        <w:trPr>
          <w:trHeight w:val="211"/>
        </w:trPr>
        <w:tc>
          <w:tcPr>
            <w:tcW w:w="3220" w:type="dxa"/>
            <w:vAlign w:val="bottom"/>
            <w:gridSpan w:val="2"/>
          </w:tcPr>
          <w:p>
            <w:pPr>
              <w:spacing w:after="0"/>
              <w:rPr>
                <w:sz w:val="20"/>
                <w:szCs w:val="20"/>
                <w:color w:val="auto"/>
              </w:rPr>
            </w:pPr>
            <w:r>
              <w:rPr>
                <w:rFonts w:ascii="Arial" w:cs="Arial" w:eastAsia="Arial" w:hAnsi="Arial"/>
                <w:sz w:val="18"/>
                <w:szCs w:val="18"/>
                <w:color w:val="auto"/>
              </w:rPr>
              <w:t>consideration paid by new investors by</w:t>
            </w:r>
          </w:p>
        </w:tc>
        <w:tc>
          <w:tcPr>
            <w:tcW w:w="8180" w:type="dxa"/>
            <w:vAlign w:val="bottom"/>
            <w:gridSpan w:val="4"/>
          </w:tcPr>
          <w:p>
            <w:pPr>
              <w:ind w:left="200"/>
              <w:spacing w:after="0"/>
              <w:rPr>
                <w:sz w:val="20"/>
                <w:szCs w:val="20"/>
                <w:color w:val="auto"/>
              </w:rPr>
            </w:pPr>
            <w:r>
              <w:rPr>
                <w:rFonts w:ascii="Arial" w:cs="Arial" w:eastAsia="Arial" w:hAnsi="Arial"/>
                <w:sz w:val="18"/>
                <w:szCs w:val="18"/>
                <w:color w:val="auto"/>
              </w:rPr>
              <w:t>percentage points, assuming no change in the assumed initial public offering price per ADS.</w:t>
            </w:r>
          </w:p>
        </w:tc>
        <w:tc>
          <w:tcPr>
            <w:tcW w:w="0" w:type="dxa"/>
            <w:vAlign w:val="bottom"/>
          </w:tcPr>
          <w:p>
            <w:pPr>
              <w:spacing w:after="0"/>
              <w:rPr>
                <w:sz w:val="1"/>
                <w:szCs w:val="1"/>
                <w:color w:val="auto"/>
              </w:rPr>
            </w:pPr>
          </w:p>
        </w:tc>
      </w:tr>
      <w:tr>
        <w:trPr>
          <w:trHeight w:val="419"/>
        </w:trPr>
        <w:tc>
          <w:tcPr>
            <w:tcW w:w="5860" w:type="dxa"/>
            <w:vAlign w:val="bottom"/>
            <w:gridSpan w:val="4"/>
          </w:tcPr>
          <w:p>
            <w:pPr>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5540" w:type="dxa"/>
            <w:vAlign w:val="bottom"/>
            <w:gridSpan w:val="2"/>
          </w:tcPr>
          <w:p>
            <w:pPr>
              <w:jc w:val="right"/>
              <w:ind w:right="2752"/>
              <w:spacing w:after="0"/>
              <w:rPr>
                <w:sz w:val="20"/>
                <w:szCs w:val="20"/>
                <w:color w:val="auto"/>
              </w:rPr>
            </w:pPr>
            <w:r>
              <w:rPr>
                <w:rFonts w:ascii="Arial" w:cs="Arial" w:eastAsia="Arial" w:hAnsi="Arial"/>
                <w:sz w:val="18"/>
                <w:szCs w:val="18"/>
                <w:color w:val="auto"/>
              </w:rPr>
              <w:t>ADSs, the following will occur:</w:t>
            </w:r>
          </w:p>
        </w:tc>
        <w:tc>
          <w:tcPr>
            <w:tcW w:w="0" w:type="dxa"/>
            <w:vAlign w:val="bottom"/>
          </w:tcPr>
          <w:p>
            <w:pPr>
              <w:spacing w:after="0"/>
              <w:rPr>
                <w:sz w:val="1"/>
                <w:szCs w:val="1"/>
                <w:color w:val="auto"/>
              </w:rPr>
            </w:pPr>
          </w:p>
        </w:tc>
      </w:tr>
      <w:tr>
        <w:trPr>
          <w:trHeight w:val="410"/>
        </w:trPr>
        <w:tc>
          <w:tcPr>
            <w:tcW w:w="860" w:type="dxa"/>
            <w:vAlign w:val="bottom"/>
          </w:tcPr>
          <w:p>
            <w:pPr>
              <w:ind w:left="540"/>
              <w:spacing w:after="0"/>
              <w:rPr>
                <w:sz w:val="20"/>
                <w:szCs w:val="20"/>
                <w:color w:val="auto"/>
              </w:rPr>
            </w:pPr>
            <w:r>
              <w:rPr>
                <w:rFonts w:ascii="Arial" w:cs="Arial" w:eastAsia="Arial" w:hAnsi="Arial"/>
                <w:sz w:val="14"/>
                <w:szCs w:val="14"/>
                <w:color w:val="auto"/>
              </w:rPr>
              <w:t>§</w:t>
            </w:r>
          </w:p>
        </w:tc>
        <w:tc>
          <w:tcPr>
            <w:tcW w:w="7260" w:type="dxa"/>
            <w:vAlign w:val="bottom"/>
            <w:gridSpan w:val="4"/>
          </w:tcPr>
          <w:p>
            <w:pPr>
              <w:ind w:left="220"/>
              <w:spacing w:after="0"/>
              <w:rPr>
                <w:sz w:val="20"/>
                <w:szCs w:val="20"/>
                <w:color w:val="auto"/>
              </w:rPr>
            </w:pPr>
            <w:r>
              <w:rPr>
                <w:rFonts w:ascii="Arial" w:cs="Arial" w:eastAsia="Arial" w:hAnsi="Arial"/>
                <w:sz w:val="18"/>
                <w:szCs w:val="18"/>
                <w:color w:val="auto"/>
              </w:rPr>
              <w:t>the percentage of our ordinary shares held by existing shareholders will decrease to</w:t>
            </w:r>
          </w:p>
        </w:tc>
        <w:tc>
          <w:tcPr>
            <w:tcW w:w="3280" w:type="dxa"/>
            <w:vAlign w:val="bottom"/>
          </w:tcPr>
          <w:p>
            <w:pPr>
              <w:jc w:val="right"/>
              <w:ind w:right="332"/>
              <w:spacing w:after="0"/>
              <w:rPr>
                <w:sz w:val="20"/>
                <w:szCs w:val="20"/>
                <w:color w:val="auto"/>
              </w:rPr>
            </w:pPr>
            <w:r>
              <w:rPr>
                <w:rFonts w:ascii="Arial" w:cs="Arial" w:eastAsia="Arial" w:hAnsi="Arial"/>
                <w:sz w:val="18"/>
                <w:szCs w:val="18"/>
                <w:color w:val="auto"/>
                <w:w w:val="97"/>
              </w:rPr>
              <w:t>% of the total number of our ordinary</w:t>
            </w:r>
          </w:p>
        </w:tc>
        <w:tc>
          <w:tcPr>
            <w:tcW w:w="0" w:type="dxa"/>
            <w:vAlign w:val="bottom"/>
          </w:tcPr>
          <w:p>
            <w:pPr>
              <w:spacing w:after="0"/>
              <w:rPr>
                <w:sz w:val="1"/>
                <w:szCs w:val="1"/>
                <w:color w:val="auto"/>
              </w:rPr>
            </w:pPr>
          </w:p>
        </w:tc>
      </w:tr>
      <w:tr>
        <w:trPr>
          <w:trHeight w:val="203"/>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41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outstanding after this offering; and</w:t>
            </w:r>
          </w:p>
        </w:tc>
        <w:tc>
          <w:tcPr>
            <w:tcW w:w="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7260" w:type="dxa"/>
            <w:vAlign w:val="bottom"/>
            <w:gridSpan w:val="4"/>
          </w:tcPr>
          <w:p>
            <w:pPr>
              <w:ind w:left="220"/>
              <w:spacing w:after="0" w:line="202" w:lineRule="exact"/>
              <w:rPr>
                <w:sz w:val="20"/>
                <w:szCs w:val="20"/>
                <w:color w:val="auto"/>
              </w:rPr>
            </w:pPr>
            <w:r>
              <w:rPr>
                <w:rFonts w:ascii="Arial" w:cs="Arial" w:eastAsia="Arial" w:hAnsi="Arial"/>
                <w:sz w:val="18"/>
                <w:szCs w:val="18"/>
                <w:color w:val="auto"/>
                <w:w w:val="97"/>
              </w:rPr>
              <w:t>the percentage of our ordinary shares held by new investors will increase to approximately</w:t>
            </w:r>
          </w:p>
        </w:tc>
        <w:tc>
          <w:tcPr>
            <w:tcW w:w="328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 of the total number of our</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ordinary shares outstanding after this offering.</w:t>
            </w: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8120" w:type="dxa"/>
            <w:vAlign w:val="bottom"/>
            <w:gridSpan w:val="5"/>
          </w:tcPr>
          <w:p>
            <w:pPr>
              <w:spacing w:after="0"/>
              <w:rPr>
                <w:sz w:val="20"/>
                <w:szCs w:val="20"/>
                <w:color w:val="auto"/>
              </w:rPr>
            </w:pPr>
            <w:r>
              <w:rPr>
                <w:rFonts w:ascii="Arial" w:cs="Arial" w:eastAsia="Arial" w:hAnsi="Arial"/>
                <w:sz w:val="18"/>
                <w:szCs w:val="18"/>
                <w:color w:val="auto"/>
                <w:w w:val="99"/>
              </w:rPr>
              <w:t>The tables above are based on 51,361,063 ordinary shares outstanding as of December 31, 2016 and</w:t>
            </w:r>
          </w:p>
        </w:tc>
        <w:tc>
          <w:tcPr>
            <w:tcW w:w="3280" w:type="dxa"/>
            <w:vAlign w:val="bottom"/>
          </w:tcPr>
          <w:p>
            <w:pPr>
              <w:jc w:val="right"/>
              <w:spacing w:after="0"/>
              <w:rPr>
                <w:sz w:val="20"/>
                <w:szCs w:val="20"/>
                <w:color w:val="auto"/>
              </w:rPr>
            </w:pPr>
            <w:r>
              <w:rPr>
                <w:rFonts w:ascii="Arial" w:cs="Arial" w:eastAsia="Arial" w:hAnsi="Arial"/>
                <w:sz w:val="18"/>
                <w:szCs w:val="18"/>
                <w:color w:val="auto"/>
              </w:rPr>
              <w:t>ordinary shares represented by our</w:t>
            </w:r>
          </w:p>
        </w:tc>
        <w:tc>
          <w:tcPr>
            <w:tcW w:w="0" w:type="dxa"/>
            <w:vAlign w:val="bottom"/>
          </w:tcPr>
          <w:p>
            <w:pPr>
              <w:spacing w:after="0"/>
              <w:rPr>
                <w:sz w:val="1"/>
                <w:szCs w:val="1"/>
                <w:color w:val="auto"/>
              </w:rPr>
            </w:pPr>
          </w:p>
        </w:tc>
      </w:tr>
      <w:tr>
        <w:trPr>
          <w:trHeight w:val="211"/>
        </w:trPr>
        <w:tc>
          <w:tcPr>
            <w:tcW w:w="5020" w:type="dxa"/>
            <w:vAlign w:val="bottom"/>
            <w:gridSpan w:val="3"/>
          </w:tcPr>
          <w:p>
            <w:pPr>
              <w:spacing w:after="0"/>
              <w:rPr>
                <w:sz w:val="20"/>
                <w:szCs w:val="20"/>
                <w:color w:val="auto"/>
              </w:rPr>
            </w:pPr>
            <w:r>
              <w:rPr>
                <w:rFonts w:ascii="Arial" w:cs="Arial" w:eastAsia="Arial" w:hAnsi="Arial"/>
                <w:sz w:val="18"/>
                <w:szCs w:val="18"/>
                <w:color w:val="auto"/>
              </w:rPr>
              <w:t>ADSs offered hereby. The tables above exclude:</w:t>
            </w: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80" w:right="140" w:hanging="532"/>
        <w:spacing w:after="0" w:line="187" w:lineRule="auto"/>
        <w:tabs>
          <w:tab w:leader="none" w:pos="1080" w:val="left"/>
        </w:tabs>
        <w:numPr>
          <w:ilvl w:val="0"/>
          <w:numId w:val="44"/>
        </w:numPr>
        <w:rPr>
          <w:rFonts w:ascii="Arial" w:cs="Arial" w:eastAsia="Arial" w:hAnsi="Arial"/>
          <w:sz w:val="28"/>
          <w:szCs w:val="28"/>
          <w:color w:val="auto"/>
          <w:vertAlign w:val="superscript"/>
        </w:rPr>
      </w:pPr>
      <w:r>
        <w:rPr>
          <w:rFonts w:ascii="Arial" w:cs="Arial" w:eastAsia="Arial" w:hAnsi="Arial"/>
          <w:sz w:val="17"/>
          <w:szCs w:val="17"/>
          <w:color w:val="auto"/>
        </w:rPr>
        <w:t>2,837,333 ordinary shares issuable upon the exercise of share options outstanding as of December 31, 2016 at a weighted average exercise price of £1.87 per share;</w:t>
      </w:r>
    </w:p>
    <w:p>
      <w:pPr>
        <w:spacing w:after="0" w:line="1" w:lineRule="exact"/>
        <w:rPr>
          <w:rFonts w:ascii="Arial" w:cs="Arial" w:eastAsia="Arial" w:hAnsi="Arial"/>
          <w:sz w:val="28"/>
          <w:szCs w:val="28"/>
          <w:color w:val="auto"/>
          <w:vertAlign w:val="superscript"/>
        </w:rPr>
      </w:pPr>
    </w:p>
    <w:p>
      <w:pPr>
        <w:ind w:left="1080" w:hanging="532"/>
        <w:spacing w:after="0" w:line="183" w:lineRule="auto"/>
        <w:tabs>
          <w:tab w:leader="none" w:pos="1080"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2,298,773 ordinary shares that may be issued under our equity incentive plans as of December 31, 2016; and</w:t>
      </w:r>
    </w:p>
    <w:p>
      <w:pPr>
        <w:ind w:left="1080" w:right="420" w:hanging="532"/>
        <w:spacing w:after="0" w:line="183" w:lineRule="auto"/>
        <w:tabs>
          <w:tab w:leader="none" w:pos="108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12,646,370 ordinary shares issuable upon the exercise of warrants outstanding as of December 31, 2016 at a weighted average exercise price of £1.7174 per share.</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the extent that stock options or warrants are exercised or we issue additional ordinary shares or ADSs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You should read the following selected consolidated financial data together with the Annual Consolidated Financial Statements and the sections titled "Exchange Rate Information" and "Management's Discussion and Analysis of Financial Condition and Results of Operations." We have derived the consolidated statement of comprehensive income data for the years ended December 31, 2015 and 2016 and the consolidated statement of financial position as of Decmeber 31, 2015 and 2016 from our Annual Consolidated Financial Statements included elsewhere in this prospectus. Our historical results are not necessarily indicative of the results that should be expected in any future period.</w:t>
      </w:r>
    </w:p>
    <w:p>
      <w:pPr>
        <w:spacing w:after="0" w:line="21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years ended December 31, 2015 and 2016 into U.S. dollars at the noon buying rate of the Federal Reserve Bank of New York on December 30, 2016, which was £1.00 to $1.2337. These translations should not be considered representations that any such amounts have been, could have been or could be converted into U.S. dollars at that or any other exchange rate as of that or any 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96"/>
              <w:spacing w:after="0" w:line="143"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5"/>
              <w:spacing w:after="0" w:line="14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5"/>
              <w:spacing w:after="0" w:line="143"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40" w:type="dxa"/>
            <w:vAlign w:val="bottom"/>
            <w:gridSpan w:val="15"/>
          </w:tcPr>
          <w:p>
            <w:pPr>
              <w:ind w:left="280"/>
              <w:spacing w:after="0" w:line="155" w:lineRule="exact"/>
              <w:rPr>
                <w:sz w:val="20"/>
                <w:szCs w:val="20"/>
                <w:color w:val="auto"/>
              </w:rPr>
            </w:pPr>
            <w:r>
              <w:rPr>
                <w:rFonts w:ascii="Arial" w:cs="Arial" w:eastAsia="Arial" w:hAnsi="Arial"/>
                <w:sz w:val="14"/>
                <w:szCs w:val="14"/>
                <w:b w:val="1"/>
                <w:bCs w:val="1"/>
                <w:color w:val="auto"/>
              </w:rPr>
              <w:t>(in thousands, except per ordinary share data)</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Consolidated statement of comprehensive income data: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Research and development costs</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(7,269)</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(8,968)</w:t>
            </w:r>
          </w:p>
        </w:tc>
        <w:tc>
          <w:tcPr>
            <w:tcW w:w="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(4,522)</w:t>
            </w:r>
          </w:p>
        </w:tc>
        <w:tc>
          <w:tcPr>
            <w:tcW w:w="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(5,579)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costs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(1,706)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(2,105)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(3,082)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(8,975)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(11,072)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(7,020)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(8,661)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taxation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(9,002)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(11,106)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(5,973)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(7,368)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Taxation — credit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year</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(7,493)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(9,244)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(5,018)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20" w:type="dxa"/>
            <w:vAlign w:val="bottom"/>
            <w:gridSpan w:val="2"/>
          </w:tcPr>
          <w:p>
            <w:pPr>
              <w:ind w:left="1140"/>
              <w:spacing w:after="0" w:line="200" w:lineRule="exact"/>
              <w:rPr>
                <w:sz w:val="20"/>
                <w:szCs w:val="20"/>
                <w:color w:val="auto"/>
              </w:rPr>
            </w:pPr>
            <w:r>
              <w:rPr>
                <w:rFonts w:ascii="Arial" w:cs="Arial" w:eastAsia="Arial" w:hAnsi="Arial"/>
                <w:sz w:val="18"/>
                <w:szCs w:val="18"/>
                <w:color w:val="auto"/>
              </w:rPr>
              <w:t>Total comprehensive loss attributable to owners of the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4760" w:type="dxa"/>
            <w:vAlign w:val="bottom"/>
          </w:tcPr>
          <w:p>
            <w:pPr>
              <w:ind w:left="160"/>
              <w:spacing w:after="0" w:line="200" w:lineRule="exact"/>
              <w:rPr>
                <w:sz w:val="20"/>
                <w:szCs w:val="20"/>
                <w:color w:val="auto"/>
              </w:rPr>
            </w:pPr>
            <w:r>
              <w:rPr>
                <w:rFonts w:ascii="Arial" w:cs="Arial" w:eastAsia="Arial" w:hAnsi="Arial"/>
                <w:sz w:val="18"/>
                <w:szCs w:val="18"/>
                <w:color w:val="auto"/>
              </w:rPr>
              <w:t>company</w:t>
            </w:r>
          </w:p>
        </w:tc>
        <w:tc>
          <w:tcPr>
            <w:tcW w:w="2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(7,489)</w:t>
            </w:r>
          </w:p>
        </w:tc>
        <w:tc>
          <w:tcPr>
            <w:tcW w:w="1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(9,239)</w:t>
            </w:r>
          </w:p>
        </w:tc>
        <w:tc>
          <w:tcPr>
            <w:tcW w:w="2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(4,976)</w:t>
            </w:r>
          </w:p>
        </w:tc>
        <w:tc>
          <w:tcPr>
            <w:tcW w:w="2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(6,139)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47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Loss per ordinary share — basic and diluted</w:t>
            </w:r>
          </w:p>
        </w:tc>
        <w:tc>
          <w:tcPr>
            <w:tcW w:w="2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8"/>
                <w:szCs w:val="18"/>
                <w:color w:val="auto"/>
              </w:rPr>
              <w:t>(0.3710)</w:t>
            </w:r>
          </w:p>
        </w:tc>
        <w:tc>
          <w:tcPr>
            <w:tcW w:w="1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(0.4577)</w:t>
            </w:r>
          </w:p>
        </w:tc>
        <w:tc>
          <w:tcPr>
            <w:tcW w:w="2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(0.1498)</w:t>
            </w:r>
          </w:p>
        </w:tc>
        <w:tc>
          <w:tcPr>
            <w:tcW w:w="2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(0.1848)</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4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6"/>
              <w:spacing w:after="0" w:line="14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99"/>
              <w:spacing w:after="0" w:line="143"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6"/>
              <w:spacing w:after="0" w:line="14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6"/>
              <w:spacing w:after="0" w:line="143"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11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jc w:val="right"/>
              <w:ind w:right="6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financial position data:</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3,524</w:t>
            </w:r>
          </w:p>
        </w:tc>
        <w:tc>
          <w:tcPr>
            <w:tcW w:w="1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4,348</w:t>
            </w:r>
          </w:p>
        </w:tc>
        <w:tc>
          <w:tcPr>
            <w:tcW w:w="120" w:type="dxa"/>
            <w:vAlign w:val="bottom"/>
          </w:tcPr>
          <w:p>
            <w:pPr>
              <w:spacing w:after="0"/>
              <w:rPr>
                <w:sz w:val="17"/>
                <w:szCs w:val="17"/>
                <w:color w:val="auto"/>
              </w:rPr>
            </w:pPr>
          </w:p>
        </w:tc>
        <w:tc>
          <w:tcPr>
            <w:tcW w:w="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39,785</w:t>
            </w:r>
          </w:p>
        </w:tc>
        <w:tc>
          <w:tcPr>
            <w:tcW w:w="100" w:type="dxa"/>
            <w:vAlign w:val="bottom"/>
          </w:tcPr>
          <w:p>
            <w:pPr>
              <w:spacing w:after="0"/>
              <w:rPr>
                <w:sz w:val="17"/>
                <w:szCs w:val="17"/>
                <w:color w:val="auto"/>
              </w:rPr>
            </w:pPr>
          </w:p>
        </w:tc>
        <w:tc>
          <w:tcPr>
            <w:tcW w:w="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49,083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46,143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56,926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26,650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32,878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58,527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72,204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14,403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(29,303)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(28,728)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(35,442)</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34,468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42,524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424"/>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43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RESULTS OF OPERATIONS</w:t>
      </w:r>
    </w:p>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and our Annual Consolidated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For the convenience of the reader, we have translated some pound sterling amounts as of and for the years ended December 31, 2015 and 2016 and into U.S. dollars at the noon buying rate of the Federal Reserve Bank of New York on December 30, 2016, which was £1.00 to $1.2337. These translations should not be considered representations that any such amounts have been, could have been or could be converted into U.S. dollars at that or any other exchange rate as of that or any other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PDE3 and PDE4, that acts as both a bronchodilator and an anti-inflammatory agent in a single compound. We are not aware of any therapy in a single compound approved by the FDA or the EMA for the treatment of respiratory diseases that acts as both a bronchodilator and anti-inflammatory agent.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Our clinical trials also have shown clinically meaningful and statistically significant improvements in lung function when RPL554 is added to two commonly used bronchodilators as compared to either bronchodilator administered as a single agent. RPL554 also has shown anti-inflammatory effects and has been well tolerated in our clinical trials, and has not been observed to result in the gastrointestinal or other side effects commonly associated with Roflumilast, the only PDE4 inhibitor currently on the market for the treatment of COPD. We are developing RPL554 for the treatment of patients with COPD and for the treatment of patients with CF. We believe RPL554, if approved, has the potential to become an important and novel treatment and standard of care for COPD and CF patients. We may also explore, alone or with a collaborator, development of RPL554 to treat asthma and other respiratory diseases.</w:t>
      </w:r>
    </w:p>
    <w:p>
      <w:pPr>
        <w:spacing w:after="0" w:line="39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To evaluate RPL554 in a nebulized formulation for the maintenance treatment of COPD, we plan to commence a Phase 1 single-dose PK trial in approximately 12 healthy volunteers in the United States in mid-2017 and a four-week Phase 2b dose-ranging clinical trial for RPL554 for maintenance treatment in approximately 400 patients with COPD in Europe by the end of 2017. We expect to report top-line data from these trials in the first half of 2018 and by the end of 2018, respectively. In addition, in February 2017, we also commenced a Phase 2a clinical trial in the United Kingdom evaluating RPL554 in approximately 30 patients with COPD as an add-on therapy to tiotropium, a commonly used long-acting bronchodilator, and we expect to report top-line data from this trial in the fourth quarter of 2017. We also intend to commence a Phase 2 clinical trial in the United States for RPL554 for the treatment of acute exacerbations of COPD in approximately 150 patients in 2018.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80"/>
        <w:spacing w:after="0" w:line="281" w:lineRule="auto"/>
        <w:rPr>
          <w:sz w:val="20"/>
          <w:szCs w:val="20"/>
          <w:color w:val="auto"/>
        </w:rPr>
      </w:pPr>
      <w:r>
        <w:rPr>
          <w:rFonts w:ascii="Arial" w:cs="Arial" w:eastAsia="Arial" w:hAnsi="Arial"/>
          <w:sz w:val="16"/>
          <w:szCs w:val="16"/>
          <w:color w:val="auto"/>
        </w:rPr>
        <w:t>In addition, we plan to commence a Phase 2a single-dose PK and PD trial in the United Kingdom in the first half of 2017 evaluating RPL554 in approximately ten CF patients and expect to report top-line data from this trial in the first half of 2018. The results of this clinical trial will support dose selection for a proof-of-concept Phase 2b trial in Europe in approximately 100 patients with CF, which we plan to commence in 2018.</w:t>
      </w:r>
    </w:p>
    <w:p>
      <w:pPr>
        <w:spacing w:after="0" w:line="178"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or otherwise. RPL554 is our only current product candidate and our ability to generate revenue sufficient to achieve profitability will depend on our successful development and eventual commercialization of RPL554, if approved, for one or more of its targeted indications. Since our inception, we have incurred significant operating losses. For the years ended December 31, 2015 and 2016 we incurred net losses of £7.5 million and £5.0 million, respectively. As of December 31, 2016, we had an accumulated loss of £28.7 million.</w:t>
      </w:r>
    </w:p>
    <w:p>
      <w:pPr>
        <w:spacing w:after="0" w:line="21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RPL554, and seek regulatory approval and pursue commercialization of RPL554, if approved. In addition, if we obtain regulatory approval for RPL554, we expect to incur significant commercialization expenses related to product manufacturing, marketing, sales and distribution. In addition, we may incur expenses in connection with the in-license or acquisition of additional product candidates and the potential clinical development of any such product candidates. Furthermore, upon the closing of this offering, we expect to incur additional costs associated with operating as a U.S. public company listed on the NASDAQ in addition to operating as a U.K. public company listed on AIM, including significant legal, accounting, investor relations and other expenses that we did not previously incur.</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were incorporated in 2005 and are headquartered in the United Kingdom. Since 2006, our ordinary shares have traded on AIM, a market of the London Stock Exchange, under the symbol "VRP". We have raised £74.6 million in gross proceeds from investors since such listing, of which £44.7 million was raised in our most recent private placement of equity securities in July 2016 with a number of European and U.S.-based healthcare specialist investment firms.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Vernalis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2005, Rhinopharma entered into an assignment and license agreement with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Vernalis also granted to us an exclusive, worldwide, royalty-bearing license to certain Vernalis know-how to develop, manufacture and commercialize products, or the Licensed Products, based on PDE inhibitors developed using Vernalis Patents, Vernalis know-how and the physical stock of certain compounds, including RPL554, in the treatment of human or animal allergic or inflammatory disorders.</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Product-by-Product and country-by-country basis, a low to mid-single digit percentage royalty</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based on net sales of each Licensed Product. See "Business — Vernalis Agreement" for further information regarding this agreement.</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recorded a liability in our statement of financial position reflecting the contingent obligation we assumed from Rhinopharma to make payments to Vernalis under the Vernalis Agreement. Any change in the carrying value of this assumed contingent obligation in any reporting period is recorded as finance expense or finance income in our statement of comprehensive income. See "— Financial Operations Overview — Finance Income and Expense" and Note 2.13 of our Annual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do not have any approved products. Accordingly, we have not generated any revenue, and we do not expect to generate any revenue from the sale of any products unless or until we obtain regulatory approvals of and commercialize RPL554 or any other product candidate we may develop in the future, which may never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include:</w:t>
      </w:r>
    </w:p>
    <w:p>
      <w:pPr>
        <w:spacing w:after="0" w:line="212" w:lineRule="exact"/>
        <w:rPr>
          <w:sz w:val="20"/>
          <w:szCs w:val="20"/>
          <w:color w:val="auto"/>
        </w:rPr>
      </w:pPr>
    </w:p>
    <w:p>
      <w:pPr>
        <w:ind w:left="1080" w:right="680" w:hanging="532"/>
        <w:spacing w:after="0" w:line="183"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employee-related expenses, such as salaries, share-based compensation, benefits and travel expense, for our research and development personnel;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costs for production of drug substance by CMOs;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fees and other costs paid to CROs and consultants to conduct our clinical trials and pre-clinical and non-clinical studies;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costs of related facilities, materials and equipment;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costs associated with obtaining and maintaining patents and other intellectual property;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amortization and depreciation of intangible and tangible fixed assets used to develop RPL554.</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Research and development activities will continue to be central to our business model. Product candidates in later stages of clinical development, such as RPL554 for the treatment of COPD, generally have higher development costs than those in earlier stages of clinical development, primarily due to the increased size and duration of later-stage clinical trials. We expect our research and development costs to be significant over the next several years as we hire additional research and development personnel and increase compensation costs, advance the clinical development of RPL554, develop new formulations of RPL554 for the treatment of COPD, commence the clinical development of RPL554 for the treatment of CF and potentially pursue the development of RPL554 for other forms of respiratory disease, including asthma.</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successful development and commercialization of RPL554 is highly uncertain. At this time, we cannot reasonably estimate the nature, timing and estimated costs of the efforts that will be necessary to complete the development of, or the period, if any, in which material net cash inflows may commence from, RPL554 or any future product candidates. This is due to numerous risks and uncertainties associated with developing drugs, including the uncertainty of:</w:t>
      </w:r>
    </w:p>
    <w:p>
      <w:pPr>
        <w:spacing w:after="0" w:line="8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the progress and results of clinical trials and pre-clinical and non-clinical studies;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the terms and timing of regulatory approvals;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the expense of filing, prosecuting, defending and enforcing patent claims and other intellectual property rights; and</w:t>
      </w:r>
    </w:p>
    <w:p>
      <w:pPr>
        <w:spacing w:after="0" w:line="142" w:lineRule="exact"/>
        <w:rPr>
          <w:rFonts w:ascii="Arial" w:cs="Arial" w:eastAsia="Arial" w:hAnsi="Arial"/>
          <w:sz w:val="29"/>
          <w:szCs w:val="29"/>
          <w:color w:val="auto"/>
          <w:vertAlign w:val="superscript"/>
        </w:rPr>
      </w:pPr>
    </w:p>
    <w:p>
      <w:pPr>
        <w:ind w:left="1080" w:hanging="532"/>
        <w:spacing w:after="0" w:line="196" w:lineRule="auto"/>
        <w:tabs>
          <w:tab w:leader="none" w:pos="1080" w:val="left"/>
        </w:tabs>
        <w:numPr>
          <w:ilvl w:val="0"/>
          <w:numId w:val="46"/>
        </w:numPr>
        <w:rPr>
          <w:rFonts w:ascii="Arial" w:cs="Arial" w:eastAsia="Arial" w:hAnsi="Arial"/>
          <w:sz w:val="28"/>
          <w:szCs w:val="28"/>
          <w:color w:val="auto"/>
          <w:vertAlign w:val="superscript"/>
        </w:rPr>
      </w:pPr>
      <w:r>
        <w:rPr>
          <w:rFonts w:ascii="Arial" w:cs="Arial" w:eastAsia="Arial" w:hAnsi="Arial"/>
          <w:sz w:val="17"/>
          <w:szCs w:val="17"/>
          <w:color w:val="auto"/>
        </w:rPr>
        <w:t>the ability to market, commercialize and achieve market acceptance for RPL554 or any other future product candidate, if approved.</w:t>
      </w:r>
    </w:p>
    <w:p>
      <w:pPr>
        <w:spacing w:after="0" w:line="20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Any of these variables with respect to the development of RPL554 or any other future candidate that we may develop could result in a significant change in the costs and timing associated with the development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RPL554 or such future product candidate. For example, if the FDA, the EMA or 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general and administrative costs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requirements of being a listed public company on AIM. 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Additionally, we anticipate increased costs associated with being a U.S. public company, including expenses related to services associated with maintaining compliance with NASDAQ rules and SEC requirements, director compensation, insurance and investor relation costs. If RPL554 obtains regulatory approval for marketing, we expect that we will incur expenses associated with building a sales and marketing team. In addition, we expect to continue to grant share-based compensation awards to key management personnel and other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Expense</w:t>
      </w:r>
    </w:p>
    <w:p>
      <w:pPr>
        <w:spacing w:after="0" w:line="232"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Finance income consists of interest earned on our cash and cash equivalents and any decrease in the carrying value resulting from the remeasurement of the assumed contingent obligation under the Vernalis Agreement and any decrease in the fair value of the derivative financial liability related to the 31,115,926 units issued by us to new and existing institutional and other investors in July 2016, or the July Placement.</w:t>
      </w:r>
    </w:p>
    <w:p>
      <w:pPr>
        <w:spacing w:after="0" w:line="17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Finance expense consists of any increase in the carrying value resulting from the remeasurement of the assumed contingent obligation under the Vernalis Agreement and any increase in the fair value of the derivative financial liability related to the July Placement. See "— License Agreement with Vernalis" and "Business — Vernalis Agreement" for further information regarding the Vernalis Agreement and see "Related Party Transactions — Ordinary Share and Warrant Placement" for further information regarding the July Placement.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a company that carries out extensive research and development activities, we benefit from the U.K. research and development tax credit regime and are able to surrender some of our trading losses that arise from our research and development activities for a cash rebate of up to 33.35% of eligible research and development expenditure. Qualifying expenditures largely comprise employment costs for research staff, consumables and certain internal overhead costs incurred as part of research projects. In the event we generate revenues in the future, we may benefit from the new "patent box" initiative that allows profits attributable to revenues from patents or patented products to be taxed at a lower rate than other revenue. This relief applies to profits earned from April 1, 2013 and following the transitional arrangements that will phase in the relief, the rate of tax for relevant streams of revenue for companies receiving this relief will be 10%.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7"/>
          </w:tcPr>
          <w:p>
            <w:pPr>
              <w:jc w:val="center"/>
              <w:ind w:right="1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7"/>
          </w:tcPr>
          <w:p>
            <w:pPr>
              <w:jc w:val="center"/>
              <w:ind w:right="1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left="416"/>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6"/>
          </w:tcPr>
          <w:p>
            <w:pPr>
              <w:jc w:val="right"/>
              <w:ind w:right="54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(7,269)</w:t>
            </w:r>
          </w:p>
        </w:tc>
        <w:tc>
          <w:tcPr>
            <w:tcW w:w="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(8,968)</w:t>
            </w:r>
          </w:p>
        </w:tc>
        <w:tc>
          <w:tcPr>
            <w:tcW w:w="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(4,522)</w:t>
            </w:r>
          </w:p>
        </w:tc>
        <w:tc>
          <w:tcPr>
            <w:tcW w:w="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(5,579)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(1,706)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(2,498)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(3,082)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(8,975)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(11,072)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(7,020)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(8,661)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income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1,841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2,272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taxation</w:t>
            </w: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(9,002)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(11,106)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(5,973)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(7,368)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 — credit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Loss for the year</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(7,493)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(9,244)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(5,018)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Total comprehensive loss attributable to owners of the company</w:t>
            </w:r>
          </w:p>
        </w:tc>
        <w:tc>
          <w:tcPr>
            <w:tcW w:w="3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(7,489)</w:t>
            </w:r>
          </w:p>
        </w:tc>
        <w:tc>
          <w:tcPr>
            <w:tcW w:w="2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(9,239)</w:t>
            </w:r>
          </w:p>
        </w:tc>
        <w:tc>
          <w:tcPr>
            <w:tcW w:w="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(4,976)</w:t>
            </w:r>
          </w:p>
        </w:tc>
        <w:tc>
          <w:tcPr>
            <w:tcW w:w="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(6,139)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2015 and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Research and development costs were £4.5 million for the year ended December 31, 2016 as compared to £7.3 million for the year ended December 31, 2015, a decrease of £2.8 million. The decrease was attributable to a £3.6 million decrease in clinical trial expenses related to the completion of our Phase 2a clinical trials of RPL554 in late 2015 and early 2016, which were partially offset by a £0.7 million increase in research and development personnel costs and a £0.1 million increase in pre-clinical research, contract manufacturing, patent and other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General and administrative costs were £2.5 million for the year ended December 31, 2016 as compared to £1.7 million for the year ended December 31, 2015, an increase of £0.8 million. The increase was attributable to a £0.2 million increase in personnel costs, a £0.3 million increase in professional service fees and expenses, and a £0.2 million increase in other facility and office related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Finance income was £1.8 million for the year ended December 31, 2016 and £45 thousand for the year ended December 31, 2015. The increase in finance income was primarily due to a decrease in the fair value of the warrant liability of £1.1 million caused by changes in the underlying assumptions for measuring the liability of the warrants issued in the July Placement, including the price and volatility of our ordinary shares and the unwinding of the expected life of the warrants.</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Finance expense was £0.8 million for the year ended December 31, 2016 as compared to £0.1 million for the year ended December 31, 2015. The increase was primarily due to the inclusion of the proportion of expenses incurred in connection with the July Placement which related to the issue of warrants, and which were recorded as a finance expense (the remainder of the July Placement expenses related to the equity issued and were recorded as a charge against share premium), as well as an increase in the calculated value of the assumed contingent obligation resulting from the Vernalis Agreement.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Taxation for the year ended December 31, 2016 amounted to a credit of £1.0 million as compared to a credit of £1.5 million for the year ended December 31, 2015, a decrease in the credit amount of £0.5 million. The credits are obtained at a rate of 14.5% of 230% of our qualifying research and development expenditure, and the decrease in the credit amount was primarily attributable to our decreased expenditure on research and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Since our inception, we have incurred significant operating losses. We anticipate that we will continue to incur losses for at least the next several years. We expect that our research and development and general and administrative costs will increase in connection with conducting clinical trials for RPL554 and seeking marketing approval for RPL554 in the United States and Europe as well as other jurisdictions. As a result, we will need additional capital to fund our operations, which we may obtain from additional financings, research funding, collaborations, contract and grant revenue or other sources.</w:t>
      </w:r>
    </w:p>
    <w:p>
      <w:pPr>
        <w:spacing w:after="0" w:line="21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do not currently have any approved products and have never generated any revenue from product sales or otherwise. To date, we have financed our operations primarily through the issuances of our equity securities, including warrants. Since our inception, we raised gross proceeds of £74.6 million from private placements of equity securities. As of December 31, 2016, we had cash and cash equivalents of £39.8 million.</w:t>
      </w:r>
    </w:p>
    <w:p>
      <w:pPr>
        <w:spacing w:after="0" w:line="17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summaries our cash flows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11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6"/>
          </w:tcPr>
          <w:p>
            <w:pPr>
              <w:jc w:val="right"/>
              <w:ind w:right="72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62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(6,357)</w:t>
            </w:r>
          </w:p>
        </w:tc>
        <w:tc>
          <w:tcPr>
            <w:tcW w:w="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(7,842)</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(5,588)</w:t>
            </w:r>
          </w:p>
        </w:tc>
        <w:tc>
          <w:tcPr>
            <w:tcW w:w="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(6,894)</w:t>
            </w:r>
          </w:p>
        </w:tc>
        <w:tc>
          <w:tcPr>
            <w:tcW w:w="1160" w:type="dxa"/>
            <w:vAlign w:val="bottom"/>
          </w:tcPr>
          <w:p>
            <w:pPr>
              <w:spacing w:after="0"/>
              <w:rPr>
                <w:sz w:val="17"/>
                <w:szCs w:val="17"/>
                <w:color w:val="auto"/>
              </w:rPr>
            </w:pPr>
          </w:p>
        </w:tc>
      </w:tr>
      <w:tr>
        <w:trPr>
          <w:trHeight w:val="203"/>
        </w:trPr>
        <w:tc>
          <w:tcPr>
            <w:tcW w:w="54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financing activities</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41,203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50,833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5420" w:type="dxa"/>
            <w:vAlign w:val="bottom"/>
            <w:gridSpan w:val="2"/>
          </w:tcPr>
          <w:p>
            <w:pPr>
              <w:ind w:left="1140"/>
              <w:spacing w:after="0" w:line="196" w:lineRule="exact"/>
              <w:rPr>
                <w:sz w:val="20"/>
                <w:szCs w:val="20"/>
                <w:color w:val="auto"/>
              </w:rPr>
            </w:pPr>
            <w:r>
              <w:rPr>
                <w:rFonts w:ascii="Arial" w:cs="Arial" w:eastAsia="Arial" w:hAnsi="Arial"/>
                <w:sz w:val="18"/>
                <w:szCs w:val="18"/>
                <w:color w:val="auto"/>
                <w:w w:val="99"/>
              </w:rPr>
              <w:t>Net (decrease) increase in cash and cash equivalents</w:t>
            </w: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4"/>
              </w:rPr>
              <w:t>(6,449)</w:t>
            </w:r>
          </w:p>
        </w:tc>
        <w:tc>
          <w:tcPr>
            <w:tcW w:w="3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(7,956)</w:t>
            </w:r>
          </w:p>
        </w:tc>
        <w:tc>
          <w:tcPr>
            <w:tcW w:w="2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35,574</w:t>
            </w:r>
          </w:p>
        </w:tc>
        <w:tc>
          <w:tcPr>
            <w:tcW w:w="100" w:type="dxa"/>
            <w:vAlign w:val="bottom"/>
          </w:tcPr>
          <w:p>
            <w:pPr>
              <w:spacing w:after="0"/>
              <w:rPr>
                <w:sz w:val="17"/>
                <w:szCs w:val="17"/>
                <w:color w:val="auto"/>
              </w:rPr>
            </w:pPr>
          </w:p>
        </w:tc>
        <w:tc>
          <w:tcPr>
            <w:tcW w:w="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43,888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decrease in net cash used in operating activities to £5.6 million for the year ended December 31, 2016 from £6.4 million for the year ended December 31, 2015 was primarily due to a decrease in loss before taxation driven by lower research and development costs.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decrease in net cash used in investing activities to £41 thousand for the year ended December 31, 2016 from £92 thousand for the year ended December 31, 2015 was primarily due to an increase in interest income received on the company cash balances during 2016.</w:t>
      </w:r>
    </w:p>
    <w:p>
      <w:pPr>
        <w:spacing w:after="0" w:line="209" w:lineRule="exact"/>
        <w:rPr>
          <w:sz w:val="20"/>
          <w:szCs w:val="20"/>
          <w:color w:val="auto"/>
        </w:rPr>
      </w:pPr>
    </w:p>
    <w:p>
      <w:pPr>
        <w:ind w:right="620"/>
        <w:spacing w:after="0" w:line="299" w:lineRule="auto"/>
        <w:rPr>
          <w:sz w:val="20"/>
          <w:szCs w:val="20"/>
          <w:color w:val="auto"/>
        </w:rPr>
      </w:pPr>
      <w:r>
        <w:rPr>
          <w:rFonts w:ascii="Arial" w:cs="Arial" w:eastAsia="Arial" w:hAnsi="Arial"/>
          <w:sz w:val="16"/>
          <w:szCs w:val="16"/>
          <w:color w:val="auto"/>
        </w:rPr>
        <w:t>The increase in net cash from financing activities to £41.2 million for the year ended December 31, 2016 from £nil for the year ended December 31, 2015 was due to the cash received from the sale of our equity securities and warrants in connection with the July Placement.</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23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of December 31, 2016, we had an accumulated loss of £28.7 million. We expect to continue to incur significant operating losses for the foreseeable future as we continue our research and development efforts and seek to obtain regulatory approval and commercialization of RPL554 and any future product candidate we develop.</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RPL554 and any future product candidates. In addition, upon the closing of this offering, we expect to incur additional costs associated with operating as a U.S. public company listed on NASDAQ in addition to operating as a U.K. public company listed on AIM. We anticipate that our expenses will increase substantially if and as we:</w:t>
      </w:r>
    </w:p>
    <w:p>
      <w:pPr>
        <w:spacing w:after="0" w:line="209" w:lineRule="exact"/>
        <w:rPr>
          <w:sz w:val="20"/>
          <w:szCs w:val="20"/>
          <w:color w:val="auto"/>
        </w:rPr>
      </w:pPr>
    </w:p>
    <w:p>
      <w:pPr>
        <w:ind w:left="1080" w:right="480" w:hanging="532"/>
        <w:spacing w:after="0" w:line="183"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clinical trials for RPL554 for the maintenance treatment of COPD and as a treatment for acute COPD;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initiate and conduct our planned clinical trials for RPL554 for the treatment of CF;</w:t>
      </w:r>
    </w:p>
    <w:p>
      <w:pPr>
        <w:spacing w:after="0" w:line="194"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continue the research and development of other formulations of RPL554, including developing our DPI and MDI formulations of RPL554;</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initiate and progress pre-clinical studies relating to other potential indications of RPL554;</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seek to discover and develop additional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maintain, expand and protect our intellectual property portfolio;</w:t>
      </w:r>
    </w:p>
    <w:p>
      <w:pPr>
        <w:spacing w:after="0" w:line="194" w:lineRule="exact"/>
        <w:rPr>
          <w:rFonts w:ascii="Arial" w:cs="Arial" w:eastAsia="Arial" w:hAnsi="Arial"/>
          <w:sz w:val="29"/>
          <w:szCs w:val="29"/>
          <w:color w:val="auto"/>
          <w:vertAlign w:val="superscript"/>
        </w:rPr>
      </w:pPr>
    </w:p>
    <w:p>
      <w:pPr>
        <w:jc w:val="both"/>
        <w:ind w:left="1080" w:right="20" w:hanging="532"/>
        <w:spacing w:after="0" w:line="197"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U.S. public company listed on the NASDAQ; and</w:t>
      </w:r>
    </w:p>
    <w:p>
      <w:pPr>
        <w:spacing w:after="0" w:line="196"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existing cash and cash equivalents, together with anticipated net proceeds from this offering, will enable us to fund our</w:t>
      </w:r>
    </w:p>
    <w:p>
      <w:pPr>
        <w:spacing w:after="0" w:line="236" w:lineRule="auto"/>
        <w:rPr>
          <w:sz w:val="20"/>
          <w:szCs w:val="20"/>
          <w:color w:val="auto"/>
        </w:rPr>
      </w:pPr>
      <w:r>
        <w:rPr>
          <w:rFonts w:ascii="Arial" w:cs="Arial" w:eastAsia="Arial" w:hAnsi="Arial"/>
          <w:sz w:val="18"/>
          <w:szCs w:val="18"/>
          <w:color w:val="auto"/>
        </w:rPr>
        <w:t>operating expenses and capital expenditure requirements through . We have based this estimate on assumptions that may prove to be wrong, and we may use our available capital resources sooner than we currently expect. Because of the numerous risks and uncertainties associated with the development of RPL554 and any future product candidates and because the extent to which we may enter into collaborations with third parties for development of RPL554 is unknown, we are unable to estimate the amounts of increased capital outlays and operating expenses associated with completing the research and development of RPL554. Our future capital requirements for RPL554 or any future product candidates will depend on many factors, including:</w:t>
      </w:r>
    </w:p>
    <w:p>
      <w:pPr>
        <w:spacing w:after="0" w:line="210" w:lineRule="exact"/>
        <w:rPr>
          <w:sz w:val="20"/>
          <w:szCs w:val="20"/>
          <w:color w:val="auto"/>
        </w:rPr>
      </w:pPr>
    </w:p>
    <w:p>
      <w:pPr>
        <w:ind w:left="1080" w:right="38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progress, timing and completion of pre-clinical testing and clinical trials for RPL554 or any future product candidates and the potential that we may be required to conduct additional clinical trials for RPL554;</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number of potential new product candidates we decide to in-license and develop;</w:t>
      </w:r>
    </w:p>
    <w:p>
      <w:pPr>
        <w:spacing w:after="0" w:line="194" w:lineRule="exact"/>
        <w:rPr>
          <w:rFonts w:ascii="Arial" w:cs="Arial" w:eastAsia="Arial" w:hAnsi="Arial"/>
          <w:sz w:val="29"/>
          <w:szCs w:val="29"/>
          <w:color w:val="auto"/>
          <w:vertAlign w:val="superscript"/>
        </w:rPr>
      </w:pPr>
    </w:p>
    <w:p>
      <w:pPr>
        <w:ind w:left="1080" w:right="118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costs involved in growing our organization to the size needed to allow for the research, development and potential commercialization of RPL554 or any future product candidates;</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the time and costs involved in obtaining regulatory approvals for RPL554 or any future product candidate we develop and any delays we may encounter as a result of evolving regulatory requirements or adverse results with respect to RPL554 any future product candidates;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any licensing or milestone fees we might have to pay during future development of RPL554 or any future product candidates;</w:t>
      </w:r>
    </w:p>
    <w:p>
      <w:pPr>
        <w:spacing w:after="0" w:line="194" w:lineRule="exact"/>
        <w:rPr>
          <w:rFonts w:ascii="Arial" w:cs="Arial" w:eastAsia="Arial" w:hAnsi="Arial"/>
          <w:sz w:val="29"/>
          <w:szCs w:val="29"/>
          <w:color w:val="auto"/>
          <w:vertAlign w:val="superscript"/>
        </w:rPr>
      </w:pPr>
    </w:p>
    <w:p>
      <w:pPr>
        <w:ind w:left="1080" w:right="400" w:hanging="532"/>
        <w:spacing w:after="0" w:line="183"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selling and marketing activities undertaken in connection with the anticipated commercialization of RPL554 or any future product candidates, if approved, and costs involved in the creation of an effective sales and marketing organization; and</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the amount of revenues, if any, we may derive either directly or in the form of royalty payments from future sales of RPL554 or any future product candidates, if approved.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commercial revenues, if any, will be derived from sales of products that we do not expect to be commercially available for many years, if ever.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need to obtain substantial additional funds to achieve our business objective.</w:t>
      </w:r>
    </w:p>
    <w:p>
      <w:pPr>
        <w:spacing w:after="0" w:line="212"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8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contractual obligations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Less than</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1 - 3</w:t>
            </w: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More than</w:t>
            </w:r>
          </w:p>
        </w:tc>
        <w:tc>
          <w:tcPr>
            <w:tcW w:w="1320" w:type="dxa"/>
            <w:vAlign w:val="bottom"/>
            <w:gridSpan w:val="2"/>
          </w:tcPr>
          <w:p>
            <w:pPr>
              <w:spacing w:after="0"/>
              <w:rPr>
                <w:sz w:val="12"/>
                <w:szCs w:val="12"/>
                <w:color w:val="auto"/>
              </w:rPr>
            </w:pPr>
          </w:p>
        </w:tc>
      </w:tr>
      <w:tr>
        <w:trPr>
          <w:trHeight w:val="175"/>
        </w:trPr>
        <w:tc>
          <w:tcPr>
            <w:tcW w:w="11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 years</w:t>
            </w:r>
          </w:p>
        </w:tc>
        <w:tc>
          <w:tcPr>
            <w:tcW w:w="1320" w:type="dxa"/>
            <w:vAlign w:val="bottom"/>
            <w:gridSpan w:val="2"/>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5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£270</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£270</w:t>
            </w:r>
          </w:p>
        </w:tc>
        <w:tc>
          <w:tcPr>
            <w:tcW w:w="160" w:type="dxa"/>
            <w:vAlign w:val="bottom"/>
          </w:tcPr>
          <w:p>
            <w:pPr>
              <w:spacing w:after="0"/>
              <w:rPr>
                <w:sz w:val="17"/>
                <w:szCs w:val="17"/>
                <w:color w:val="auto"/>
              </w:rPr>
            </w:pPr>
          </w:p>
        </w:tc>
        <w:tc>
          <w:tcPr>
            <w:tcW w:w="460" w:type="dxa"/>
            <w:vAlign w:val="bottom"/>
          </w:tcPr>
          <w:p>
            <w:pPr>
              <w:ind w:left="180"/>
              <w:spacing w:after="0" w:line="196" w:lineRule="exact"/>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7"/>
                <w:szCs w:val="17"/>
                <w:color w:val="auto"/>
              </w:rPr>
            </w:pPr>
          </w:p>
        </w:tc>
        <w:tc>
          <w:tcPr>
            <w:tcW w:w="460" w:type="dxa"/>
            <w:vAlign w:val="bottom"/>
          </w:tcPr>
          <w:p>
            <w:pPr>
              <w:ind w:left="180"/>
              <w:spacing w:after="0" w:line="196" w:lineRule="exact"/>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7"/>
                <w:szCs w:val="17"/>
                <w:color w:val="auto"/>
              </w:rPr>
            </w:pPr>
          </w:p>
        </w:tc>
        <w:tc>
          <w:tcPr>
            <w:tcW w:w="208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3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table above does not include assumed contingent obligation payments we may be required to make under the Vernalis Agreement because the amount, timing and likelihood of payment are not known. Such additional payment obligations may be material. See sections titled "— License Agreement with Vernalis" and "Business — Vernalis Agreement."</w:t>
      </w:r>
    </w:p>
    <w:p>
      <w:pPr>
        <w:spacing w:after="0" w:line="208"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In addition, we enter into contracts in the ordinary course of business with CROs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connection with the preparation for this initial public offering, we reassessed our critical accounting policies to ensure compliance with IFRS. As part of this reassessment, we identified errors relating to the recognition of assumed liabilities and goodwill in connection with the acquisition of Rhinopharma in September 2006. These errors are discussed further in the notes to our Annual Consolidated Financial Statements included elsewhere in this prospectus. The correction of these errors is reflected within our consolidated financial statements included elsewhere in this prospectus and is reflected in our financial statements prepared for U.K. reporting requirements for the year ended December 31, 2016.</w:t>
      </w:r>
    </w:p>
    <w:p>
      <w:pPr>
        <w:spacing w:after="0" w:line="18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concluded that a lack of adequate controls surrounding our historic accounting for business combinations constituted a material weakness in our internal control over financial reporting, as defined in the standards established by the U.S. Public Accounting Oversight Board, or the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are currently in the process of remediating this material weakness and are taking steps that we believe will address the underlying causes of the material weakness by the hiring of our new chief financial officer and enhancing our financial reporting team's technical accounting knowledge associated with the accounting rules for business combinations. However, we cannot be certain that these efforts will be sufficient to remediate this material weakness or prevent future material weaknesses or significant deficiencies from occurring.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counterparties to be low and do not have a significant concentration of credit risk at any of our counterparties.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3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manage our liquidity risk by maintaining adequate cash reserves at banking facilities, and by continuously monitoring our cash forecasts, our actual cash flows and by matching the maturity profiles of financial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Our financial position, as expressed in pounds sterling, are exposed to movements in foreign exchange rates against the U.S. dollar and the euro. Our main trading currencies are pounds sterling, the U.S. dollar and the euro. We are exposed to foreign currency risk as a result of operating transactions and the translation for foreign bank accounts. We monitor our exposure to foreign exchange risk. We have not entered into foreign exchange contracts to hedge against gains or losses from foreign exchange fluctuations.</w:t>
      </w:r>
    </w:p>
    <w:p>
      <w:pPr>
        <w:spacing w:after="0" w:line="21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Interest rate risk reflects the risk that the value of a financial instrument will fluctuate as a result of change in market interest rates on classes of financial assets and financial liabilities. We do not hold any derivative instruments to manage interest rate risk.</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IFRS as issued by the IASB.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 There have been no material adjustments to prior period estimates for any of the periods included in this prospectus.</w:t>
      </w:r>
    </w:p>
    <w:p>
      <w:pPr>
        <w:spacing w:after="0" w:line="21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significant accounting policies are more fully described in the notes to our financial statements appearing elsewhere in this prospectus. We believe that the following accounting policies are the most critical to aid you in fully understanding and evaluating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Contingent Obligation</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 significant management estimate relates to the probability, amount and timing of any payment relating to the assumed contingent obligation under the Vernalis Agreement, a provision for which is recorded in our statement of financial position. See "— License Agreement with Vernalis," "Business — Vernalis Agreement" and Note 21 to our Annual Consolidated Financial Statements included elsewhere in this prospectus. A change in the probability and timing of any payment relating to the assumed contingent obligation could result in a significant fluctuation in our financial results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measure share options at fair value at their grant date in accordance with IFRS 2, "Share-based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232"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At each reporting date, we review the carrying value of our tangible and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Derivative Financial Liability</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July Placement, we issued 31,115,926 warrants to new and existing institutional and other investors. Each warrant is entitled to purchase 0.4 of an ordinary share at a price of £1.7238. Each warrant is exercisable beginning upon the closing of this offering and will expire on the fifth anniversary of the closing of this offering.</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classify these warrants as a derivative financial liability to be presented on our consolidated statement of financial position. The fair value of these warrants is determined by applying the Black-Scholes model. Assumptions are made on inputs such as time to maturity, the share price, volatility and risk free rate, in order to determine the fair value per warrant. For valuation purposes at recognition of the liability, we used the closing share price of our ordinary shares as reported on AIM on July 29, 2016, the date of issuance of the warrants.</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At the date of issuance of the warrants we calculated a fair value and recorded a derivative financial liability, which on initial recognition was offset against the share premium in relation to the funds received in connection with the July Placement. Subsequent updates to the fair value of the derivative financial liability will not result in changes to share premium, but will result in an adjusting entry in the consolidated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derivative financial liability statement of comprehensive income. We will continue to adjust the derivative financial liability until the earlier of the exercise of the warrants or expiration of the warrants occurs.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refer to Note 2 to our Annual Consolidated Financial Statements for the year ended December 31, 2016 included elsewhere in this prospectus for a discussion of new standards and interpretations not yet adopted by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are not aware of any therapy in a single compound in clinical development or approved by the U.S. Food and Drug Administration, or FDA, or the European Medicines Agency, or EMA, for the treatment of respiratory diseases that acts as both a bronchodilator and anti-inflammatory agent. We believe RPL554 has the potential to be the first novel class of bronchodilator in over 40 years. We have completed eight Phase 1 and 2a clinical trials for RPL554, with 282 subjects enrolled. In our clinical trials, treatment with RPL554 has been observed to result in statistically significant improvements in lung function as compared to placebo. Statistically significant means that there is a low statistical probability, typically less than 5%, that the observed results occurred by chance alone. Our clinical trials also have shown clinically meaningful and statistically significant improvements in lung function when RPL554 is added to two commonly used bronchodilators as compared to either bronchodilator administered as a single agent. RPL554 also has shown anti-inflammatory effects and been well tolerated in our clinical trials, and has not been observed to result in the gastrointestinal or other side effects commonly associated with Roflumilast, the only PDE4 inhibitor currently on the market for the treatment of COPD. We are developing RPL554 for the treatment of patients with chronic obstructive pulmonary disease, or COPD, and for the treatment of patients with cystic fibrosis, or CF. We believe RPL554, if approved, has the potential to become an important and novel treatment and standard of care for these patients. We may also explore, alone or with a collaborator, the development of RPL554 to treat asthma and other respiratory diseases.</w:t>
      </w:r>
    </w:p>
    <w:p>
      <w:pPr>
        <w:spacing w:after="0" w:line="21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We also are developing RPL554 in a nebulized formulation as an add-on therapy to short-acting bronchodilators and other commonly used therapies for the treatment of hospitalized patients with acute exacerbations of COPD.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 disadvantages, which include length of treatment administration and required cleaning. In addition, use of a nebulizer is generally preferred when administering larger doses in the hospital setting. We also are developing our nebulized formulation of RPL554 for CF, which is a disease commonly treated with a nebulizer.</w:t>
      </w:r>
    </w:p>
    <w:p>
      <w:pPr>
        <w:spacing w:after="0" w:line="20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To evaluate RPL554 in a nebulized formulation for the maintenance treatment of COPD, we plan to commence a Phase 1 single-dose pharmacokinetic, or PK, trial in approximately 12 healthy volunteers in the United States in mid-2017 and a four-week Phase 2b dose-ranging clinical trial in Europe for RPL554 for maintenance treatment in approximately 400 patients with COPD by the end of 2017. We expect to report top-line data from these trials in first half of 2018 and by the end of 2018, respectively. A PK trial involves the study of the process of bodily absorption, distribution, metabolism and excretion of a drug. In February 2017, we also commenced a Phase 2a clinical trial in the first half of 2017 in the United Kingdom evaluating RPL554 in approximately 30 patients with COPD as an add-on therapy to tiotropium, a commonly used long-acting bronchodilator. We expect to report top-line data from this trial in the fourth quarter of 2017. Our planned clinical trials for RPL554 for the maintenance treatment of COPD will be designed to evaluate the effect on lung function, as measured by the maximal volume of air a person can forcefully exhale in one second, or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and duration of action of the product candidate. These clinical endpoints are commonly used in clinical</w:t>
      </w:r>
    </w:p>
    <w:p>
      <w:pPr>
        <w:spacing w:after="0" w:line="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trials for respiratory diseases and have been used by other companies in obtaining FDA approval of drugs addressing respiratory diseases. We also plan to commence a Phase 2 clinical trial in the United States for RPL554 for the treatment of acute exacerbations of COPD in approximately 150 patients in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we plan to commence a Phase 2a single-dose PK and pharmacodynamics, or PD, trial in the United Kingdom in the first half of 2017 evaluating RPL554 in approximately ten CF patients and expect to report top-line data from this trial in the first half of 2018. A PD trial involves the study of the biochemical and physiological effects of a drug and its mechanism of action, including the correlation of the drug's actions and effects with its chemical structure. The results of this clinical trial will support dose selection for a proof-of-concept Phase 2b trial in Europe in approximately 100 patients with CF, which we plan to commence in 2018.</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also are developing RPL554 in both dry powder inhaler, or DPI, and metered dose inhaler, or MDI, formulations for the maintenance treatment of COPD. Handheld DPI and MDI devices are the most common forms of drug delivery in non-hospitalized patients with COPD and are well suited for maintenance therapy.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and other respiratory diseases. Following the completion of our DPI and MDI formulation process, we plan to commence pre-clinical studies for RPL554 in these formulations in 2018.</w:t>
      </w:r>
    </w:p>
    <w:p>
      <w:pPr>
        <w:spacing w:after="0" w:line="21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Chronic inflammation plays a central role in the pathology of the disease, and is particularly prominent in the airways of COPD patients. COPD includes chronic bronchitis, which refers to the inflammation of the lung and airways that results in coughing and sputum production, and emphysema, which refers to a destruction of distal lung tissue, or air sacs. In some cases, patients with COPD experience exacerbations, which are estimated to cause approximately 1.5 million emergency department visits, 687,000 hospitalizations and 129,000 deaths per year in the United States alone. According to the World Health Organization, COPD is the third leading cause of death globally, with 210 million people worldwide suffering from the disease. It is estimated that there are 24 million people with COPD in the United States, only half of whom have been diagnosed. Total annual medical costs relating to COPD in the United States were estimated to be $32 billion in 2010 and are projected to rise to $49 billion in 2020. Global sales of drugs currently indicated for COPD are expected to be $10.6 billion in 2016 and are expected to grow to $15.6 billion in 2019.</w:t>
      </w:r>
    </w:p>
    <w:p>
      <w:pPr>
        <w:spacing w:after="0" w:line="21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COPD patients are commonly treated with bronchodilators, which seek to relieve airway constriction and make it easier to breathe, and corticosteroids, which seek to reduce lung inflammation. For patients with more severe disease who experience recurrent exacerbations, and for whom inhaled corticosteroids are not effective, an oral formulation of a PDE4 inhibitor, which is an anti-inflammatory agent, may also be used as treatment. Despite the wide availability of these therapies, many COPD patients continue to suffer exacerbations and have continued respiratory symptoms, which limit their daily activities. Furthermore, current therapies have not demonstrated an ability to change the progressive decline in lung function or reduce the mortality associated with COPD. We believe there is an urgent and unmet medical need for new and more effective treatments for COPD to reduce the number and burden of symptoms, reduce exacerbations and establish a consistent and durable treatment response.</w:t>
      </w:r>
    </w:p>
    <w:p>
      <w:pPr>
        <w:spacing w:after="0" w:line="20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Cystic fibrosis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the median age of death for CF patients is 37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The FDA and the EMA provide incentives for sponsors to develop products for orphan diseases, and we plan to seek orphan drug designation for RPL554 in treating CF. CF patients require lifelong treatment with multiple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in 2020.</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RPL554 is a first-in-class, inhaled, dual inhibitor of PDE3 and PDE4. Phosodiesterases, or PDEs, are well known and validated therapeutic targets, and many PDE inhibitors, with different specificities, are currently available in the market for other indications. PDE3 is present in airways and the lung, and inhibition of this enzyme is primarily responsible for the bronchodilatory action of RPL554. PDE4 is found in inflammatory and epithelial cells, and inhibition of this enzyme contributes to RPL554's anti-inflammatory activity. PDEs metabolize the critical signaling molecules, cyclic adenosine monophosphate, or cAMP, and cyclic guanosine monophosphate, or cGMP. By inhibiting PDE3 and PDE4, RPL554 increases the levels of cAMP and cGMP, resulting in bronchodilator and anti-inflammatory effects. RPL554 also stimulates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three key mechanisms of action of RPL554 in respiratory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132715</wp:posOffset>
            </wp:positionV>
            <wp:extent cx="5514340" cy="3044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1434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21" w:lineRule="auto"/>
        <w:rPr>
          <w:sz w:val="20"/>
          <w:szCs w:val="20"/>
          <w:color w:val="auto"/>
        </w:rPr>
      </w:pPr>
      <w:r>
        <w:rPr>
          <w:rFonts w:ascii="Arial" w:cs="Arial" w:eastAsia="Arial" w:hAnsi="Arial"/>
          <w:sz w:val="17"/>
          <w:szCs w:val="17"/>
          <w:color w:val="auto"/>
        </w:rPr>
        <w:t>In our clinical trials, RPL554 has shown rapid onset and durable bronchodilation in healthy subjects and patients with COPD when inhaled from a nebulizer. In addition, RPL554 has been observed to be complementary and additive when administered as an add-on therapy to other currently marketed bronchodilators. Our most recent clinical trial of RPL554 was a Phase 2a clinical trial in 36 patients with COPD. Our primary objective in this clinical trial was to evaluate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and the duration of action of RPL554. We evaluated</w:t>
      </w:r>
    </w:p>
    <w:p>
      <w:pPr>
        <w:spacing w:after="0" w:line="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RPL554 administered as a single agent as compared to placebo and two commonly used bronchodilators, albuterol, also known as salbutamol</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13" w:lineRule="auto"/>
        <w:rPr>
          <w:sz w:val="20"/>
          <w:szCs w:val="20"/>
          <w:color w:val="auto"/>
        </w:rPr>
      </w:pPr>
      <w:r>
        <w:rPr>
          <w:rFonts w:ascii="Arial" w:cs="Arial" w:eastAsia="Arial" w:hAnsi="Arial"/>
          <w:sz w:val="17"/>
          <w:szCs w:val="17"/>
          <w:color w:val="auto"/>
        </w:rPr>
        <w:t>and marketed as Ventolin, and ipratropium, marketed as Atrovent. We also evaluated RPL554 administered as an add-on therapy to either albuterol or ipratropium, in each case as compared to albuterol or ipratropium alone. We observed that RPL554 administered as a single agent produced statistically significant improvements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as compared to placebo, with a p-value of less than 0.001.</w:t>
      </w:r>
    </w:p>
    <w:p>
      <w:pPr>
        <w:spacing w:after="0" w:line="2" w:lineRule="exact"/>
        <w:rPr>
          <w:sz w:val="20"/>
          <w:szCs w:val="20"/>
          <w:color w:val="auto"/>
        </w:rPr>
      </w:pPr>
    </w:p>
    <w:p>
      <w:pPr>
        <w:ind w:right="180"/>
        <w:spacing w:after="0" w:line="213" w:lineRule="auto"/>
        <w:rPr>
          <w:sz w:val="20"/>
          <w:szCs w:val="20"/>
          <w:color w:val="auto"/>
        </w:rPr>
      </w:pPr>
      <w:r>
        <w:rPr>
          <w:rFonts w:ascii="Arial" w:cs="Arial" w:eastAsia="Arial" w:hAnsi="Arial"/>
          <w:sz w:val="17"/>
          <w:szCs w:val="17"/>
          <w:color w:val="auto"/>
        </w:rPr>
        <w:t>P-value is a conventional statistical method for measuring the statistical significance of clinical results. A p-value of 0.05 or less represents statistical significance, meaning that there is a less than 1-in-20 likelihood that the observed results occurred by chance. We also observed clinically meaningful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when RPL554 was administered as an add-</w:t>
      </w:r>
    </w:p>
    <w:p>
      <w:pPr>
        <w:spacing w:after="0" w:line="2"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on therapy to standard doses of albuterol and ipratropium as compared to standard doses of either bronchodilator alone. In this clinical trial, we observed the effect size, or peak improvement minus placebo improvement, was 51% higher for the add-on-therapy of RPL554 with albuterol as compared to albuterol alone, and 66% higher for the add-on-therapy of RPL554 with ipratropium as compared to ipratropium alone. In addition, RPL554 administered as an add-on therapy to either albuterol or ipratropium resulted in a statistically significant reduction in time of onset of bronchodilation as compared to albuterol or ipratropium alone.</w:t>
      </w:r>
    </w:p>
    <w:p>
      <w:pPr>
        <w:spacing w:after="0" w:line="2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RPL554 also has shown anti-inflammatory effects. In a Phase 1 clinical trial, 21 healthy evaluable subjects were treated with either RPL554 or placebo once daily for six days before airway challenge with aerosolized lipopolysaccharide, or LPS. LPS challenge induces an inflammatory response in the lung with a large proportion of neutrophils, which is a common type of white blood cell widely recognized as the most important inflammatory cell in COPD. LPS challenge is a well-validated and commonly used measure to assess the anti-inflammatory effects of novel compounds and is of particular relevance to drugs used in the treatment of COPD. Subjects treated with RPL554 were observed to have significantly lower absolute numbers of neutrophils in sputum collected six hours after LPS challenge, and a significant reduction in the absolute numbers of other inflammatory cells, including lymphocytes, macrophages and eosinophils, at the same time point. Eosinophils are prevalent in the lungs of some patients with COPD and in the vast majority of patients with asthma. These observations suggest that RPL554 also has the potential to target the chronic inflammatory processes in COPD, CF and other respiratory diseases, including asthma.</w:t>
      </w: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based on our pre-clinical studies, we believe that RPL554 has the potential to reduce the deleterious inflammation in CF patients, which is largely driven by neutrophils, reduce airway obstruction through bronchodilation and enhance mucociliary clearance through stimulation of the CFTR on airway epithelial cells. We believe the bronchodilator and anti-inflammatory properties of RPL554, combined with its ability to decrease mucus viscosity thereby improving mucociliary clearance, suggest that inhibition of PDE3 and PDE4 is an attractive therapeutic strategy to treat CF.</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worldwide commercialization rights for RPL554. Our intellectual property portfolio includes five issued U.S. patents, three pending U.S. patent applications, 15 issued foreign patents in countries including China, Canada, Brazil, Japan, Mexico and Australia, and also including two issued European patents that have been validated in many European countries, including Germany, Italy, Spain, France and the United Kingdom, and 32 pending foreign applications in regions including Canada, Mexico, Asia and Europe, and also including two patent applications made under the Patent Cooperation Treaty, or PCT. These patents and patent applications include claims directed to RPL554 composition of matter, new dosage formulations and a crystalline polymorph, as well as methods of making and using RPL554 in the treatment of respiratory diseases, with expected expiry dates not earlier than between 2020 and 2037.</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were incorporated in February 2005 and are headquartered in the United Kingdom. Since September 2006, our ordinary shares have traded on AIM, a market of the London Stock Exchange, under the symbol "VRP". We have raised £74.6 million in gross proceeds from investors since such listing, of which £44.7 million was raised in our most recent private placement of equity securities in July 2016 with a number of European and U.S.-based healthcare specialist investment firms. Members of our management team and board of directors have extensive experience in large pharmaceutical and biotechnology companies in respiratory product development from drug discovery through commercialization and have played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important roles in the development and commercialization of several approved respiratory treatments, including Symbicort, Daliresp/Daxas, Spiriva and Flutiform.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132715</wp:posOffset>
            </wp:positionV>
            <wp:extent cx="5480050" cy="32931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8005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company has the following key distinguishing characteristics:</w:t>
      </w:r>
    </w:p>
    <w:p>
      <w:pPr>
        <w:spacing w:after="0" w:line="205" w:lineRule="exact"/>
        <w:rPr>
          <w:sz w:val="20"/>
          <w:szCs w:val="20"/>
          <w:color w:val="auto"/>
        </w:rPr>
      </w:pPr>
    </w:p>
    <w:p>
      <w:pPr>
        <w:ind w:left="1080" w:hanging="532"/>
        <w:spacing w:after="0" w:line="23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 for multiple targeted indications, formulations and add-on therapies. </w:t>
      </w:r>
      <w:r>
        <w:rPr>
          <w:rFonts w:ascii="Arial" w:cs="Arial" w:eastAsia="Arial" w:hAnsi="Arial"/>
          <w:sz w:val="18"/>
          <w:szCs w:val="18"/>
          <w:color w:val="auto"/>
        </w:rPr>
        <w:t>We are developing RPL554 in a nebulized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for the maintenance treatment of COPD patients, as an add-on therapy to short-acting bronchodilators and other commonly used therapies for the treatment of hospitalized patients with acute exacerbations of COPD and the treatment of CF. We also are developing RPL554 in both DPI and MDI formulations for the maintenance treatment of COPD. In addition, we may explore the development of RPL554 in these formulations for the treatment of asthma and other respiratory diseases. Based on the favorable properties of RPL554 that we have observed in our clinical trials, we believe RPL554 has broad potential applicability in the treatment of other respiratory diseases, either as a single agent or as an add-on therapy.</w:t>
      </w:r>
    </w:p>
    <w:p>
      <w:pPr>
        <w:spacing w:after="0" w:line="204"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Observed clinical benefit as a single agent and as an add-on therapy with a favorable safety profile. </w:t>
      </w:r>
      <w:r>
        <w:rPr>
          <w:rFonts w:ascii="Arial" w:cs="Arial" w:eastAsia="Arial" w:hAnsi="Arial"/>
          <w:sz w:val="18"/>
          <w:szCs w:val="18"/>
          <w:color w:val="auto"/>
        </w:rPr>
        <w:t>We have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eight Phase 1 and 2a clinical trials for RPL554 with 282 subjects enrolled. We have observed statistically significant improvements in lung function as compared to placebo, as well as clinically meaningful and statistically significant improvements in lung function when RPL554 is added to two commonly used bronchodilators as compared to either bronchodilator administered as a single agent. In addition, we observed a more rapid time of onset of bronchodilation when RPL554 was administered as an add-on therapy to albuterol or ipratropium. RPL554 also has shown anti-inflammatory effects and been well tolerated in our clinical trials, and has not been observed to result in the gastrointestinal or other side effects commonly associated with Roflumilast, the only PDE4 inhibitor currently on the market. In addition, RPL554 has not been observed to result in any cardiovascular effects, other than a small increase in heart rate at the highest doses tested.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1080" w:hanging="532"/>
        <w:spacing w:after="0" w:line="274"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mechanism of action in a single compound. </w:t>
      </w:r>
      <w:r>
        <w:rPr>
          <w:rFonts w:ascii="Arial" w:cs="Arial" w:eastAsia="Arial" w:hAnsi="Arial"/>
          <w:sz w:val="16"/>
          <w:szCs w:val="16"/>
          <w:color w:val="auto"/>
        </w:rPr>
        <w:t>RPL554 is a first-in-class, inhaled, dual inhibitor of PDE3 and PDE4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acts as both a bronchodilator and an anti-inflammatory agent in a single compound and stimulates the CFTR.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 and CF. In addition, through this dual mechanism, RPL554 also stimulates the CFTR, which is important in the treatment of CF and potentially COPD. We believe that RPL554 has the potential to be a more effective and better tolerated treatment of COPD than existing treatments for COPD, including the approved PDE4 inhibitor.</w:t>
      </w:r>
    </w:p>
    <w:p>
      <w:pPr>
        <w:spacing w:after="0" w:line="177" w:lineRule="exact"/>
        <w:rPr>
          <w:rFonts w:ascii="Arial" w:cs="Arial" w:eastAsia="Arial" w:hAnsi="Arial"/>
          <w:sz w:val="16"/>
          <w:szCs w:val="16"/>
          <w:color w:val="auto"/>
        </w:rPr>
      </w:pPr>
    </w:p>
    <w:p>
      <w:pPr>
        <w:ind w:left="1080" w:right="60" w:hanging="532"/>
        <w:spacing w:after="0" w:line="21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regulatory pathway and well-defined clinical endpoints. </w:t>
      </w:r>
      <w:r>
        <w:rPr>
          <w:rFonts w:ascii="Arial" w:cs="Arial" w:eastAsia="Arial" w:hAnsi="Arial"/>
          <w:sz w:val="18"/>
          <w:szCs w:val="18"/>
          <w:color w:val="auto"/>
        </w:rPr>
        <w:t>Our planned clinical trials for RPL554 for the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COPD will be designed to evaluate the effect on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and duration of action of our product candidate. These clinical endpoints are commonly used in clinical trials for respiratory diseases and have been used by other companies in obtaining FDA approval of drugs addressing respiratory diseases.</w:t>
      </w:r>
    </w:p>
    <w:p>
      <w:pPr>
        <w:spacing w:after="0" w:line="190"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Addressing significant market opportunities. </w:t>
      </w:r>
      <w:r>
        <w:rPr>
          <w:rFonts w:ascii="Arial" w:cs="Arial" w:eastAsia="Arial" w:hAnsi="Arial"/>
          <w:sz w:val="18"/>
          <w:szCs w:val="18"/>
          <w:color w:val="auto"/>
        </w:rPr>
        <w:t>Despite the availability of bronchodilators and anti-inflammatory corticosteroid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PDE4 inhibitor treatments for COPD, many patients continue to suffer from significant symptoms and may experience acute exacerbations leading to hospitalization. Furthermore, current therapies have not demonstrated an ability to change the progressive decline in lung function or reduce the mortality associated with COPD. We believe a large market opportunity with significant unmet medical need exists in COPD. We believe the properties of RPL554 make it attractive as an important and novel potential treatment of patients with COPD, as well as for patients with CF and asthma. We plan to seek orphan drug designation of RPL554 for the treatment of CF.</w:t>
      </w:r>
    </w:p>
    <w:p>
      <w:pPr>
        <w:sectPr>
          <w:pgSz w:w="11900" w:h="16838" w:orient="portrait"/>
          <w:cols w:equalWidth="0" w:num="1">
            <w:col w:w="11400"/>
          </w:cols>
          <w:pgMar w:left="240" w:top="143" w:right="25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b w:val="1"/>
          <w:bCs w:val="1"/>
          <w:i w:val="1"/>
          <w:iCs w:val="1"/>
          <w:color w:val="auto"/>
        </w:rPr>
        <w:t xml:space="preserve">Experienced management team. </w:t>
      </w:r>
      <w:r>
        <w:rPr>
          <w:rFonts w:ascii="Arial" w:cs="Arial" w:eastAsia="Arial" w:hAnsi="Arial"/>
          <w:sz w:val="16"/>
          <w:szCs w:val="16"/>
          <w:color w:val="auto"/>
        </w:rPr>
        <w:t>Members of our management team and board of directors have extensive experience in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and biotechnology companies in respiratory product development from drug discovery through commercialization and have played important roles in the development and commercialization of several approved respiratory treatments. We believe that the experience of our management team and our network of relationships within the industry and medical community provides us with insight into product development and identification of other opportunities in the respiratory field.</w:t>
      </w:r>
    </w:p>
    <w:p>
      <w:pPr>
        <w:spacing w:after="0" w:line="541" w:lineRule="exact"/>
        <w:rPr>
          <w:sz w:val="20"/>
          <w:szCs w:val="20"/>
          <w:color w:val="auto"/>
        </w:rPr>
      </w:pPr>
    </w:p>
    <w:p>
      <w:pPr>
        <w:sectPr>
          <w:pgSz w:w="11900" w:h="16838" w:orient="portrait"/>
          <w:cols w:equalWidth="0" w:num="2">
            <w:col w:w="1080" w:space="0"/>
            <w:col w:w="10320"/>
          </w:cols>
          <w:pgMar w:left="240" w:top="143" w:right="259" w:bottom="1440" w:gutter="0" w:footer="0" w:header="0"/>
          <w:type w:val="continuous"/>
        </w:sectPr>
      </w:pPr>
    </w:p>
    <w:p>
      <w:pPr>
        <w:spacing w:after="0" w:line="5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216" w:lineRule="exact"/>
        <w:rPr>
          <w:sz w:val="20"/>
          <w:szCs w:val="20"/>
          <w:color w:val="auto"/>
        </w:rPr>
      </w:pPr>
    </w:p>
    <w:p>
      <w:pPr>
        <w:ind w:left="1080" w:hanging="532"/>
        <w:spacing w:after="0" w:line="27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the development of nebulized RPL554 for the maintenance treatment of COPD. </w:t>
      </w:r>
      <w:r>
        <w:rPr>
          <w:rFonts w:ascii="Arial" w:cs="Arial" w:eastAsia="Arial" w:hAnsi="Arial"/>
          <w:sz w:val="16"/>
          <w:szCs w:val="16"/>
          <w:color w:val="auto"/>
        </w:rPr>
        <w:t>We intend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RPL554 for the maintenance treatment of COPD. To evaluate RPL554 in a nebulized formulation for the maintenance treatment of COPD, we plan to commence a Phase 1 single-dose PK trial in approximately 12 healthy volunteers in the United States in mid-2017 and a four-week Phase 2b dose-ranging clinical trial for RPL554 in this indication in approximately 400 patients with COPD in Europe by the end of 2017. We expect to report top-line data from these trials in the first half of 2018 and by the end of 2018, respectively. In addition, in February 2017, we commenced a Phase 2a clinical trial in the United Kingdom evaluating RPL554 in approximately 30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patients with COPD as an add-on therapy to tiotropium. We expect to report top-line data from this trial in the fourth quarter of 2017.</w:t>
      </w:r>
    </w:p>
    <w:p>
      <w:pPr>
        <w:spacing w:after="0" w:line="228" w:lineRule="exact"/>
        <w:rPr>
          <w:sz w:val="20"/>
          <w:szCs w:val="20"/>
          <w:color w:val="auto"/>
        </w:rPr>
      </w:pPr>
    </w:p>
    <w:p>
      <w:pPr>
        <w:ind w:left="1080" w:right="280" w:hanging="532"/>
        <w:spacing w:after="0" w:line="244"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the development of nebulized RPL554 for the treatment of acute exacerbations of COPD. </w:t>
      </w:r>
      <w:r>
        <w:rPr>
          <w:rFonts w:ascii="Arial" w:cs="Arial" w:eastAsia="Arial" w:hAnsi="Arial"/>
          <w:sz w:val="18"/>
          <w:szCs w:val="18"/>
          <w:color w:val="auto"/>
        </w:rPr>
        <w:t>We also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RPL554 as an add-on therapy to short-acting bronchodilators and other commonly used therapies for the treatment of hospitalized patients with acute exacerbations of COPD. We plan to commence a Phase 2 clinical trial in the United States for RPL554 for this indication in approximately 150 patients in 2018.</w:t>
      </w:r>
    </w:p>
    <w:p>
      <w:pPr>
        <w:spacing w:after="0" w:line="198" w:lineRule="exact"/>
        <w:rPr>
          <w:rFonts w:ascii="Arial" w:cs="Arial" w:eastAsia="Arial" w:hAnsi="Arial"/>
          <w:sz w:val="18"/>
          <w:szCs w:val="18"/>
          <w:color w:val="auto"/>
        </w:rPr>
      </w:pPr>
    </w:p>
    <w:p>
      <w:pPr>
        <w:ind w:left="1080" w:hanging="532"/>
        <w:spacing w:after="0" w:line="241"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RPL554 for the treatment of CF. </w:t>
      </w:r>
      <w:r>
        <w:rPr>
          <w:rFonts w:ascii="Arial" w:cs="Arial" w:eastAsia="Arial" w:hAnsi="Arial"/>
          <w:sz w:val="18"/>
          <w:szCs w:val="18"/>
          <w:color w:val="auto"/>
        </w:rPr>
        <w:t>We plan to commence a Phase 2a single-dose trial in the United Kingdom in the first half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2017 evaluating RPL554 in approximately ten CF patients to evaluate the PK and PD profile and tolerability of RPL554, as well as examine the effect on lung function and inflammatory biomarkers. We expect to report top-line data from this trial in the first half of 2018. The results of this trial will support dose selection for a proof-of-concept Phase 2b trial in Europe in approximately 100 patients with CF, which we plan to commence in 2018.</w:t>
      </w:r>
    </w:p>
    <w:p>
      <w:pPr>
        <w:spacing w:after="0" w:line="189" w:lineRule="exact"/>
        <w:rPr>
          <w:rFonts w:ascii="Arial" w:cs="Arial" w:eastAsia="Arial" w:hAnsi="Arial"/>
          <w:sz w:val="18"/>
          <w:szCs w:val="18"/>
          <w:color w:val="auto"/>
        </w:rPr>
      </w:pPr>
    </w:p>
    <w:p>
      <w:pPr>
        <w:ind w:left="1080" w:right="2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DPI and MDI formulations of RPL554. </w:t>
      </w:r>
      <w:r>
        <w:rPr>
          <w:rFonts w:ascii="Arial" w:cs="Arial" w:eastAsia="Arial" w:hAnsi="Arial"/>
          <w:sz w:val="18"/>
          <w:szCs w:val="18"/>
          <w:color w:val="auto"/>
        </w:rPr>
        <w:t>In addition to our nebulized formulation of RPL554, we are developing RPL554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DPI and MDI formulations for the maintenance treatment of COPD. We believe the development of DPI and MDI formulations has the potential to significantly increase the market opportunity for RPL554, if approved, for the maintenance treatment of COPD. In addition, we may explore the development of RPL554 in these formulations for the treatment of asthma and other respiratory diseases. Following the completion of our DPI and MDI formulation process, we plan to commence pre-clinical studies for RPL554 in these formulations in 2018.</w:t>
      </w:r>
    </w:p>
    <w:p>
      <w:pPr>
        <w:spacing w:after="0" w:line="189" w:lineRule="exact"/>
        <w:rPr>
          <w:rFonts w:ascii="Arial" w:cs="Arial" w:eastAsia="Arial" w:hAnsi="Arial"/>
          <w:sz w:val="18"/>
          <w:szCs w:val="18"/>
          <w:color w:val="auto"/>
        </w:rPr>
      </w:pPr>
    </w:p>
    <w:p>
      <w:pPr>
        <w:ind w:left="1080" w:right="60" w:hanging="532"/>
        <w:spacing w:after="0" w:line="244"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development of RPL554 in other forms of respiratory disease. </w:t>
      </w:r>
      <w:r>
        <w:rPr>
          <w:rFonts w:ascii="Arial" w:cs="Arial" w:eastAsia="Arial" w:hAnsi="Arial"/>
          <w:sz w:val="18"/>
          <w:szCs w:val="18"/>
          <w:color w:val="auto"/>
        </w:rPr>
        <w:t>We believe that RPL554's properties as an inhaled, 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98"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strategic collaborative relationships. </w:t>
      </w:r>
      <w:r>
        <w:rPr>
          <w:rFonts w:ascii="Arial" w:cs="Arial" w:eastAsia="Arial" w:hAnsi="Arial"/>
          <w:sz w:val="16"/>
          <w:szCs w:val="16"/>
          <w:color w:val="auto"/>
        </w:rPr>
        <w:t>We may seek strategic collaborations with market-leading biopharmaceutical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147" w:lineRule="exact"/>
        <w:rPr>
          <w:rFonts w:ascii="Arial" w:cs="Arial" w:eastAsia="Arial" w:hAnsi="Arial"/>
          <w:sz w:val="16"/>
          <w:szCs w:val="16"/>
          <w:color w:val="auto"/>
        </w:rPr>
      </w:pPr>
    </w:p>
    <w:p>
      <w:pPr>
        <w:ind w:left="1080" w:right="140" w:hanging="532"/>
        <w:spacing w:after="0" w:line="24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or in-license product candidates for the treatment of respiratory diseases. </w:t>
      </w:r>
      <w:r>
        <w:rPr>
          <w:rFonts w:ascii="Arial" w:cs="Arial" w:eastAsia="Arial" w:hAnsi="Arial"/>
          <w:sz w:val="18"/>
          <w:szCs w:val="18"/>
          <w:color w:val="auto"/>
        </w:rPr>
        <w:t>We plan to leverage our respiratory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expertise to identify and in-license or acquire additional clinical-stage product candidates that we believe have the potential to become novel treatments for respiratory diseases with significant unmet medical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COPD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product candidate, RPL554, is a first-in-class, inhaled, dual inhibitor of PDE3 and PDE4 that acts as both a bronchodilator and an anti-inflammatory agent in a single compound. We are not aware of any therapy in a single compound in clinical development or approved by the FDA or the EMA, for the treatment of respiratory diseases that acts as both a bronchodilator and anti-inflammatory agent. We believe RPL554 has the potential to be the first novel class of bronchodilator in over 40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COPD Background</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COPD is a progressive respiratory disease for which there is no cure. COPD damages the airways and the lungs and leads to shortness of breath, impacting a person's ability to work, exercise, sleep and perform other daily activities. Part of the pathology of the disease is chronic airway inflammation and constriction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airway muscles. Airflow limitation in COPD patients results from mucosal and airway inflammation and edema, or excess fluid in the airway walls, bronchoconstriction, increased secretions in the airways and loss of elastic recoil, or the ease with which the lung rebounds after having been stretched by inhalation. COPD includes chronic bronchitis, which refers to the inflammation of the lung and airways that results in coughing and sputum production, and emphysema, which refers to a destruction of distal lung tissue, or air sacs. In some cases, hospitalized patients with COPD experience acute exacerbations, which include rapid and prolonged worsening of symptoms.</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According to the World Health Organization, COPD is the third leading cause of death globally, with 210 million people worldwide suffering from the disease. The U.S. Centers for Disease Control and Prevention, or CDC, estimates that there are 24 million people with COPD in the United States, only half of whom have been diagnosed. Acute exacerbations or COPD are estimated to cause approximately 1.5 million emergency department visits, 687,000 hospitalizations and 129,000 deaths per year in the United States alone. According to the CDC, total annual medical costs relating to COPD in the United States were estimated to be $32 billion in 2010, and are projected to rise to $49 billion in 2020. An estimated 16.4 million days of work were lost due to COPD each year in the United States. Global sales of drugs currently indicated for COPD are expected to be $10.6 billion in 2016 and are expected to grow to $15.6 billion in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COPD</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are no approved therapies for COPD that alter the progression, rate of decline of lung function or mortality of the disease. The goal of current COPD treatments is to alleviate symptoms, decrease the frequency and severity of exacerbations, and reduce limitations on daily activities. COPD patients are commonly treated with bronchodilators, which seek to relieve airway constriction and make it easier to breathe, and corticosteroids, which seek to reduce lung inflammation. For patients with more severe disease who experience recurrent exacerbations, and for whom inhaled corticosteroids are not effective, an oral formulation of a PDE4 inhibitor, which is an anti-inflammatory agent, is available and may be used as treatment. Antibiotic therapy has also been shown to have a small but important effect on clinical recovery and outcome in hospitalized patients with bacterial infections that resulted in an acute exacerbation of COPD.</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Despite the availability of bronchodilators, anti-inflammatory corticosteroids, an anti-inflammatory PDE4 inhibitor and antibiotics for treatment of COPD, many patients continue to suffer from significant symptoms and may experience acute exacerbations leading to increased doses of medication and hospitalization. Following an acute exacerbation of COPD and subsequent hospitalization, it may take many weeks for a patient's lung function to recover to pre-exacerbation levels. In addition, the rate of mortality of COPD patients within one year of hospitalization is approximately 20%, and patients with a need for hospital readmission have only a 20% five-year survival rate. Retrospective studies have demonstrated that more than 20% of patients discharged from hospital after an exacerbation of their COPD require readmission within 30 days of discharge. This has medical implications for the patient and is a financial burden for the healthcare system. We believe that increasing awareness of the problem of COPD patients returning for hospital treatment within 30 days of discharge has triggered a strong interest from industry, regulators and healthcare administrators and payors in optimizing the treatment of acute COPD exacerbations, both in the hospital setting and after patients are discharged.</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many COPD patients, a better and more effective maintenance treatment is required that can control their symptoms and reduce the risk of acute exacerbations. For patients that require hospitalization, essentially the same treatment modalities are used as in non-hospitalized patient treatment, however, they are often treated with higher doses, including with corticosteroids that are administered systemically rather than locally by inhalation. Acute medical treatment of COPD exacerbations has not changed in decades, with older, short-acting nebulized bronchodilators still used as a mainstay bronchodilator treatment in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acute hospital setting. This is despite hospitalizations for COPD being long, at about five days, expensive, and with a high mortality rate and high probability of hospital readmission. We believe there is an unmet medical need for an improved treatment approach.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Bronchodilators</w:t>
      </w:r>
    </w:p>
    <w:p>
      <w:pPr>
        <w:spacing w:after="0" w:line="23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Bronchodilators are the first-line therapy for the treatment of COPD patients. There are two existing classes of bronchodilators: beta2-agonists and anti-muscarinics. Long-acting versions of these bronchodilators, lasting 12 to 24 hours, are commonly used in the maintenance therapy of patients with COPD. Long-acting beta2-agonists, or LABAs, which are commonly used in combination with inhaled corticosteroids, include Advair (salmeterol and fluticasone), which had $2.4 billion in global sales in 2015, and Symbicort (formoterol and budesonide), which had $1.6 billion in global sales in 2015. Long-acting anti-muscarinics, or LAMAs, include Spiriva (tiotropium), which had $3.9 billion in global sales in 2015. In the United States, nebulized LABAs, which are only indicated for COPD, generated sales of $601 million in the 12-month period ending June 30, 2016. In addition to producing bronchodilation, beta2-agonists have been shown to improve mucociliary clearance in COPD patients, thereby potentially reducing mucus in the airways. LAMAs have a different mechanism of action and effect bronchodilation via different cell-surface receptors and through different intracellular pathways than LABAs. Studies with twice-daily LABAs indicate that clinically relevant improvements in dyspnea or health-related quality of life are only achieved by a minority of patients. Clinical data suggest that inhaled LAMAs may be somewhat more effective than LABAs in improving lung function of COPD patients. However, LAMAs have a relatively slow onset of action and both LABAs and LAMAs are contraindicated for acute use in the United States. Another limitation is a diminished effectiveness of beta2-agonists that can be experienced by some COPD patients over time. Some patients also have adrenergic side effects such as tremor or increased heart rate from existing beta2-agonists.</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Short-acting versions of bronchodilators, lasting up to eight hours, are most commonly used to treat hospitalized patients who experience a worsening airway obstruction, including as a result of acute exacerbations of COPD. A short-acting beta2-agonist, or SABA, such as Ventolin (albuterol), which had $820 million in global sales in 2015, and a short-acting anti-muscarinic, or SAMA, such as Atrovent (ipratropium), which had $590 million in global sales in 2015, are typically used for relief of acute exacerbations of COPD. However, the response to bronchodilators can be highly variable in individual patients over time, and patients who are non-responders at one office visit may respond at a different visit. In addition, the frequent use of beta2-agonists can lead to reduced effectiveness of the drug due to the development of tolerance. As a consequence of this variability in responsiveness, a significant number of COPD patients are classified as non-responders to albuterol, the standard SABA used in the market. Based on screening visits in a large recent clinical trial conducted by GlaxoSmithKline, in which patients were treated with albuterol once every three months over a 12-month period, the rate of classification of patients as responders per treatment was 24% as measured by American Thoracic Society, or ATS, criteria. Classification as a responder pursuant to ATS criteria requires at least a 12% and 200 ml increase in FEV</w:t>
      </w:r>
      <w:r>
        <w:rPr>
          <w:rFonts w:ascii="Arial" w:cs="Arial" w:eastAsia="Arial" w:hAnsi="Arial"/>
          <w:sz w:val="28"/>
          <w:szCs w:val="28"/>
          <w:color w:val="auto"/>
          <w:vertAlign w:val="subscript"/>
        </w:rPr>
        <w:t>1</w:t>
      </w:r>
      <w:r>
        <w:rPr>
          <w:rFonts w:ascii="Arial" w:cs="Arial" w:eastAsia="Arial" w:hAnsi="Arial"/>
          <w:sz w:val="17"/>
          <w:szCs w:val="17"/>
          <w:color w:val="auto"/>
        </w:rPr>
        <w:t>. In</w:t>
      </w:r>
    </w:p>
    <w:p>
      <w:pPr>
        <w:spacing w:after="0" w:line="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addition, the rate of classification of patients as consistent responders, or responders at least three out of four times over the 12-month treatment period, was 14% as measured by ATS criteria. In another large study conducted by Boehringer Ingelheim, even when albuterol was combined with ipratropium, the rate of classification of patients as responders pursuant to the ATS criteria was just over 50%.</w:t>
      </w:r>
    </w:p>
    <w:p>
      <w:pPr>
        <w:spacing w:after="0" w:line="20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Bronchodilators can be delivered in a nebulized form or by a DPI or MDI if patients are able to use proper technique, which may be difficult during an exacerbation. As a result, acute COPD exacerbations are often treated with a nebulizer. A nebulizer is both convenient and effective in delivering a large dose. Use of a nebulizer to provide bronchodilation enhances delivery of the therapeutic to the airways of the patient. Patients with more severe COPD, who tend to suffer more frequent exacerbations, generally prefer treatment with a nebulizer as they view its perceived benefits, including greater confidence in effective drug administration and a reduced need to visit health care providers, as outweighing its perceived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disadvantages, which include length of treatment administration and required cleaning. In addition, use of a nebulizer is generally preferred when administering larger doses in the hospital setting.</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Beta2-agonists and anti-muscarinics can be used as single agents for the treatment of COPD, but studies have shown that their combined use leads to greater bronchodilation than each used as a single agent because these classes of bronchodilators have different mechanisms of action to improve lung function. Based on these findings, novel drugs combining a LABA and a LAMA in one inhaler device are being brought to market, such as Novartis' Utibro Breezhaler (indacaterol and glycopyrrolate), which had $260 million in global sales in 2015. However, many patients, and especially those with more severe disease, still need more effective bronchodilation to improve their symptoms. Additionally, LABAs and LAMAs, acting alone or in combination, do not treat the underlying inflammation present in COPD.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Corticosteroids</w:t>
      </w:r>
    </w:p>
    <w:p>
      <w:pPr>
        <w:spacing w:after="0" w:line="23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Corticosteroids are used for treatment in a range of diseases for their anti-inflammatory effect. However, corticosteroids do not affect neutrophils, which are widely recognized as the most important inflammatory cells in COPD. Corticosteroids have shown limited efficacy and are not approved as a stand-alone treatment for COPD. Inhaled corticosteroids are commonly administered together with LABAs for the maintenance treatment of COPD. When administered with LABAs, corticosteroids have been shown to improve lung function and reduce exacerbation rates. However, recent studies have shown that removing inhaled corticosteroids from this treatment regimen does not lead to increases in exacerbations in a majority of patients, implying that the combination is not effective in all patients. In addition, inhaled corticosteroids have been shown to decrease the immune response in some patients, which results in an increased incidence of pneumonia.</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the treatment of acute COPD exacerbations, corticosteroids are often administered systemically, either through injection or orally, in addition to high-dose bronchodilators. In this setting, corticosteroids may be effective in improving symptoms and lung function, reducing the rate of treatment failure and shortening the length of hospital stay. However, when given systemically, corticosteroids are known to be associated with side effects such as compromised adrenal gland function and reduced bone density.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PDE4 Inhibitors</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PDE4 inhibitors have attracted recent attention for the treatment of COPD because PDE4 is broadly expressed in airways and in the lung. PDEs are well known and validated therapeutic targets, and many PDE inhibitors, with different specificities, are currently available in the market for other indications. PDE4 is found in inflammatory and epithelial cells, and inhibition of this enzyme contributes to RPL554's anti-inflammatory activity. PDE4 is the primary cAMP-hydrolyzing enzyme in inflammatory and immune cells, especially neutrophils, lymphocytes, macrophages and eosinophils, all of which are found in the lungs of COPD patients. Inhibition of PDE4 leads to elevated cAMP levels in these cells, which results in anti-inflammatory effects due to the down-regulation of the inflammatory response.</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recently approved oral PDE4 inhibitor, Roflumilast, has shown clinical efficacy as an oral therapeutic in the reduction of COPD exacerbations in patients with severe COPD associated with chronic bronchitis and a history of exacerbations. The drug is an anti-inflammatory compound that decreases inflammation in a different manner than corticosteroids. However, Roflumilast has only shown a modest improvement in lung function in COPD patients as compared to commonly used bronchodilators as it is not a direct bronchodilator. In addition, because of Roflumilast's systemic exposure as an oral PDE4 inhibitor, its use has been limited due to frequent adverse side effects such as back pain, decreased appetite, diarrhea, dizziness, flu-like symptoms, headache, weight loss, nausea and vomiting.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Antibiotics</w:t>
      </w:r>
    </w:p>
    <w:p>
      <w:pPr>
        <w:spacing w:after="0" w:line="23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Antibiotic therapy has been shown to have a small but important effect on clinical recovery and outcome in patients with bacterial infections that resulted in an acute exacerbation of COPD. As a result, antibiotic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therapy is often considered at the beginning of treatment of acute exacerbations of COPD. Hospitalized patients commonly receive intravenous treatment with an antibiotic and initial outpatient management of COPD may include oral antibiotics. However, the limited efficacy of and patient resistance to antibiotics represent significant drawbacks of this form of therapy for COPD patients.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3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believe that RPL554, as a first-in-class, inhaled, dual inhibitor of PDE3 and PDE4, which acts as both a bronchodilator and an anti-inflammatory in a single compound, if approved, has the potential to become an important and novel treatment and standard of care for patients with COPD. We are not aware of any therapy in a single compound in clinical development or approved by the FDA or the EMA, for the treatment of COPD that acts as both a bronchodilator and anti-inflammatory agent. Based on our clinical trials, we believe RPL554 has the potential to be a best-in-class bronchodilator for the treatment of COPD, both as a monotherapy and as an add-on therapy to existing bronchodilators.</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PDEs are a family of over ten intracellular enzymes that regulate important cellular pathways in many different cell types. PDEs metabolize the critical signaling molecules cAMP and cGMP. By inhibiting PDE3 and PDE4, RPL554 increases the levels of these intracellular messengers resulting in bronchodilator and anti-inflammatory effects.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illustrates the mechanism of action of RPL554's dual inhibition of PDE3 and PDE4 in the treatment of COPD.</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Mechanism of Action of RPL554 from PDE3 and PDE4 lnhibition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146050</wp:posOffset>
            </wp:positionV>
            <wp:extent cx="5711190" cy="2426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119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Previous attempts to develop PDE4 inhibitors for COPD, asthma and other indications have been limited by the resulting side effects, particularly to the gastrointestinal system, such as nausea, vomiting and weight loss. RPL554 is designed to maximize effectiveness and reduce the occurrence of adverse events by:</w:t>
      </w:r>
    </w:p>
    <w:p>
      <w:pPr>
        <w:spacing w:after="0" w:line="208" w:lineRule="exact"/>
        <w:rPr>
          <w:sz w:val="20"/>
          <w:szCs w:val="20"/>
          <w:color w:val="auto"/>
        </w:rPr>
      </w:pPr>
    </w:p>
    <w:p>
      <w:pPr>
        <w:ind w:left="1080" w:right="100" w:hanging="532"/>
        <w:spacing w:after="0" w:line="183" w:lineRule="auto"/>
        <w:tabs>
          <w:tab w:leader="none" w:pos="108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relying on a chemical structure that is distinct from other PDE4 inhibitors and avoids gastrointestinal and other side effects typically associated with PDE4 inhibition;</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60" w:hanging="532"/>
        <w:spacing w:after="0" w:line="183" w:lineRule="auto"/>
        <w:tabs>
          <w:tab w:leader="none" w:pos="108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having high selectivity for PDE3 and PDE4 over other enzymes, including other PDE enzymes, and receptors to minimize off-target effects; and</w:t>
      </w:r>
    </w:p>
    <w:p>
      <w:pPr>
        <w:spacing w:after="0" w:line="195"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enabling delivery directly to the lung by inhalation, thereby maximizing pulmonary exposure to RPL554 while minimizing systemic distribution and related adverse events.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believe RPL554 may offer significant advantages over currently approved therapies for COPD based on the following:</w:t>
      </w:r>
    </w:p>
    <w:p>
      <w:pPr>
        <w:spacing w:after="0" w:line="205" w:lineRule="exact"/>
        <w:rPr>
          <w:sz w:val="20"/>
          <w:szCs w:val="20"/>
          <w:color w:val="auto"/>
        </w:rPr>
      </w:pPr>
    </w:p>
    <w:p>
      <w:pPr>
        <w:ind w:left="1080" w:right="40" w:hanging="532"/>
        <w:spacing w:after="0" w:line="23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benefit as an add-on therapy and as a single agent with a favorable safety profile. </w:t>
      </w:r>
      <w:r>
        <w:rPr>
          <w:rFonts w:ascii="Arial" w:cs="Arial" w:eastAsia="Arial" w:hAnsi="Arial"/>
          <w:sz w:val="18"/>
          <w:szCs w:val="18"/>
          <w:color w:val="auto"/>
        </w:rPr>
        <w:t>RPL554 has been evaluated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randomized, controlled Phase 1 and Phase 2a clinical trials involving 282 subjects. In these trials, RPL554 has been observed to result in statistically significant improvements in lung function as compared to placebo. Our clinical trials also have shown clinically meaningful and statistically significant improvements in lung function when RPL554 is added to two commonly used bronchodilators as compared to either bronchodilator administered as a single agent. RPL554 has been well tolerated in our clinical trials, and has not been observed to result in the gastrointestinal or other side effects commonly associated with Roflumilast, the only PDE4 inhibitor currently on the market. In addition, RPL554 has not been observed to result in any cardiovascular effects, other than a small increase in heart rate at the highest doses tested.</w:t>
      </w:r>
    </w:p>
    <w:p>
      <w:pPr>
        <w:spacing w:after="0" w:line="208"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Bronchodilator and anti-inflammatory effects in one compound. </w:t>
      </w:r>
      <w:r>
        <w:rPr>
          <w:rFonts w:ascii="Arial" w:cs="Arial" w:eastAsia="Arial" w:hAnsi="Arial"/>
          <w:sz w:val="18"/>
          <w:szCs w:val="18"/>
          <w:color w:val="auto"/>
        </w:rPr>
        <w:t>RPL554 utilizes a novel mechanism of action that inhibits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PDE3 and PDE4 to act as both a bronchodilator and an anti-inflammatory agent in a single compound. We are not aware of any therapy in a single compound in clinical development or approved by the FDA or the EMA, for the treatment of COPD that acts as both a bronchodilator and anti-inflammatory agent. Inhibition of PDE3 is largely responsible for the bronchodilatory effects of RPL554, while the inhibition of PDE4 is largely responsible for the anti-inflammatory effects. By simultaneously targeting PDE3 and PDE4, we believe that RPL554 results in a more profound effect that addresses both airway constriction and chronic inflammation, which are the hallmarks of COPD. As a result, we believe RPL554, if approved, has the potential to become an important and novel treatment and standard of care for patients with COPD.</w:t>
      </w:r>
    </w:p>
    <w:p>
      <w:pPr>
        <w:spacing w:after="0" w:line="194" w:lineRule="exact"/>
        <w:rPr>
          <w:rFonts w:ascii="Arial" w:cs="Arial" w:eastAsia="Arial" w:hAnsi="Arial"/>
          <w:sz w:val="18"/>
          <w:szCs w:val="18"/>
          <w:color w:val="auto"/>
        </w:rPr>
      </w:pPr>
    </w:p>
    <w:p>
      <w:pPr>
        <w:ind w:left="1080" w:right="40" w:hanging="532"/>
        <w:spacing w:after="0" w:line="23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Inhaled administration. </w:t>
      </w:r>
      <w:r>
        <w:rPr>
          <w:rFonts w:ascii="Arial" w:cs="Arial" w:eastAsia="Arial" w:hAnsi="Arial"/>
          <w:sz w:val="18"/>
          <w:szCs w:val="18"/>
          <w:color w:val="auto"/>
        </w:rPr>
        <w:t>We are developing RPL554 as an inhaled therapy, which we believe is advantageous for the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COPD patients because it delivers high concentrations of RPL554 directly to the patient's airways, thereby potentially improving efficacy while minimizing some of the side effects resulting from the systemic exposure associated with orally administered bronchodilators and anti-inflammatory drugs. For example, Roflumilast, the only currently marketed PDE4 inhibitor, is administered orally and has been associated with adverse side effects such as back pain, decreased appetite, diarrhea, dizziness, flu-like symptoms, headache, weight loss, nausea and vomiting. In our clinical trials, RPL554 has been well tolerated and has not been associated with many of the adverse effects associated with Roflumilast. In this inhaled form, we believe RPL554, if approved, would provide significant advantages over orally administered therapies and potentially lead to better and more effective treatment of COPD.</w:t>
      </w:r>
    </w:p>
    <w:p>
      <w:pPr>
        <w:spacing w:after="0" w:line="191"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onset of action. </w:t>
      </w:r>
      <w:r>
        <w:rPr>
          <w:rFonts w:ascii="Arial" w:cs="Arial" w:eastAsia="Arial" w:hAnsi="Arial"/>
          <w:sz w:val="18"/>
          <w:szCs w:val="18"/>
          <w:color w:val="auto"/>
        </w:rPr>
        <w:t>In our Phase 2a clinical trial for RPL554 completed in February 2016, we observed a rapid onset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bronchodilation when RPL554 was administered as an add-on therapy to each of ipratropium and albuterol, two currently marketed short-acting bronchodilators. The time of onset of action of ipratropium was approximately 20 minutes, while the time of onset of action for RPL554 was approximately 15 minutes. When RPL554 was administered as an add-on therapy to ipratropium, the time of onset was reduced by 75% to approximately five minutes as compared to ipratropium alone, which is similar to albuterol alone. When RPL554 was administered as an add-on therapy to albuterol, the time to onset was more rapid than with albuterol alone. We believe RPL554 has the potential to provide significant benefits as an add-on therapy to short-acting bronchodilators in the treatment of acute exacerbations of COPD due to its effect on time of onset of action.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and as an add-on therapy to short-acting bronchodilators and other current standard-of-care therapies for the treatment of hospitalized patients with acute exacerbations of COPD. In our planned clinical trials, we intend to explore the possibility that treatment with RPL554, when used for the maintenance treatment, has the potential to improve recovery rates as measured by improved lung function and, when used for the treatment of acute exacerbations of COPD, has the potential to reduce symptoms concomitantly with a reduction of the 30-day hospital readmission rates. No current medication has been shown to reduce this re-hospitalization rate and currently marketed long-acting bronchodilators are contraindicated for acute use in the United States. Furthermore, current therapies have not demonstrated an ability to change the progressive decline in lung function or reduce the mortality associated with COPD. We intend to explore opportunities for RPL554 for the maintenance treatment and in the hospital setting for acute exacerbations in our planned clinical trials.</w:t>
      </w:r>
    </w:p>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addition to our nebulized formulation of RPL554, we are developing RPL554 in both DPI and MDI formulations for the maintenance treatment of COPD. We may also explore the development of RPL554 in these formulations for the treatment of asthma and other respiratory diseases. DPI and MDI devices are the most common forms of drug delivery in non-hospitalized patients with COPD and are well-suited for the maintenance therapy of COPD patients. We believe the development of DPI and MDI formulations has the potential to significantly increase the market opportunity for RPL554, if approved, for the maintenance treatment of COPD. Following the completion of our DPI and MDI formulation process,</w:t>
      </w:r>
    </w:p>
    <w:p>
      <w:pPr>
        <w:spacing w:after="0" w:line="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we plan to commence pre-clinical studies for RPL554 in these formulations in</w:t>
      </w:r>
      <w:r>
        <w:rPr>
          <w:sz w:val="20"/>
          <w:szCs w:val="20"/>
          <w:color w:val="auto"/>
        </w:rPr>
        <w:tab/>
      </w:r>
      <w:r>
        <w:rPr>
          <w:rFonts w:ascii="Arial" w:cs="Arial" w:eastAsia="Arial" w:hAnsi="Arial"/>
          <w:sz w:val="14"/>
          <w:szCs w:val="14"/>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3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have completed five Phase 1 and Phase 2a trials for RPL554 outside the United States, dosing 105 subjects with an initial proof-of-concept formulation. Data from the single and multiple dose trials using our initial proof-of-concept formulation suggest that RPL554, when inhaled across a range of doses, has the potential to be an effective bronchodilator in patients with COPD and other respiratory diseases, including asthma, and has broncho-protective properties, such as reducing the hypersensitivity of asthmatic airways to inhaled irritants. In these trials, we observed RPL554 having a rapid onset of action and the magnitude of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seemed to be at least as profound as</w:t>
      </w:r>
    </w:p>
    <w:p>
      <w:pPr>
        <w:ind w:right="20"/>
        <w:spacing w:after="0" w:line="239" w:lineRule="auto"/>
        <w:rPr>
          <w:sz w:val="20"/>
          <w:szCs w:val="20"/>
          <w:color w:val="auto"/>
        </w:rPr>
      </w:pPr>
      <w:r>
        <w:rPr>
          <w:rFonts w:ascii="Arial" w:cs="Arial" w:eastAsia="Arial" w:hAnsi="Arial"/>
          <w:sz w:val="18"/>
          <w:szCs w:val="18"/>
          <w:color w:val="auto"/>
        </w:rPr>
        <w:t>that of other commonly used and approved bronchodilator drugs. We also observed that RPL554 had a potent anti-inflammatory effect in a number of pre-clinical studies and a clinical trial.</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 2014, we developed a new nebulized formulation of RPL554 for our ongoing development programs. We designed this formulation to have a broader dose range, improved PK profile and dosing regimen and neutral pH, as compared to the initial proof-of-concept formulation. This nebulized formulation of RPL554 is also stable and would be suitable for commercial use, if approved. We initiated the first Phase 1 clinical trial with this nebulized formulation in December 2014 and completed the trial in September 2015. The following table summarizes the Phase 1 and 2a clinical trials we have completed with our new nebulized formulation of RPL554, all of which have been conducted outside of the United States: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2" w:name="page93"/>
    <w:bookmarkEnd w:id="92"/>
    <w:p>
      <w:pPr>
        <w:spacing w:after="0" w:line="194" w:lineRule="auto"/>
        <w:framePr w:w="5480" w:h="130" w:wrap="auto" w:vAnchor="page" w:hAnchor="page" w:x="3220" w:y="685"/>
        <w:rPr>
          <w:rFonts w:ascii="Arial" w:cs="Arial" w:eastAsia="Arial" w:hAnsi="Arial"/>
          <w:sz w:val="14"/>
          <w:szCs w:val="14"/>
          <w:b w:val="1"/>
          <w:bCs w:val="1"/>
          <w:color w:val="auto"/>
        </w:rPr>
      </w:pPr>
      <w:r>
        <w:rPr>
          <w:rFonts w:ascii="Arial" w:cs="Arial" w:eastAsia="Arial" w:hAnsi="Arial"/>
          <w:sz w:val="14"/>
          <w:szCs w:val="14"/>
          <w:b w:val="1"/>
          <w:bCs w:val="1"/>
          <w:color w:val="auto"/>
        </w:rPr>
        <w:t>Summary of Completed RPL554 Clinical Trials with New Nebulized Formulation</w:t>
      </w:r>
    </w:p>
    <w:p>
      <w:pPr>
        <w:spacing w:after="0" w:line="194" w:lineRule="auto"/>
        <w:framePr w:w="1340" w:h="130" w:wrap="auto" w:vAnchor="page" w:hAnchor="page" w:x="3040" w:y="861"/>
        <w:rPr>
          <w:rFonts w:ascii="Arial" w:cs="Arial" w:eastAsia="Arial" w:hAnsi="Arial"/>
          <w:sz w:val="14"/>
          <w:szCs w:val="14"/>
          <w:b w:val="1"/>
          <w:bCs w:val="1"/>
          <w:color w:val="auto"/>
        </w:rPr>
      </w:pPr>
      <w:r>
        <w:rPr>
          <w:rFonts w:ascii="Arial" w:cs="Arial" w:eastAsia="Arial" w:hAnsi="Arial"/>
          <w:sz w:val="14"/>
          <w:szCs w:val="14"/>
          <w:b w:val="1"/>
          <w:bCs w:val="1"/>
          <w:color w:val="auto"/>
        </w:rPr>
        <w:t>Patient Population</w:t>
      </w:r>
    </w:p>
    <w:p>
      <w:pPr>
        <w:spacing w:after="0" w:line="194" w:lineRule="auto"/>
        <w:framePr w:w="1160" w:h="130" w:wrap="auto" w:vAnchor="page" w:hAnchor="page" w:x="5560" w:y="861"/>
        <w:rPr>
          <w:rFonts w:ascii="Arial" w:cs="Arial" w:eastAsia="Arial" w:hAnsi="Arial"/>
          <w:sz w:val="14"/>
          <w:szCs w:val="14"/>
          <w:b w:val="1"/>
          <w:bCs w:val="1"/>
          <w:color w:val="auto"/>
        </w:rPr>
      </w:pPr>
      <w:r>
        <w:rPr>
          <w:rFonts w:ascii="Arial" w:cs="Arial" w:eastAsia="Arial" w:hAnsi="Arial"/>
          <w:sz w:val="14"/>
          <w:szCs w:val="14"/>
          <w:b w:val="1"/>
          <w:bCs w:val="1"/>
          <w:color w:val="auto"/>
        </w:rPr>
        <w:t>RPL554 Dosage</w:t>
      </w: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p>
      <w:pPr>
        <w:spacing w:after="0" w:line="200" w:lineRule="exact"/>
        <w:rPr>
          <w:rFonts w:ascii="Arial" w:cs="Arial" w:eastAsia="Arial" w:hAnsi="Arial"/>
          <w:sz w:val="14"/>
          <w:szCs w:val="14"/>
          <w:b w:val="1"/>
          <w:bCs w:val="1"/>
          <w:color w:val="auto"/>
        </w:rPr>
      </w:pPr>
    </w:p>
    <w:p>
      <w:pPr>
        <w:spacing w:after="0" w:line="31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b w:val="1"/>
          <w:bCs w:val="1"/>
          <w:color w:val="auto"/>
        </w:rPr>
        <w:t>Trial Description</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3036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color w:val="auto"/>
        </w:rPr>
        <w:t>Phase 2a trial to</w:t>
      </w:r>
    </w:p>
    <w:p>
      <w:pPr>
        <w:spacing w:after="0" w:line="1" w:lineRule="exact"/>
        <w:rPr>
          <w:rFonts w:ascii="Arial" w:cs="Arial" w:eastAsia="Arial" w:hAnsi="Arial"/>
          <w:sz w:val="14"/>
          <w:szCs w:val="14"/>
          <w:b w:val="1"/>
          <w:bCs w:val="1"/>
          <w:color w:val="auto"/>
        </w:rPr>
      </w:pPr>
    </w:p>
    <w:p>
      <w:pPr>
        <w:jc w:val="both"/>
        <w:spacing w:after="0" w:line="261" w:lineRule="auto"/>
        <w:rPr>
          <w:sz w:val="20"/>
          <w:szCs w:val="20"/>
          <w:color w:val="auto"/>
        </w:rPr>
      </w:pPr>
      <w:r>
        <w:rPr>
          <w:rFonts w:ascii="Arial" w:cs="Arial" w:eastAsia="Arial" w:hAnsi="Arial"/>
          <w:sz w:val="14"/>
          <w:szCs w:val="14"/>
          <w:color w:val="auto"/>
        </w:rPr>
        <w:t>assess the improvement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p>
      <w:pPr>
        <w:spacing w:after="0" w:line="1" w:lineRule="exact"/>
        <w:rPr>
          <w:rFonts w:ascii="Arial" w:cs="Arial" w:eastAsia="Arial" w:hAnsi="Arial"/>
          <w:sz w:val="14"/>
          <w:szCs w:val="14"/>
          <w:b w:val="1"/>
          <w:bCs w:val="1"/>
          <w:color w:val="auto"/>
        </w:rPr>
      </w:pPr>
    </w:p>
    <w:p>
      <w:pPr>
        <w:ind w:right="160"/>
        <w:spacing w:after="0" w:line="246" w:lineRule="auto"/>
        <w:rPr>
          <w:sz w:val="20"/>
          <w:szCs w:val="20"/>
          <w:color w:val="auto"/>
        </w:rPr>
      </w:pPr>
      <w:r>
        <w:rPr>
          <w:rFonts w:ascii="Arial" w:cs="Arial" w:eastAsia="Arial" w:hAnsi="Arial"/>
          <w:sz w:val="14"/>
          <w:szCs w:val="14"/>
          <w:color w:val="auto"/>
        </w:rPr>
        <w:t>of RPL554 as an add-on treatment to each of albuterol and ipratropium Completion date: February 2016</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112"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jc w:val="both"/>
        <w:spacing w:after="0" w:line="250" w:lineRule="auto"/>
        <w:rPr>
          <w:sz w:val="20"/>
          <w:szCs w:val="20"/>
          <w:color w:val="auto"/>
        </w:rPr>
      </w:pPr>
      <w:r>
        <w:rPr>
          <w:rFonts w:ascii="Arial" w:cs="Arial" w:eastAsia="Arial" w:hAnsi="Arial"/>
          <w:sz w:val="14"/>
          <w:szCs w:val="14"/>
          <w:color w:val="auto"/>
        </w:rPr>
        <w:t>36 moderate-to-severe COPD patients, males and females, age 52 - 70</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13036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5"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4"/>
          <w:szCs w:val="14"/>
          <w:color w:val="auto"/>
        </w:rPr>
        <w:t>1 location; United Kingdom</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137" w:lineRule="exact"/>
        <w:rPr>
          <w:rFonts w:ascii="Arial" w:cs="Arial" w:eastAsia="Arial" w:hAnsi="Arial"/>
          <w:sz w:val="14"/>
          <w:szCs w:val="14"/>
          <w:b w:val="1"/>
          <w:bCs w:val="1"/>
          <w:color w:val="auto"/>
        </w:rPr>
      </w:pPr>
    </w:p>
    <w:p>
      <w:pPr>
        <w:spacing w:after="0" w:line="44"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spacing w:after="0" w:line="247" w:lineRule="auto"/>
        <w:rPr>
          <w:sz w:val="20"/>
          <w:szCs w:val="20"/>
          <w:color w:val="auto"/>
        </w:rPr>
      </w:pPr>
      <w:r>
        <w:rPr>
          <w:rFonts w:ascii="Arial" w:cs="Arial" w:eastAsia="Arial" w:hAnsi="Arial"/>
          <w:sz w:val="14"/>
          <w:szCs w:val="14"/>
          <w:color w:val="auto"/>
        </w:rPr>
        <w:t>Single dose of RPL554 of 6 mg alone and as an add-on treatment to albuterol or ipratropium</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-5715</wp:posOffset>
            </wp:positionH>
            <wp:positionV relativeFrom="paragraph">
              <wp:posOffset>-534670</wp:posOffset>
            </wp:positionV>
            <wp:extent cx="13036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spacing w:after="0" w:line="200" w:lineRule="exact"/>
        <w:rPr>
          <w:rFonts w:ascii="Arial" w:cs="Arial" w:eastAsia="Arial" w:hAnsi="Arial"/>
          <w:sz w:val="14"/>
          <w:szCs w:val="14"/>
          <w:b w:val="1"/>
          <w:bCs w:val="1"/>
          <w:color w:val="auto"/>
        </w:rPr>
      </w:pPr>
    </w:p>
    <w:p>
      <w:pPr>
        <w:spacing w:after="0" w:line="295" w:lineRule="exact"/>
        <w:rPr>
          <w:rFonts w:ascii="Arial" w:cs="Arial" w:eastAsia="Arial" w:hAnsi="Arial"/>
          <w:sz w:val="14"/>
          <w:szCs w:val="14"/>
          <w:b w:val="1"/>
          <w:bCs w:val="1"/>
          <w:color w:val="auto"/>
        </w:rPr>
      </w:pPr>
    </w:p>
    <w:p>
      <w:pPr>
        <w:ind w:left="1606"/>
        <w:spacing w:after="0"/>
        <w:rPr>
          <w:sz w:val="20"/>
          <w:szCs w:val="20"/>
          <w:color w:val="auto"/>
        </w:rPr>
      </w:pPr>
      <w:r>
        <w:rPr>
          <w:rFonts w:ascii="Arial" w:cs="Arial" w:eastAsia="Arial" w:hAnsi="Arial"/>
          <w:sz w:val="14"/>
          <w:szCs w:val="14"/>
          <w:b w:val="1"/>
          <w:bCs w:val="1"/>
          <w:color w:val="auto"/>
        </w:rPr>
        <w:t>Key Findings</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6073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326" w:right="320" w:hanging="326"/>
        <w:spacing w:after="0" w:line="258" w:lineRule="auto"/>
        <w:tabs>
          <w:tab w:leader="none" w:pos="326"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Well tolerated following single dose of 6 mg of RPL554 alone and as add-on treatment</w:t>
      </w:r>
    </w:p>
    <w:p>
      <w:pPr>
        <w:spacing w:after="0" w:line="167" w:lineRule="exact"/>
        <w:rPr>
          <w:rFonts w:ascii="Arial" w:cs="Arial" w:eastAsia="Arial" w:hAnsi="Arial"/>
          <w:sz w:val="14"/>
          <w:szCs w:val="14"/>
          <w:color w:val="auto"/>
        </w:rPr>
      </w:pPr>
    </w:p>
    <w:p>
      <w:pPr>
        <w:ind w:left="326" w:right="160" w:hanging="326"/>
        <w:spacing w:after="0" w:line="250" w:lineRule="auto"/>
        <w:tabs>
          <w:tab w:leader="none" w:pos="326" w:val="left"/>
        </w:tabs>
        <w:numPr>
          <w:ilvl w:val="0"/>
          <w:numId w:val="57"/>
        </w:numPr>
        <w:rPr>
          <w:rFonts w:ascii="Arial" w:cs="Arial" w:eastAsia="Arial" w:hAnsi="Arial"/>
          <w:sz w:val="14"/>
          <w:szCs w:val="14"/>
          <w:color w:val="auto"/>
        </w:rPr>
      </w:pPr>
      <w:r>
        <w:rPr>
          <w:rFonts w:ascii="Arial" w:cs="Arial" w:eastAsia="Arial" w:hAnsi="Arial"/>
          <w:sz w:val="14"/>
          <w:szCs w:val="14"/>
          <w:color w:val="auto"/>
        </w:rPr>
        <w:t>RPL554 alone was as effective a bronchodilator as either albuterol (200 mg) or ipratropium (40 mg) and was statistically significant as compared to placebo</w:t>
      </w:r>
    </w:p>
    <w:p>
      <w:pPr>
        <w:spacing w:after="0" w:line="185" w:lineRule="exact"/>
        <w:rPr>
          <w:rFonts w:ascii="Arial" w:cs="Arial" w:eastAsia="Arial" w:hAnsi="Arial"/>
          <w:sz w:val="14"/>
          <w:szCs w:val="14"/>
          <w:color w:val="auto"/>
        </w:rPr>
      </w:pPr>
    </w:p>
    <w:p>
      <w:pPr>
        <w:ind w:left="326" w:right="20" w:hanging="326"/>
        <w:spacing w:after="0" w:line="245" w:lineRule="auto"/>
        <w:tabs>
          <w:tab w:leader="none" w:pos="326" w:val="left"/>
        </w:tabs>
        <w:numPr>
          <w:ilvl w:val="0"/>
          <w:numId w:val="57"/>
        </w:numPr>
        <w:rPr>
          <w:rFonts w:ascii="Arial" w:cs="Arial" w:eastAsia="Arial" w:hAnsi="Arial"/>
          <w:sz w:val="14"/>
          <w:szCs w:val="14"/>
          <w:color w:val="auto"/>
        </w:rPr>
      </w:pPr>
      <w:r>
        <w:rPr>
          <w:rFonts w:ascii="Arial" w:cs="Arial" w:eastAsia="Arial" w:hAnsi="Arial"/>
          <w:sz w:val="14"/>
          <w:szCs w:val="14"/>
          <w:color w:val="auto"/>
        </w:rPr>
        <w:t>RPL554 produced significant additive bronchodilation (&gt;50% increase) when dosed with either albuterol (200 mg) or ipratropium (40 mg) as compared to albuterol or ipratropium, respectively, alone, and caused an additive and significant reduction in lung volumes and airway resistance</w:t>
      </w:r>
    </w:p>
    <w:p>
      <w:pPr>
        <w:spacing w:after="0" w:line="200" w:lineRule="exact"/>
        <w:rPr>
          <w:rFonts w:ascii="Arial" w:cs="Arial" w:eastAsia="Arial" w:hAnsi="Arial"/>
          <w:sz w:val="14"/>
          <w:szCs w:val="14"/>
          <w:b w:val="1"/>
          <w:bCs w:val="1"/>
          <w:color w:val="auto"/>
        </w:rPr>
      </w:pPr>
    </w:p>
    <w:p>
      <w:pPr>
        <w:sectPr>
          <w:pgSz w:w="11900" w:h="16838" w:orient="portrait"/>
          <w:cols w:equalWidth="0" w:num="4">
            <w:col w:w="2040" w:space="400"/>
            <w:col w:w="1920" w:space="520"/>
            <w:col w:w="1980" w:space="454"/>
            <w:col w:w="4126"/>
          </w:cols>
          <w:pgMar w:left="240" w:top="143" w:right="219" w:bottom="1440" w:gutter="0" w:footer="0" w:header="0"/>
          <w:type w:val="continuous"/>
        </w:sectPr>
      </w:pPr>
    </w:p>
    <w:p>
      <w:pPr>
        <w:spacing w:after="0" w:line="143"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The time to onset of RPL554 when dosed with either</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albuterol (200 mg) or ipratropium (40 mg) was more rapid</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92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than with albuterol or ipratropium, respectively, alone</w:t>
            </w:r>
          </w:p>
        </w:tc>
        <w:tc>
          <w:tcPr>
            <w:tcW w:w="0" w:type="dxa"/>
            <w:vAlign w:val="bottom"/>
          </w:tcPr>
          <w:p>
            <w:pPr>
              <w:spacing w:after="0"/>
              <w:rPr>
                <w:sz w:val="1"/>
                <w:szCs w:val="1"/>
                <w:color w:val="auto"/>
              </w:rPr>
            </w:pPr>
          </w:p>
        </w:tc>
      </w:tr>
      <w:tr>
        <w:trPr>
          <w:trHeight w:val="160"/>
        </w:trPr>
        <w:tc>
          <w:tcPr>
            <w:tcW w:w="224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90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Well tolerated following single dose of 0.4 mg to 24 mg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Phase 2a trial to</w:t>
            </w:r>
          </w:p>
        </w:tc>
        <w:tc>
          <w:tcPr>
            <w:tcW w:w="2420" w:type="dxa"/>
            <w:vAlign w:val="bottom"/>
          </w:tcPr>
          <w:p>
            <w:pPr>
              <w:ind w:left="200"/>
              <w:spacing w:after="0"/>
              <w:rPr>
                <w:sz w:val="20"/>
                <w:szCs w:val="20"/>
                <w:color w:val="auto"/>
              </w:rPr>
            </w:pPr>
            <w:r>
              <w:rPr>
                <w:rFonts w:ascii="Arial" w:cs="Arial" w:eastAsia="Arial" w:hAnsi="Arial"/>
                <w:sz w:val="14"/>
                <w:szCs w:val="14"/>
                <w:color w:val="auto"/>
              </w:rPr>
              <w:t>29 chronic asthmatic patients,</w:t>
            </w:r>
          </w:p>
        </w:tc>
        <w:tc>
          <w:tcPr>
            <w:tcW w:w="2440" w:type="dxa"/>
            <w:vAlign w:val="bottom"/>
          </w:tcPr>
          <w:p>
            <w:pPr>
              <w:ind w:left="220"/>
              <w:spacing w:after="0"/>
              <w:rPr>
                <w:sz w:val="20"/>
                <w:szCs w:val="20"/>
                <w:color w:val="auto"/>
              </w:rPr>
            </w:pPr>
            <w:r>
              <w:rPr>
                <w:rFonts w:ascii="Arial" w:cs="Arial" w:eastAsia="Arial" w:hAnsi="Arial"/>
                <w:sz w:val="14"/>
                <w:szCs w:val="14"/>
                <w:color w:val="auto"/>
              </w:rPr>
              <w:t>Single dose of 0.4 mg to 24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assess the effect of single</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and females, age 20 - 62</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Improvement in lung function, as measured by FEV</w:t>
            </w:r>
            <w:r>
              <w:rPr>
                <w:rFonts w:ascii="Arial" w:cs="Arial" w:eastAsia="Arial" w:hAnsi="Arial"/>
                <w:sz w:val="18"/>
                <w:szCs w:val="18"/>
                <w:color w:val="auto"/>
                <w:vertAlign w:val="subscript"/>
              </w:rPr>
              <w:t>1</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color w:val="auto"/>
              </w:rPr>
              <w:t>doses of RPL554 compared to</w:t>
            </w: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observed with a magnitude that was comparable to the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albuterol and placebo on lung</w:t>
            </w:r>
          </w:p>
        </w:tc>
        <w:tc>
          <w:tcPr>
            <w:tcW w:w="2420" w:type="dxa"/>
            <w:vAlign w:val="bottom"/>
          </w:tcPr>
          <w:p>
            <w:pPr>
              <w:ind w:left="200"/>
              <w:spacing w:after="0"/>
              <w:rPr>
                <w:sz w:val="20"/>
                <w:szCs w:val="20"/>
                <w:color w:val="auto"/>
              </w:rPr>
            </w:pPr>
            <w:r>
              <w:rPr>
                <w:rFonts w:ascii="Arial" w:cs="Arial" w:eastAsia="Arial" w:hAnsi="Arial"/>
                <w:sz w:val="14"/>
                <w:szCs w:val="14"/>
                <w:color w:val="auto"/>
              </w:rPr>
              <w:t>2 locations; United Kingdom</w:t>
            </w: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maximum effect observed with a dose of 7.5 mg, or three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Arial" w:cs="Arial" w:eastAsia="Arial" w:hAnsi="Arial"/>
                <w:sz w:val="14"/>
                <w:szCs w:val="14"/>
                <w:color w:val="auto"/>
              </w:rPr>
              <w:t>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2420" w:type="dxa"/>
            <w:vAlign w:val="bottom"/>
          </w:tcPr>
          <w:p>
            <w:pPr>
              <w:ind w:left="200"/>
              <w:spacing w:after="0"/>
              <w:rPr>
                <w:sz w:val="20"/>
                <w:szCs w:val="20"/>
                <w:color w:val="auto"/>
              </w:rPr>
            </w:pPr>
            <w:r>
              <w:rPr>
                <w:rFonts w:ascii="Arial" w:cs="Arial" w:eastAsia="Arial" w:hAnsi="Arial"/>
                <w:sz w:val="14"/>
                <w:szCs w:val="14"/>
                <w:color w:val="auto"/>
              </w:rPr>
              <w:t>and Sweden</w:t>
            </w:r>
          </w:p>
        </w:tc>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times the recommended dose of albuterol</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of patients with chronic asthma</w:t>
            </w: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Completion date: January 2016</w:t>
            </w:r>
          </w:p>
        </w:tc>
        <w:tc>
          <w:tcPr>
            <w:tcW w:w="24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40" w:type="dxa"/>
            <w:vAlign w:val="bottom"/>
            <w:vMerge w:val="restart"/>
          </w:tcPr>
          <w:p>
            <w:pPr>
              <w:spacing w:after="0"/>
              <w:rPr>
                <w:sz w:val="20"/>
                <w:szCs w:val="20"/>
                <w:color w:val="auto"/>
              </w:rPr>
            </w:pPr>
            <w:r>
              <w:rPr>
                <w:rFonts w:ascii="Arial" w:cs="Arial" w:eastAsia="Arial" w:hAnsi="Arial"/>
                <w:sz w:val="14"/>
                <w:szCs w:val="14"/>
                <w:color w:val="auto"/>
              </w:rPr>
              <w:t>Phase 1 trial to</w:t>
            </w: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Part A: 50 (35 RPL554 / 15</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Part A: Single dose of 1.5 mg to</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00" w:type="dxa"/>
            <w:vAlign w:val="bottom"/>
          </w:tcPr>
          <w:p>
            <w:pPr>
              <w:ind w:left="120"/>
              <w:spacing w:after="0"/>
              <w:rPr>
                <w:sz w:val="20"/>
                <w:szCs w:val="20"/>
                <w:color w:val="auto"/>
              </w:rPr>
            </w:pPr>
            <w:r>
              <w:rPr>
                <w:rFonts w:ascii="Arial" w:cs="Arial" w:eastAsia="Arial" w:hAnsi="Arial"/>
                <w:sz w:val="14"/>
                <w:szCs w:val="14"/>
                <w:color w:val="auto"/>
              </w:rPr>
              <w:t>Improvement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9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observed in healthy subjects and COPD patients</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assess the safety, tolerability</w:t>
            </w:r>
          </w:p>
        </w:tc>
        <w:tc>
          <w:tcPr>
            <w:tcW w:w="2420" w:type="dxa"/>
            <w:vAlign w:val="bottom"/>
          </w:tcPr>
          <w:p>
            <w:pPr>
              <w:ind w:left="200"/>
              <w:spacing w:after="0"/>
              <w:rPr>
                <w:sz w:val="20"/>
                <w:szCs w:val="20"/>
                <w:color w:val="auto"/>
              </w:rPr>
            </w:pPr>
            <w:r>
              <w:rPr>
                <w:rFonts w:ascii="Arial" w:cs="Arial" w:eastAsia="Arial" w:hAnsi="Arial"/>
                <w:sz w:val="14"/>
                <w:szCs w:val="14"/>
                <w:color w:val="auto"/>
              </w:rPr>
              <w:t>placebo) healthy subjects,</w:t>
            </w:r>
          </w:p>
        </w:tc>
        <w:tc>
          <w:tcPr>
            <w:tcW w:w="2440" w:type="dxa"/>
            <w:vAlign w:val="bottom"/>
          </w:tcPr>
          <w:p>
            <w:pPr>
              <w:ind w:left="220"/>
              <w:spacing w:after="0"/>
              <w:rPr>
                <w:sz w:val="20"/>
                <w:szCs w:val="20"/>
                <w:color w:val="auto"/>
              </w:rPr>
            </w:pPr>
            <w:r>
              <w:rPr>
                <w:rFonts w:ascii="Arial" w:cs="Arial" w:eastAsia="Arial" w:hAnsi="Arial"/>
                <w:sz w:val="14"/>
                <w:szCs w:val="14"/>
                <w:color w:val="auto"/>
              </w:rPr>
              <w:t>24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color w:val="auto"/>
              </w:rPr>
              <w:t>and PK profile of single and</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age 19 - 48</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Part A: RPL554 was well tolerated and there was a dose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multiple inhaled doses of</w:t>
            </w:r>
          </w:p>
        </w:tc>
        <w:tc>
          <w:tcPr>
            <w:tcW w:w="2420" w:type="dxa"/>
            <w:vAlign w:val="bottom"/>
          </w:tcPr>
          <w:p>
            <w:pPr>
              <w:spacing w:after="0"/>
              <w:rPr>
                <w:sz w:val="14"/>
                <w:szCs w:val="14"/>
                <w:color w:val="auto"/>
              </w:rPr>
            </w:pPr>
          </w:p>
        </w:tc>
        <w:tc>
          <w:tcPr>
            <w:tcW w:w="2440" w:type="dxa"/>
            <w:vAlign w:val="bottom"/>
          </w:tcPr>
          <w:p>
            <w:pPr>
              <w:ind w:left="220"/>
              <w:spacing w:after="0"/>
              <w:rPr>
                <w:sz w:val="20"/>
                <w:szCs w:val="20"/>
                <w:color w:val="auto"/>
              </w:rPr>
            </w:pPr>
            <w:r>
              <w:rPr>
                <w:rFonts w:ascii="Arial" w:cs="Arial" w:eastAsia="Arial" w:hAnsi="Arial"/>
                <w:sz w:val="14"/>
                <w:szCs w:val="14"/>
                <w:color w:val="auto"/>
              </w:rPr>
              <w:t>Part B: Multiple dose (twice</w:t>
            </w: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dependent increase in lung function, as measured by</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RPL554 in healthy volunteers</w:t>
            </w:r>
          </w:p>
        </w:tc>
        <w:tc>
          <w:tcPr>
            <w:tcW w:w="2420" w:type="dxa"/>
            <w:vAlign w:val="bottom"/>
          </w:tcPr>
          <w:p>
            <w:pPr>
              <w:ind w:left="200"/>
              <w:spacing w:after="0"/>
              <w:rPr>
                <w:sz w:val="20"/>
                <w:szCs w:val="20"/>
                <w:color w:val="auto"/>
              </w:rPr>
            </w:pPr>
            <w:r>
              <w:rPr>
                <w:rFonts w:ascii="Arial" w:cs="Arial" w:eastAsia="Arial" w:hAnsi="Arial"/>
                <w:sz w:val="14"/>
                <w:szCs w:val="14"/>
                <w:color w:val="auto"/>
              </w:rPr>
              <w:t>Part B: 30 (21 RPL554 / 9</w:t>
            </w:r>
          </w:p>
        </w:tc>
        <w:tc>
          <w:tcPr>
            <w:tcW w:w="2440" w:type="dxa"/>
            <w:vAlign w:val="bottom"/>
          </w:tcPr>
          <w:p>
            <w:pPr>
              <w:ind w:left="220"/>
              <w:spacing w:after="0"/>
              <w:rPr>
                <w:sz w:val="20"/>
                <w:szCs w:val="20"/>
                <w:color w:val="auto"/>
              </w:rPr>
            </w:pPr>
            <w:r>
              <w:rPr>
                <w:rFonts w:ascii="Arial" w:cs="Arial" w:eastAsia="Arial" w:hAnsi="Arial"/>
                <w:sz w:val="14"/>
                <w:szCs w:val="14"/>
                <w:color w:val="auto"/>
              </w:rPr>
              <w:t>daily for 5.5 days) of 6 mg to 24</w:t>
            </w:r>
          </w:p>
        </w:tc>
        <w:tc>
          <w:tcPr>
            <w:tcW w:w="420" w:type="dxa"/>
            <w:vAlign w:val="bottom"/>
          </w:tcPr>
          <w:p>
            <w:pPr>
              <w:spacing w:after="0"/>
              <w:rPr>
                <w:sz w:val="14"/>
                <w:szCs w:val="14"/>
                <w:color w:val="auto"/>
              </w:rPr>
            </w:pPr>
          </w:p>
        </w:tc>
        <w:tc>
          <w:tcPr>
            <w:tcW w:w="39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FEV</w:t>
            </w:r>
            <w:r>
              <w:rPr>
                <w:rFonts w:ascii="Arial" w:cs="Arial" w:eastAsia="Arial" w:hAnsi="Arial"/>
                <w:sz w:val="18"/>
                <w:szCs w:val="18"/>
                <w:color w:val="auto"/>
                <w:vertAlign w:val="subscript"/>
              </w:rPr>
              <w:t>1</w:t>
            </w:r>
            <w:r>
              <w:rPr>
                <w:rFonts w:ascii="Arial" w:cs="Arial" w:eastAsia="Arial" w:hAnsi="Arial"/>
                <w:sz w:val="13"/>
                <w:szCs w:val="13"/>
                <w:color w:val="auto"/>
              </w:rPr>
              <w:t>, of up to 360 mL (9%) from baseline</w:t>
            </w:r>
          </w:p>
        </w:tc>
        <w:tc>
          <w:tcPr>
            <w:tcW w:w="0" w:type="dxa"/>
            <w:vAlign w:val="bottom"/>
          </w:tcPr>
          <w:p>
            <w:pPr>
              <w:spacing w:after="0"/>
              <w:rPr>
                <w:sz w:val="1"/>
                <w:szCs w:val="1"/>
                <w:color w:val="auto"/>
              </w:rPr>
            </w:pPr>
          </w:p>
        </w:tc>
      </w:tr>
      <w:tr>
        <w:trPr>
          <w:trHeight w:val="153"/>
        </w:trPr>
        <w:tc>
          <w:tcPr>
            <w:tcW w:w="2240" w:type="dxa"/>
            <w:vAlign w:val="bottom"/>
          </w:tcPr>
          <w:p>
            <w:pPr>
              <w:spacing w:after="0" w:line="153" w:lineRule="exact"/>
              <w:rPr>
                <w:sz w:val="20"/>
                <w:szCs w:val="20"/>
                <w:color w:val="auto"/>
              </w:rPr>
            </w:pPr>
            <w:r>
              <w:rPr>
                <w:rFonts w:ascii="Arial" w:cs="Arial" w:eastAsia="Arial" w:hAnsi="Arial"/>
                <w:sz w:val="14"/>
                <w:szCs w:val="14"/>
                <w:color w:val="auto"/>
              </w:rPr>
              <w:t>and stable COPD subjects</w:t>
            </w:r>
          </w:p>
        </w:tc>
        <w:tc>
          <w:tcPr>
            <w:tcW w:w="2420" w:type="dxa"/>
            <w:vAlign w:val="bottom"/>
          </w:tcPr>
          <w:p>
            <w:pPr>
              <w:ind w:left="200"/>
              <w:spacing w:after="0" w:line="153" w:lineRule="exact"/>
              <w:rPr>
                <w:sz w:val="20"/>
                <w:szCs w:val="20"/>
                <w:color w:val="auto"/>
              </w:rPr>
            </w:pPr>
            <w:r>
              <w:rPr>
                <w:rFonts w:ascii="Arial" w:cs="Arial" w:eastAsia="Arial" w:hAnsi="Arial"/>
                <w:sz w:val="14"/>
                <w:szCs w:val="14"/>
                <w:color w:val="auto"/>
              </w:rPr>
              <w:t>placebo) healthy subjects,</w:t>
            </w:r>
          </w:p>
        </w:tc>
        <w:tc>
          <w:tcPr>
            <w:tcW w:w="2440" w:type="dxa"/>
            <w:vAlign w:val="bottom"/>
          </w:tcPr>
          <w:p>
            <w:pPr>
              <w:ind w:left="220"/>
              <w:spacing w:after="0" w:line="153" w:lineRule="exact"/>
              <w:rPr>
                <w:sz w:val="20"/>
                <w:szCs w:val="20"/>
                <w:color w:val="auto"/>
              </w:rPr>
            </w:pPr>
            <w:r>
              <w:rPr>
                <w:rFonts w:ascii="Arial" w:cs="Arial" w:eastAsia="Arial" w:hAnsi="Arial"/>
                <w:sz w:val="14"/>
                <w:szCs w:val="14"/>
                <w:color w:val="auto"/>
              </w:rPr>
              <w:t>mg</w:t>
            </w:r>
          </w:p>
        </w:tc>
        <w:tc>
          <w:tcPr>
            <w:tcW w:w="4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40" w:type="dxa"/>
            <w:vAlign w:val="bottom"/>
            <w:vMerge w:val="restart"/>
          </w:tcPr>
          <w:p>
            <w:pPr>
              <w:spacing w:after="0"/>
              <w:rPr>
                <w:sz w:val="20"/>
                <w:szCs w:val="20"/>
                <w:color w:val="auto"/>
              </w:rPr>
            </w:pPr>
            <w:r>
              <w:rPr>
                <w:rFonts w:ascii="Arial" w:cs="Arial" w:eastAsia="Arial" w:hAnsi="Arial"/>
                <w:sz w:val="14"/>
                <w:szCs w:val="14"/>
                <w:color w:val="auto"/>
              </w:rPr>
              <w:t>Completion date: September</w:t>
            </w:r>
          </w:p>
        </w:tc>
        <w:tc>
          <w:tcPr>
            <w:tcW w:w="2420" w:type="dxa"/>
            <w:vAlign w:val="bottom"/>
          </w:tcPr>
          <w:p>
            <w:pPr>
              <w:ind w:left="200"/>
              <w:spacing w:after="0"/>
              <w:rPr>
                <w:sz w:val="20"/>
                <w:szCs w:val="20"/>
                <w:color w:val="auto"/>
              </w:rPr>
            </w:pPr>
            <w:r>
              <w:rPr>
                <w:rFonts w:ascii="Arial" w:cs="Arial" w:eastAsia="Arial" w:hAnsi="Arial"/>
                <w:sz w:val="14"/>
                <w:szCs w:val="14"/>
                <w:color w:val="auto"/>
              </w:rPr>
              <w:t>males, age 19 - 46</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Part C: Multiple dose (twice</w:t>
            </w:r>
          </w:p>
        </w:tc>
        <w:tc>
          <w:tcPr>
            <w:tcW w:w="4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Part B: RPL554 was well tolerated and there was a</w:t>
            </w:r>
          </w:p>
        </w:tc>
        <w:tc>
          <w:tcPr>
            <w:tcW w:w="0" w:type="dxa"/>
            <w:vAlign w:val="bottom"/>
          </w:tcPr>
          <w:p>
            <w:pPr>
              <w:spacing w:after="0"/>
              <w:rPr>
                <w:sz w:val="1"/>
                <w:szCs w:val="1"/>
                <w:color w:val="auto"/>
              </w:rPr>
            </w:pPr>
          </w:p>
        </w:tc>
      </w:tr>
      <w:tr>
        <w:trPr>
          <w:trHeight w:val="98"/>
        </w:trPr>
        <w:tc>
          <w:tcPr>
            <w:tcW w:w="224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240" w:type="dxa"/>
            <w:vAlign w:val="bottom"/>
            <w:vMerge w:val="continue"/>
          </w:tcPr>
          <w:p>
            <w:pPr>
              <w:spacing w:after="0"/>
              <w:rPr>
                <w:sz w:val="4"/>
                <w:szCs w:val="4"/>
                <w:color w:val="auto"/>
              </w:rPr>
            </w:pPr>
          </w:p>
        </w:tc>
        <w:tc>
          <w:tcPr>
            <w:tcW w:w="242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sustained increase in FEV</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2"/>
        </w:trPr>
        <w:tc>
          <w:tcPr>
            <w:tcW w:w="2240" w:type="dxa"/>
            <w:vAlign w:val="bottom"/>
            <w:vMerge w:val="restart"/>
          </w:tcPr>
          <w:p>
            <w:pPr>
              <w:spacing w:after="0"/>
              <w:rPr>
                <w:sz w:val="20"/>
                <w:szCs w:val="20"/>
                <w:color w:val="auto"/>
              </w:rPr>
            </w:pPr>
            <w:r>
              <w:rPr>
                <w:rFonts w:ascii="Arial" w:cs="Arial" w:eastAsia="Arial" w:hAnsi="Arial"/>
                <w:sz w:val="14"/>
                <w:szCs w:val="14"/>
                <w:color w:val="auto"/>
              </w:rPr>
              <w:t>2015</w:t>
            </w: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Part C: 32 (23 RPL554 / 9</w:t>
            </w:r>
          </w:p>
        </w:tc>
        <w:tc>
          <w:tcPr>
            <w:tcW w:w="2440" w:type="dxa"/>
            <w:vAlign w:val="bottom"/>
            <w:vMerge w:val="restart"/>
          </w:tcPr>
          <w:p>
            <w:pPr>
              <w:ind w:left="220"/>
              <w:spacing w:after="0"/>
              <w:rPr>
                <w:sz w:val="20"/>
                <w:szCs w:val="20"/>
                <w:color w:val="auto"/>
              </w:rPr>
            </w:pPr>
            <w:r>
              <w:rPr>
                <w:rFonts w:ascii="Arial" w:cs="Arial" w:eastAsia="Arial" w:hAnsi="Arial"/>
                <w:sz w:val="14"/>
                <w:szCs w:val="14"/>
                <w:color w:val="auto"/>
              </w:rPr>
              <w:t>daily for 5.5 days) of 1.5 mg to</w:t>
            </w:r>
          </w:p>
        </w:tc>
        <w:tc>
          <w:tcPr>
            <w:tcW w:w="420" w:type="dxa"/>
            <w:vAlign w:val="bottom"/>
          </w:tcPr>
          <w:p>
            <w:pPr>
              <w:spacing w:after="0"/>
              <w:rPr>
                <w:sz w:val="10"/>
                <w:szCs w:val="10"/>
                <w:color w:val="auto"/>
              </w:rPr>
            </w:pPr>
          </w:p>
        </w:tc>
        <w:tc>
          <w:tcPr>
            <w:tcW w:w="3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240" w:type="dxa"/>
            <w:vAlign w:val="bottom"/>
            <w:vMerge w:val="continue"/>
          </w:tcPr>
          <w:p>
            <w:pPr>
              <w:spacing w:after="0"/>
              <w:rPr>
                <w:sz w:val="3"/>
                <w:szCs w:val="3"/>
                <w:color w:val="auto"/>
              </w:rPr>
            </w:pPr>
          </w:p>
        </w:tc>
        <w:tc>
          <w:tcPr>
            <w:tcW w:w="2420" w:type="dxa"/>
            <w:vAlign w:val="bottom"/>
            <w:vMerge w:val="continue"/>
          </w:tcPr>
          <w:p>
            <w:pPr>
              <w:spacing w:after="0"/>
              <w:rPr>
                <w:sz w:val="3"/>
                <w:szCs w:val="3"/>
                <w:color w:val="auto"/>
              </w:rPr>
            </w:pPr>
          </w:p>
        </w:tc>
        <w:tc>
          <w:tcPr>
            <w:tcW w:w="2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placebo) moderate COPD</w:t>
            </w:r>
          </w:p>
        </w:tc>
        <w:tc>
          <w:tcPr>
            <w:tcW w:w="2440" w:type="dxa"/>
            <w:vAlign w:val="bottom"/>
          </w:tcPr>
          <w:p>
            <w:pPr>
              <w:ind w:left="220"/>
              <w:spacing w:after="0"/>
              <w:rPr>
                <w:sz w:val="20"/>
                <w:szCs w:val="20"/>
                <w:color w:val="auto"/>
              </w:rPr>
            </w:pPr>
            <w:r>
              <w:rPr>
                <w:rFonts w:ascii="Arial" w:cs="Arial" w:eastAsia="Arial" w:hAnsi="Arial"/>
                <w:sz w:val="14"/>
                <w:szCs w:val="14"/>
                <w:color w:val="auto"/>
              </w:rPr>
              <w:t>12 mg</w:t>
            </w:r>
          </w:p>
        </w:tc>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patients, males and females,</w:t>
            </w:r>
          </w:p>
        </w:tc>
        <w:tc>
          <w:tcPr>
            <w:tcW w:w="2440" w:type="dxa"/>
            <w:vAlign w:val="bottom"/>
          </w:tcPr>
          <w:p>
            <w:pPr>
              <w:spacing w:after="0"/>
              <w:rPr>
                <w:sz w:val="14"/>
                <w:szCs w:val="14"/>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Part C: RPL554 was well tolerated and there was a</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420" w:type="dxa"/>
            <w:vAlign w:val="bottom"/>
          </w:tcPr>
          <w:p>
            <w:pPr>
              <w:ind w:left="200"/>
              <w:spacing w:after="0"/>
              <w:rPr>
                <w:sz w:val="20"/>
                <w:szCs w:val="20"/>
                <w:color w:val="auto"/>
              </w:rPr>
            </w:pPr>
            <w:r>
              <w:rPr>
                <w:rFonts w:ascii="Arial" w:cs="Arial" w:eastAsia="Arial" w:hAnsi="Arial"/>
                <w:sz w:val="14"/>
                <w:szCs w:val="14"/>
                <w:color w:val="auto"/>
              </w:rPr>
              <w:t>age 49 - 73</w:t>
            </w:r>
          </w:p>
        </w:tc>
        <w:tc>
          <w:tcPr>
            <w:tcW w:w="2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significant increase in lung function, as measured by FEV</w:t>
            </w:r>
            <w:r>
              <w:rPr>
                <w:rFonts w:ascii="Arial" w:cs="Arial" w:eastAsia="Arial" w:hAnsi="Arial"/>
                <w:sz w:val="10"/>
                <w:szCs w:val="10"/>
                <w:color w:val="auto"/>
              </w:rPr>
              <w:t>1</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2420" w:type="dxa"/>
            <w:vAlign w:val="bottom"/>
            <w:vMerge w:val="restart"/>
          </w:tcPr>
          <w:p>
            <w:pPr>
              <w:ind w:left="200"/>
              <w:spacing w:after="0"/>
              <w:rPr>
                <w:sz w:val="20"/>
                <w:szCs w:val="20"/>
                <w:color w:val="auto"/>
              </w:rPr>
            </w:pPr>
            <w:r>
              <w:rPr>
                <w:rFonts w:ascii="Arial" w:cs="Arial" w:eastAsia="Arial" w:hAnsi="Arial"/>
                <w:sz w:val="14"/>
                <w:szCs w:val="14"/>
                <w:color w:val="auto"/>
              </w:rPr>
              <w:t>1 location; United Kingdom</w:t>
            </w:r>
          </w:p>
        </w:tc>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up to 360 mL (24%) from baseline, with a duration of</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action of 12 hours</w:t>
            </w: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i w:val="1"/>
          <w:iCs w:val="1"/>
          <w:color w:val="auto"/>
        </w:rPr>
        <w:t>Phase 2a Clinical Trials</w:t>
      </w:r>
    </w:p>
    <w:p>
      <w:pPr>
        <w:spacing w:after="0" w:line="230"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8"/>
          <w:szCs w:val="18"/>
          <w:color w:val="auto"/>
        </w:rPr>
        <w:t>We have completed two Phase 2a clinical trials using our new nebulized formulation of RPL554.</w:t>
      </w:r>
    </w:p>
    <w:p>
      <w:pPr>
        <w:spacing w:after="0" w:line="212" w:lineRule="exact"/>
        <w:rPr>
          <w:rFonts w:ascii="Arial" w:cs="Arial" w:eastAsia="Arial" w:hAnsi="Arial"/>
          <w:sz w:val="14"/>
          <w:szCs w:val="14"/>
          <w:b w:val="1"/>
          <w:bCs w:val="1"/>
          <w:color w:val="auto"/>
        </w:rPr>
      </w:pPr>
    </w:p>
    <w:p>
      <w:pPr>
        <w:ind w:right="860"/>
        <w:spacing w:after="0" w:line="239" w:lineRule="auto"/>
        <w:rPr>
          <w:sz w:val="20"/>
          <w:szCs w:val="20"/>
          <w:color w:val="auto"/>
        </w:rPr>
      </w:pPr>
      <w:r>
        <w:rPr>
          <w:rFonts w:ascii="Arial" w:cs="Arial" w:eastAsia="Arial" w:hAnsi="Arial"/>
          <w:sz w:val="18"/>
          <w:szCs w:val="18"/>
          <w:color w:val="auto"/>
        </w:rPr>
        <w:t>In February 2016, we completed a single-dose, double-blinded, placebo-controlled, six-way cross-over Phase 2a clinical trial for RPL554 conducted in the United Kingdom. A total of 36 patients were</w:t>
      </w:r>
    </w:p>
    <w:p>
      <w:pPr>
        <w:spacing w:after="0" w:line="209" w:lineRule="exact"/>
        <w:rPr>
          <w:rFonts w:ascii="Arial" w:cs="Arial" w:eastAsia="Arial" w:hAnsi="Arial"/>
          <w:sz w:val="14"/>
          <w:szCs w:val="14"/>
          <w:b w:val="1"/>
          <w:bCs w:val="1"/>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13" w:lineRule="auto"/>
        <w:rPr>
          <w:sz w:val="20"/>
          <w:szCs w:val="20"/>
          <w:color w:val="auto"/>
        </w:rPr>
      </w:pPr>
      <w:r>
        <w:rPr>
          <w:rFonts w:ascii="Arial" w:cs="Arial" w:eastAsia="Arial" w:hAnsi="Arial"/>
          <w:sz w:val="17"/>
          <w:szCs w:val="17"/>
          <w:color w:val="auto"/>
        </w:rPr>
        <w:t>randomized to receive each of the six treatments, which were albuterol, ipratropium, RPL554, placebo, RPL554 as an add-on therapy to albuterol and RPL554 as an add-on therapy to ipratropium. The primary objective of this trial was to establish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as an add-on therapy to albuterol (200 mcg), as an add-on therapy to ipratropium (40 mcg) and as a single agent,</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each as compared to standard doses of each of albuterol and ipratropium alone and to placebo. The testing dose level for RPL554 was 6 mg. The secondary objective of this trial was to measure the change in residual lung volume, a measure of the volume of air trapped in the lung, airway conductance, a measure of the ease with which air moves down the airways, time of onset of action and safety and tolerability of RPL554.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this clinical trial, RPL554 produced clinically meaningful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as an</w:t>
      </w:r>
    </w:p>
    <w:p>
      <w:pPr>
        <w:spacing w:after="0" w:line="39"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add-on therapy to standard doses of each of albuterol and ipratropium as compared to standard doses of either bronchodilator alone. In this clinical trial, we observed the effect size, or peak improvement minus placebo improvement, was 51% higher for the add-on therapy of RPL554 with albuterol as compared to albuterol alone, and 66% higher for the add-on therapy of RPL554 with ipratropium as compared to ipratropium alone. We also observed in this trial that RPL554 as a single agent produced numerically greater improvements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as compared to albuterol or ipratropium alone, and statistically significant improvements as compared to placebo. These results are illustrated by the figure below.</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Lung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patients treated with RPL554 as a single agent experienced numerically greater improvements in residual lung volume as compared to albuterol or ipratropium alone, and statistically significant improvements as compared to placebo. The add-on therapy of RPL554 with albuterol or ipratropium caused a statistically significant reduction in residual lung volume as compared to albuterol or ipratropium alone, suggesting that RPL554 treatment may reduce dyspnea, or shortness of breath, a major debilitating symptom of COPD. This reduction in residual lung volume as measured in liters is illustrated in the figure below.</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Reduction in Residual Lung Volume (Air Trapping)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146685</wp:posOffset>
            </wp:positionV>
            <wp:extent cx="3782060" cy="2710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8206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this trial, the time of onset of action of ipratropium was approximately 20 minutes. The time of onset of action for RPL554 alone was approximately 15 minutes. When RPL554 was administered as an add-on therapy to ipratropium, the time of onset was reduced to approximately 5 minutes, which is similar to albuterol. In both cases, RPL554 as an add-on therapy resulted in a statistically significant reduction in time of onset as compared to ipratropium or albuterol alone. The time of onset in minutes is shown in the figure below.</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Onset of Bronchodilator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146685</wp:posOffset>
            </wp:positionV>
            <wp:extent cx="3302000" cy="2109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200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Another important parameter in COPD is the resistance of the airways to airflow. The inverse of this is airway conductance. Similar to the effect on residual lung volume, patients treated with RPL554 as a single agent experienced numerically greater increases in airway conductance as compared to each of albuterol and ipratropium, and statistically significant improvements as compared to placebo. We also observed, that the administration of RPL554 as an add-on therapy to either albuterol or ipratropium resulted in a statistically significant increase in airway conductance as compared to albuterol or ipratropium alone, as illustrated in the figure below.</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Airway Conductance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146050</wp:posOffset>
            </wp:positionV>
            <wp:extent cx="3970655" cy="2298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7065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Consistent with prior trials, RPL554 was well tolerated both alone and as an add-on therapy and was not observed to increase the incidence of any adverse event over standard bronchodilators when used alone. In addition, we did not observe the gastrointestinal or other side effects associated with Roflumilast, the only PDE4 inhibitor currently on the market. In this trial, RPL554 had no observed effect on cardiac function as measured by electrocardiograms, including QT intervals, a measure of time between certain waves in the heart's electrical cycle and measure of a potential cardiovascular adverse event. Finally, the serum levels of RPL554 were not affected by use of albuterol or ipratropium.</w:t>
      </w:r>
    </w:p>
    <w:p>
      <w:pPr>
        <w:spacing w:after="0" w:line="211" w:lineRule="exact"/>
        <w:rPr>
          <w:sz w:val="20"/>
          <w:szCs w:val="20"/>
          <w:color w:val="auto"/>
        </w:rPr>
      </w:pPr>
    </w:p>
    <w:p>
      <w:pPr>
        <w:jc w:val="both"/>
        <w:spacing w:after="0" w:line="213" w:lineRule="auto"/>
        <w:rPr>
          <w:sz w:val="20"/>
          <w:szCs w:val="20"/>
          <w:color w:val="auto"/>
        </w:rPr>
      </w:pPr>
      <w:r>
        <w:rPr>
          <w:rFonts w:ascii="Arial" w:cs="Arial" w:eastAsia="Arial" w:hAnsi="Arial"/>
          <w:sz w:val="17"/>
          <w:szCs w:val="17"/>
          <w:color w:val="auto"/>
        </w:rPr>
        <w:t>In January 2016, we completed a single-dose, double-blind, placebo-controlled, seven-way cross-over Phase 2a dose-finding trial of RPL554 in 29 male and female chronic asthma patients conducted in Sweden and the United Kingdom. The testing dose levels of RPL554 ranged from 0.4 mg to 24 mg, a sixty-fold range. The primary objective of this trial was to establish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compared to albuterol and placebo. The secondary objective of this study was to assess the safety and tolerability of RPL554.</w:t>
      </w:r>
    </w:p>
    <w:p>
      <w:pPr>
        <w:spacing w:after="0" w:line="80"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In this trial, all doses of RPL554 showed a dose-dependent and statistically significant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with a p-value of less than 0.001, as compared to placebo. The maximum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of RPL554 observed in</w:t>
      </w:r>
    </w:p>
    <w:p>
      <w:pPr>
        <w:ind w:right="140"/>
        <w:spacing w:after="0" w:line="214" w:lineRule="auto"/>
        <w:rPr>
          <w:sz w:val="20"/>
          <w:szCs w:val="20"/>
          <w:color w:val="auto"/>
        </w:rPr>
      </w:pPr>
      <w:r>
        <w:rPr>
          <w:rFonts w:ascii="Arial" w:cs="Arial" w:eastAsia="Arial" w:hAnsi="Arial"/>
          <w:sz w:val="18"/>
          <w:szCs w:val="18"/>
          <w:color w:val="auto"/>
        </w:rPr>
        <w:t>this trial was comparable to the maximum effect observed with a dose of 7.5 mg, or three times the recommended dose, of nebulized albuterol. In this trial, RPL554 was well tolerated and there were no serious adverse events or adverse events of concern at any dose. RPL554 treatment resulted in no gastrointestinal adverse events or cardiovascular events of concern. The figure below illustrates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as compared to albuterol and placebo.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Improvement in Lung Function Over a Sixty-fold Dose Range in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146050</wp:posOffset>
            </wp:positionV>
            <wp:extent cx="3970655" cy="2504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7065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Trials</w:t>
      </w:r>
    </w:p>
    <w:p>
      <w:pPr>
        <w:spacing w:after="0" w:line="2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September 2015, we completed a Phase 1 clinical trial that had three parts consisting of a single ascending dose, or SAD, trial in 50 healthy male subjects, a multiple ascending dose, or MAD, trial in 30 healthy male subjects and a MAD trial in 32 male and female patients with COPD. Doses in the SAD trial and the MAD trial with healthy subjects ranged from 6 mg to 24 mg, and doses in the MAD trial with COPD patients ranged from 1.5 mg to 12 mg. Each of the MAD trials continued for five and a half days with twice-daily dosing.</w:t>
      </w:r>
    </w:p>
    <w:p>
      <w:pPr>
        <w:spacing w:after="0" w:line="209" w:lineRule="exact"/>
        <w:rPr>
          <w:sz w:val="20"/>
          <w:szCs w:val="20"/>
          <w:color w:val="auto"/>
        </w:rPr>
      </w:pPr>
    </w:p>
    <w:p>
      <w:pPr>
        <w:ind w:right="440"/>
        <w:spacing w:after="0" w:line="200" w:lineRule="auto"/>
        <w:rPr>
          <w:sz w:val="20"/>
          <w:szCs w:val="20"/>
          <w:color w:val="auto"/>
        </w:rPr>
      </w:pPr>
      <w:r>
        <w:rPr>
          <w:rFonts w:ascii="Arial" w:cs="Arial" w:eastAsia="Arial" w:hAnsi="Arial"/>
          <w:sz w:val="17"/>
          <w:szCs w:val="17"/>
          <w:color w:val="auto"/>
        </w:rPr>
        <w:t>The primary objective of the SAD and MAD trials in healthy subjects was to assess the safety and tolerability of single and multiple doses of RPL554. The secondary objective of these trials was to measure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in healthy subjects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receiving RPL554 as compared to placebo.</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SAD and MAD trials in healthy subjects, RPL554 was well tolerated. In these trials, we also observed a longer residence time in the lung, lower peak plasma concentrations and a longer plasma half-life (10 to 12 hours) than our initial proof-of-concept formulation of RPL554, suggesting that twice-daily dosing is appropriate. The lung function testing in the SAD trial showed a dose-dependent improvement in lung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in these healthy individuals, despite none of them having asthma or COPD, as illustrated in the figure below.</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in Healthy Subjects (SAD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164465</wp:posOffset>
            </wp:positionV>
            <wp:extent cx="5565775" cy="32499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577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spacing w:after="0" w:line="198" w:lineRule="auto"/>
        <w:rPr>
          <w:sz w:val="20"/>
          <w:szCs w:val="20"/>
          <w:color w:val="auto"/>
        </w:rPr>
      </w:pPr>
      <w:r>
        <w:rPr>
          <w:rFonts w:ascii="Arial" w:cs="Arial" w:eastAsia="Arial" w:hAnsi="Arial"/>
          <w:sz w:val="18"/>
          <w:szCs w:val="18"/>
          <w:color w:val="auto"/>
        </w:rPr>
        <w:t>Similarly, in the MAD trial in 30 healthy male subjects, RPL554 continued to show an increase in lung function compared to baseline on each day of the study,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in these healthy individuals, despite none of them having asthma or COPD.</w:t>
      </w:r>
    </w:p>
    <w:p>
      <w:pPr>
        <w:spacing w:after="0" w:line="202" w:lineRule="exact"/>
        <w:rPr>
          <w:sz w:val="20"/>
          <w:szCs w:val="20"/>
          <w:color w:val="auto"/>
        </w:rPr>
      </w:pPr>
    </w:p>
    <w:p>
      <w:pPr>
        <w:jc w:val="both"/>
        <w:ind w:right="100"/>
        <w:spacing w:after="0" w:line="213" w:lineRule="auto"/>
        <w:rPr>
          <w:sz w:val="20"/>
          <w:szCs w:val="20"/>
          <w:color w:val="auto"/>
        </w:rPr>
      </w:pPr>
      <w:r>
        <w:rPr>
          <w:rFonts w:ascii="Arial" w:cs="Arial" w:eastAsia="Arial" w:hAnsi="Arial"/>
          <w:sz w:val="17"/>
          <w:szCs w:val="17"/>
          <w:color w:val="auto"/>
        </w:rPr>
        <w:t>The primary objective of the third part of the trial, which was a MAD trial in 32 patients with moderate COPD, was to assess safety and tolerability and measure the PK profile of RPL554 in COPD patients receiving RPL554 as compared to placebo. The secondary objective was to assess the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in these patients. In this clinical trial, RPL554 was well tolerated at all doses with no reports</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of serious adverse events or adverse events of concern. Specifically, we did not observe the gastrointestinal or other side effects associated with Roflumilast, the only PDE4 inhibitor currently on the market, and RPL554 was not observed to have any effect on cardiac function as measured by electrocardiograms, including QT intervals, and Holter monitoring, which uses a portable device that continuously measures and records the heart's activity for at least 24 hours. We also observed a statistically significant increase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with a p-value of</w:t>
      </w:r>
    </w:p>
    <w:p>
      <w:pPr>
        <w:spacing w:after="0" w:line="1" w:lineRule="exact"/>
        <w:rPr>
          <w:sz w:val="20"/>
          <w:szCs w:val="20"/>
          <w:color w:val="auto"/>
        </w:rPr>
      </w:pPr>
    </w:p>
    <w:p>
      <w:pPr>
        <w:ind w:right="120"/>
        <w:spacing w:after="0" w:line="198" w:lineRule="auto"/>
        <w:rPr>
          <w:sz w:val="20"/>
          <w:szCs w:val="20"/>
          <w:color w:val="auto"/>
        </w:rPr>
      </w:pPr>
      <w:r>
        <w:rPr>
          <w:rFonts w:ascii="Arial" w:cs="Arial" w:eastAsia="Arial" w:hAnsi="Arial"/>
          <w:sz w:val="18"/>
          <w:szCs w:val="18"/>
          <w:color w:val="auto"/>
        </w:rPr>
        <w:t>less than 0.05, in patients receiving RPL554 in all dose groups as compared to placebo. The figure below illustrates a consistent increase in lung function compared to baseline with no evidence of reduction in effect level,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on each day of the study.</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over Six Days of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164465</wp:posOffset>
            </wp:positionV>
            <wp:extent cx="5582920" cy="3061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292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00" w:lineRule="auto"/>
        <w:rPr>
          <w:sz w:val="20"/>
          <w:szCs w:val="20"/>
          <w:color w:val="auto"/>
        </w:rPr>
      </w:pPr>
      <w:r>
        <w:rPr>
          <w:rFonts w:ascii="Arial" w:cs="Arial" w:eastAsia="Arial" w:hAnsi="Arial"/>
          <w:sz w:val="17"/>
          <w:szCs w:val="17"/>
          <w:color w:val="auto"/>
        </w:rPr>
        <w:t>The figure below, which represents the effects of the final dose after five and a half days of treatment with RPL554, shows that patients with moderate COPD that were administered RPL554 experienced an improvement in lung function, as measured by FEV</w:t>
      </w:r>
      <w:r>
        <w:rPr>
          <w:rFonts w:ascii="Arial" w:cs="Arial" w:eastAsia="Arial" w:hAnsi="Arial"/>
          <w:sz w:val="28"/>
          <w:szCs w:val="28"/>
          <w:color w:val="auto"/>
          <w:vertAlign w:val="subscript"/>
        </w:rPr>
        <w:t>1</w:t>
      </w:r>
      <w:r>
        <w:rPr>
          <w:rFonts w:ascii="Arial" w:cs="Arial" w:eastAsia="Arial" w:hAnsi="Arial"/>
          <w:sz w:val="17"/>
          <w:szCs w:val="17"/>
          <w:color w:val="auto"/>
        </w:rPr>
        <w:t>, and that the improvement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peaked at two hours and continued through the 12-hour measurement period.</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Improvement in Lung Function (FEV</w:t>
      </w:r>
      <w:r>
        <w:rPr>
          <w:rFonts w:ascii="Arial" w:cs="Arial" w:eastAsia="Arial" w:hAnsi="Arial"/>
          <w:sz w:val="29"/>
          <w:szCs w:val="29"/>
          <w:b w:val="1"/>
          <w:bCs w:val="1"/>
          <w:color w:val="auto"/>
          <w:vertAlign w:val="subscript"/>
        </w:rPr>
        <w:t>1</w:t>
      </w:r>
      <w:r>
        <w:rPr>
          <w:rFonts w:ascii="Arial" w:cs="Arial" w:eastAsia="Arial" w:hAnsi="Arial"/>
          <w:sz w:val="18"/>
          <w:szCs w:val="18"/>
          <w:b w:val="1"/>
          <w:bCs w:val="1"/>
          <w:color w:val="auto"/>
        </w:rPr>
        <w:t>) over 12 Hours in COPD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163830</wp:posOffset>
            </wp:positionV>
            <wp:extent cx="5634355" cy="3044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3435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May 2013, we completed a Phase 1 clinical trial in which 21 healthy evaluable subjects were treated with either our initial proof-of-concept formulation of RPL554 or placebo once daily for six days before airway challenge with aerosolized LPS. Subjects that were administered RPL554 had significantly lower absolute numbers of neutrophils in sputum collected six hours after LPS challenge, and a significant reduction in the absolute numbers of other inflammatory cells, including lymphocytes, macrophages and eosinophils, at the same time point. These observations suggest that RPL554 also has the potential to target the chronic inflammatory processes in COPD. The figure below illustrates the reduction in inflammatory cells observed in this trial as measured by absolute cell counts.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Reduction in Inflammatory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146685</wp:posOffset>
            </wp:positionV>
            <wp:extent cx="5360035" cy="3070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6003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Safety Results</w:t>
      </w:r>
    </w:p>
    <w:p>
      <w:pPr>
        <w:spacing w:after="0" w:line="23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RPL554 was well tolerated in each of our eight Phase 1 and 2a clinical trials at dose levels ranging from 0.4 mg to 24 mg. RPL554 was well tolerated both when administered alone and as an add-on therapy to commonly used bronchodilators. In our completed clinical trials, we did not observe any gastrointestinal adverse events or cardiovascular effects, other than a small increase in heart rate at the highest doses tested. RPL554 had no observed effect on cardiac function as measured by electrocardiograms, including QT intervals, a measure of time between certain waves in the heart's electrical cycle and measure of a potential cardiovascular adverse event. In addition, we did not observe an increase in incidence of any adverse event over commonly used bronchodilators when RPL554 was used alone. In these trials, some subjects experienced mild to moderate adverse reactions, including headache, dizziness, cough, heart palpitation, nausea, dry mouth, parenthesis (tingling), nasopharyngitis (throat irritation) and rash, which occurred with comparable frequency to placebo. No subjects had a serious adverse event.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23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plan to conduct several trials to support our plans to develop RPL554 in a nebulized formulation for the maintenance treatment of COPD and as an add-on therapy to short-acting bronchodilators and other commonly used therapies for the treatment of hospitalized patients with acute exacerbations of COPD. We also are developing RPL554 in both DPI and MDI formulations for the maintenance treatment of COPD. In addition, we may explore the development of RPL554 in these formulations for the treatment of asthma and other respiratory diseases.</w:t>
      </w:r>
    </w:p>
    <w:p>
      <w:pPr>
        <w:spacing w:after="0" w:line="202" w:lineRule="exact"/>
        <w:rPr>
          <w:sz w:val="20"/>
          <w:szCs w:val="20"/>
          <w:color w:val="auto"/>
        </w:rPr>
      </w:pPr>
    </w:p>
    <w:p>
      <w:pPr>
        <w:ind w:left="1080" w:right="180" w:hanging="532"/>
        <w:spacing w:after="0" w:line="294"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Maintenance treatment of COPD. </w:t>
      </w:r>
      <w:r>
        <w:rPr>
          <w:rFonts w:ascii="Arial" w:cs="Arial" w:eastAsia="Arial" w:hAnsi="Arial"/>
          <w:sz w:val="16"/>
          <w:szCs w:val="16"/>
          <w:color w:val="auto"/>
        </w:rPr>
        <w:t>We plan to commence a Phase 1 single-dose PK trial in mid-2017 in approximately 12 healthy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volunteers in the United States. The primary endpoint is to determine the amount of drug that is swallowed which makes it into systematic circulation, or oral bioavailability. We expect to report top-line data from the Phase 1 trial in the first half of 2018.</w:t>
      </w:r>
    </w:p>
    <w:p>
      <w:pPr>
        <w:spacing w:after="0" w:line="167" w:lineRule="exact"/>
        <w:rPr>
          <w:rFonts w:ascii="Arial" w:cs="Arial" w:eastAsia="Arial" w:hAnsi="Arial"/>
          <w:sz w:val="16"/>
          <w:szCs w:val="16"/>
          <w:color w:val="auto"/>
        </w:rPr>
      </w:pPr>
    </w:p>
    <w:p>
      <w:pPr>
        <w:ind w:left="1080" w:right="280"/>
        <w:spacing w:after="0" w:line="212" w:lineRule="auto"/>
        <w:rPr>
          <w:rFonts w:ascii="Arial" w:cs="Arial" w:eastAsia="Arial" w:hAnsi="Arial"/>
          <w:sz w:val="16"/>
          <w:szCs w:val="16"/>
          <w:color w:val="auto"/>
        </w:rPr>
      </w:pPr>
      <w:r>
        <w:rPr>
          <w:rFonts w:ascii="Arial" w:cs="Arial" w:eastAsia="Arial" w:hAnsi="Arial"/>
          <w:sz w:val="18"/>
          <w:szCs w:val="18"/>
          <w:color w:val="auto"/>
        </w:rPr>
        <w:t>We also plan to commence a Phase 2b dose-ranging clinical trial for RPL554 for the maintenance treatment in approximately 400 patients with COPD in Europe by the end of 2017. The Phase 2b clinical trial will be a four-week double-blind, placebo-controlled, parallel group trial. The primary endpoint is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after dosing with RPL554 or placebo. We expect to report top-line data from the Phase 2b trial by the end of 2018.</w:t>
      </w:r>
    </w:p>
    <w:p>
      <w:pPr>
        <w:spacing w:after="0" w:line="210" w:lineRule="exact"/>
        <w:rPr>
          <w:rFonts w:ascii="Arial" w:cs="Arial" w:eastAsia="Arial" w:hAnsi="Arial"/>
          <w:sz w:val="16"/>
          <w:szCs w:val="16"/>
          <w:color w:val="auto"/>
        </w:rPr>
      </w:pPr>
    </w:p>
    <w:p>
      <w:pPr>
        <w:ind w:left="1080" w:right="140"/>
        <w:spacing w:after="0" w:line="216" w:lineRule="auto"/>
        <w:rPr>
          <w:rFonts w:ascii="Arial" w:cs="Arial" w:eastAsia="Arial" w:hAnsi="Arial"/>
          <w:sz w:val="16"/>
          <w:szCs w:val="16"/>
          <w:color w:val="auto"/>
        </w:rPr>
      </w:pPr>
      <w:r>
        <w:rPr>
          <w:rFonts w:ascii="Arial" w:cs="Arial" w:eastAsia="Arial" w:hAnsi="Arial"/>
          <w:sz w:val="18"/>
          <w:szCs w:val="18"/>
          <w:color w:val="auto"/>
        </w:rPr>
        <w:t>In February 2017, we commenced a Phase 2a clinical trial in the United Kingdom evaluating RPL554 in patients with COPD as an add-on therapy to tiotropium, an approved and widely used LAMA bronchodilator. Our Phase 2a clinical trial is a three day trial in approximately 30 COPD patients. This trial will evaluate the improvement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and duration of effect of RPL554 or placebo as an add-on therapy to tiotropium. We expect to report top-line data from this trial in the fourth quarter of 2017.</w:t>
      </w:r>
    </w:p>
    <w:p>
      <w:pPr>
        <w:spacing w:after="0" w:line="210"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The data from these trials will also help inform the clinical development of RPL554 in the acute setting.</w:t>
      </w:r>
    </w:p>
    <w:p>
      <w:pPr>
        <w:spacing w:after="0" w:line="218"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Treatment of hospitalized patients with acute exacerbations of COPD. </w:t>
      </w:r>
      <w:r>
        <w:rPr>
          <w:rFonts w:ascii="Arial" w:cs="Arial" w:eastAsia="Arial" w:hAnsi="Arial"/>
          <w:sz w:val="18"/>
          <w:szCs w:val="18"/>
          <w:color w:val="auto"/>
        </w:rPr>
        <w:t>We plan to commence a Phase 2 clinical trial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for RPL554 for the treatment of acute COPD patients requiring hospitalization in 2018. We plan to enroll approximately 150 patients in this Phase 2 clinical trial, which will be a double-blind, placebo-controlled, parallel group trial starting during the patients' hospitalization for COPD exacerbation and continuing for 30 days after discharge. RPL554 will be added to the standard-of-care treatment these patients receive. This trial will be designed to evaluate the efficacy and safety of RPL554 when administered for patients experiencing a COPD exacerbation requiring hospitalization.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planned clinical trial designs for RPL554 for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ind w:left="500"/>
              <w:spacing w:after="0"/>
              <w:rPr>
                <w:sz w:val="20"/>
                <w:szCs w:val="20"/>
                <w:color w:val="auto"/>
              </w:rPr>
            </w:pPr>
            <w:r>
              <w:rPr>
                <w:rFonts w:ascii="Arial" w:cs="Arial" w:eastAsia="Arial" w:hAnsi="Arial"/>
                <w:sz w:val="14"/>
                <w:szCs w:val="14"/>
                <w:b w:val="1"/>
                <w:bCs w:val="1"/>
                <w:color w:val="auto"/>
              </w:rPr>
              <w:t>Patient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Primary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ind w:left="1000"/>
              <w:spacing w:after="0"/>
              <w:rPr>
                <w:sz w:val="20"/>
                <w:szCs w:val="20"/>
                <w:color w:val="auto"/>
              </w:rPr>
            </w:pPr>
            <w:r>
              <w:rPr>
                <w:rFonts w:ascii="Arial" w:cs="Arial" w:eastAsia="Arial" w:hAnsi="Arial"/>
                <w:sz w:val="14"/>
                <w:szCs w:val="14"/>
                <w:b w:val="1"/>
                <w:bCs w:val="1"/>
                <w:color w:val="auto"/>
              </w:rPr>
              <w:t>Secondary</w:t>
            </w:r>
          </w:p>
        </w:tc>
        <w:tc>
          <w:tcPr>
            <w:tcW w:w="160" w:type="dxa"/>
            <w:vAlign w:val="bottom"/>
          </w:tcPr>
          <w:p>
            <w:pPr>
              <w:spacing w:after="0"/>
              <w:rPr>
                <w:sz w:val="14"/>
                <w:szCs w:val="14"/>
                <w:color w:val="auto"/>
              </w:rPr>
            </w:pP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Trial Description</w:t>
            </w:r>
          </w:p>
        </w:tc>
        <w:tc>
          <w:tcPr>
            <w:tcW w:w="500" w:type="dxa"/>
            <w:vAlign w:val="bottom"/>
          </w:tcPr>
          <w:p>
            <w:pPr>
              <w:spacing w:after="0"/>
              <w:rPr>
                <w:sz w:val="15"/>
                <w:szCs w:val="15"/>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Trial Design</w:t>
            </w:r>
          </w:p>
        </w:tc>
        <w:tc>
          <w:tcPr>
            <w:tcW w:w="160" w:type="dxa"/>
            <w:vAlign w:val="bottom"/>
          </w:tcPr>
          <w:p>
            <w:pPr>
              <w:spacing w:after="0"/>
              <w:rPr>
                <w:sz w:val="15"/>
                <w:szCs w:val="15"/>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Population</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Endpoint</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Endpoints</w:t>
            </w:r>
          </w:p>
        </w:tc>
        <w:tc>
          <w:tcPr>
            <w:tcW w:w="160" w:type="dxa"/>
            <w:vAlign w:val="bottom"/>
          </w:tcPr>
          <w:p>
            <w:pPr>
              <w:spacing w:after="0"/>
              <w:rPr>
                <w:sz w:val="15"/>
                <w:szCs w:val="15"/>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Milestones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640" w:type="dxa"/>
            <w:vAlign w:val="bottom"/>
            <w:gridSpan w:val="2"/>
          </w:tcPr>
          <w:p>
            <w:pPr>
              <w:spacing w:after="0"/>
              <w:rPr>
                <w:sz w:val="20"/>
                <w:szCs w:val="20"/>
                <w:color w:val="auto"/>
              </w:rPr>
            </w:pPr>
            <w:r>
              <w:rPr>
                <w:rFonts w:ascii="Arial" w:cs="Arial" w:eastAsia="Arial" w:hAnsi="Arial"/>
                <w:sz w:val="14"/>
                <w:szCs w:val="14"/>
                <w:color w:val="auto"/>
              </w:rPr>
              <w:t>Phase 1 PK trial to</w:t>
            </w:r>
          </w:p>
        </w:tc>
        <w:tc>
          <w:tcPr>
            <w:tcW w:w="1480" w:type="dxa"/>
            <w:vAlign w:val="bottom"/>
          </w:tcPr>
          <w:p>
            <w:pPr>
              <w:spacing w:after="0"/>
              <w:rPr>
                <w:sz w:val="20"/>
                <w:szCs w:val="20"/>
                <w:color w:val="auto"/>
              </w:rPr>
            </w:pPr>
            <w:r>
              <w:rPr>
                <w:rFonts w:ascii="Arial" w:cs="Arial" w:eastAsia="Arial" w:hAnsi="Arial"/>
                <w:sz w:val="14"/>
                <w:szCs w:val="14"/>
                <w:color w:val="auto"/>
              </w:rPr>
              <w:t>Dosing: Single dose</w:t>
            </w:r>
          </w:p>
        </w:tc>
        <w:tc>
          <w:tcPr>
            <w:tcW w:w="160" w:type="dxa"/>
            <w:vAlign w:val="bottom"/>
          </w:tcPr>
          <w:p>
            <w:pPr>
              <w:spacing w:after="0"/>
              <w:rPr>
                <w:sz w:val="13"/>
                <w:szCs w:val="13"/>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Approximately 12</w:t>
            </w:r>
          </w:p>
        </w:tc>
        <w:tc>
          <w:tcPr>
            <w:tcW w:w="18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Oral bioavailability</w:t>
            </w:r>
          </w:p>
        </w:tc>
        <w:tc>
          <w:tcPr>
            <w:tcW w:w="160" w:type="dxa"/>
            <w:vAlign w:val="bottom"/>
          </w:tcPr>
          <w:p>
            <w:pPr>
              <w:spacing w:after="0"/>
              <w:rPr>
                <w:sz w:val="13"/>
                <w:szCs w:val="1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Tolerability</w:t>
            </w: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Planned</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determine oral</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healthy volunteers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commencement in</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bioavailability of the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Safety</w:t>
            </w: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mid-2017, with top-line</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compound</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data expected in the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6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first half of 2018</w:t>
            </w:r>
          </w:p>
        </w:tc>
        <w:tc>
          <w:tcPr>
            <w:tcW w:w="0" w:type="dxa"/>
            <w:vAlign w:val="bottom"/>
          </w:tcPr>
          <w:p>
            <w:pPr>
              <w:spacing w:after="0"/>
              <w:rPr>
                <w:sz w:val="1"/>
                <w:szCs w:val="1"/>
                <w:color w:val="auto"/>
              </w:rPr>
            </w:pPr>
          </w:p>
        </w:tc>
      </w:tr>
      <w:tr>
        <w:trPr>
          <w:trHeight w:val="174"/>
        </w:trPr>
        <w:tc>
          <w:tcPr>
            <w:tcW w:w="1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color w:val="auto"/>
              </w:rPr>
              <w:t>Phase 2b trial to</w:t>
            </w:r>
          </w:p>
        </w:tc>
        <w:tc>
          <w:tcPr>
            <w:tcW w:w="1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24 hours after the previous dose, or</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Approximately 400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AUC over 12 hours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trough</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Planned</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determine efficacy,</w:t>
            </w:r>
          </w:p>
        </w:tc>
        <w:tc>
          <w:tcPr>
            <w:tcW w:w="1480" w:type="dxa"/>
            <w:vAlign w:val="bottom"/>
          </w:tcPr>
          <w:p>
            <w:pPr>
              <w:spacing w:after="0"/>
              <w:rPr>
                <w:sz w:val="20"/>
                <w:szCs w:val="20"/>
                <w:color w:val="auto"/>
              </w:rPr>
            </w:pPr>
            <w:r>
              <w:rPr>
                <w:rFonts w:ascii="Arial" w:cs="Arial" w:eastAsia="Arial" w:hAnsi="Arial"/>
                <w:sz w:val="14"/>
                <w:szCs w:val="14"/>
                <w:color w:val="auto"/>
              </w:rPr>
              <w:t>controlled, parallel</w:t>
            </w: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COPD patients, age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commencement by the</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safety and dose-</w:t>
            </w:r>
          </w:p>
        </w:tc>
        <w:tc>
          <w:tcPr>
            <w:tcW w:w="1480" w:type="dxa"/>
            <w:vAlign w:val="bottom"/>
          </w:tcPr>
          <w:p>
            <w:pPr>
              <w:spacing w:after="0"/>
              <w:rPr>
                <w:sz w:val="20"/>
                <w:szCs w:val="20"/>
                <w:color w:val="auto"/>
              </w:rPr>
            </w:pPr>
            <w:r>
              <w:rPr>
                <w:rFonts w:ascii="Arial" w:cs="Arial" w:eastAsia="Arial" w:hAnsi="Arial"/>
                <w:sz w:val="14"/>
                <w:szCs w:val="14"/>
                <w:color w:val="auto"/>
              </w:rPr>
              <w:t>group, four-week trial</w:t>
            </w:r>
          </w:p>
        </w:tc>
        <w:tc>
          <w:tcPr>
            <w:tcW w:w="160" w:type="dxa"/>
            <w:vAlign w:val="bottom"/>
          </w:tcPr>
          <w:p>
            <w:pPr>
              <w:spacing w:after="0"/>
              <w:rPr>
                <w:sz w:val="14"/>
                <w:szCs w:val="14"/>
                <w:color w:val="auto"/>
              </w:rPr>
            </w:pPr>
          </w:p>
        </w:tc>
        <w:tc>
          <w:tcPr>
            <w:tcW w:w="1460" w:type="dxa"/>
            <w:vAlign w:val="bottom"/>
          </w:tcPr>
          <w:p>
            <w:pPr>
              <w:spacing w:after="0" w:line="162" w:lineRule="exact"/>
              <w:rPr>
                <w:sz w:val="20"/>
                <w:szCs w:val="20"/>
                <w:color w:val="auto"/>
              </w:rPr>
            </w:pPr>
            <w:r>
              <w:rPr>
                <w:rFonts w:ascii="Arial" w:cs="Arial" w:eastAsia="Arial" w:hAnsi="Arial"/>
                <w:sz w:val="13"/>
                <w:szCs w:val="13"/>
                <w:color w:val="auto"/>
              </w:rPr>
              <w:t>40 - 75, with FEV</w:t>
            </w:r>
            <w:r>
              <w:rPr>
                <w:rFonts w:ascii="Arial" w:cs="Arial" w:eastAsia="Arial" w:hAnsi="Arial"/>
                <w:sz w:val="18"/>
                <w:szCs w:val="18"/>
                <w:color w:val="auto"/>
                <w:vertAlign w:val="subscript"/>
              </w:rPr>
              <w:t>1</w:t>
            </w:r>
            <w:r>
              <w:rPr>
                <w:rFonts w:ascii="Arial" w:cs="Arial" w:eastAsia="Arial" w:hAnsi="Arial"/>
                <w:sz w:val="13"/>
                <w:szCs w:val="13"/>
                <w:color w:val="auto"/>
              </w:rPr>
              <w:t xml:space="preserve"> of</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end of 2017, with top-</w:t>
            </w:r>
          </w:p>
        </w:tc>
        <w:tc>
          <w:tcPr>
            <w:tcW w:w="0" w:type="dxa"/>
            <w:vAlign w:val="bottom"/>
          </w:tcPr>
          <w:p>
            <w:pPr>
              <w:spacing w:after="0"/>
              <w:rPr>
                <w:sz w:val="1"/>
                <w:szCs w:val="1"/>
                <w:color w:val="auto"/>
              </w:rPr>
            </w:pPr>
          </w:p>
        </w:tc>
      </w:tr>
      <w:tr>
        <w:trPr>
          <w:trHeight w:val="198"/>
        </w:trPr>
        <w:tc>
          <w:tcPr>
            <w:tcW w:w="1640" w:type="dxa"/>
            <w:vAlign w:val="bottom"/>
            <w:gridSpan w:val="2"/>
          </w:tcPr>
          <w:p>
            <w:pPr>
              <w:spacing w:after="0"/>
              <w:rPr>
                <w:sz w:val="20"/>
                <w:szCs w:val="20"/>
                <w:color w:val="auto"/>
              </w:rPr>
            </w:pPr>
            <w:r>
              <w:rPr>
                <w:rFonts w:ascii="Arial" w:cs="Arial" w:eastAsia="Arial" w:hAnsi="Arial"/>
                <w:sz w:val="14"/>
                <w:szCs w:val="14"/>
                <w:color w:val="auto"/>
              </w:rPr>
              <w:t>response of RPL554</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40% to 80%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COPD daily symptoms</w:t>
            </w: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line data expected by</w:t>
            </w:r>
          </w:p>
        </w:tc>
        <w:tc>
          <w:tcPr>
            <w:tcW w:w="0" w:type="dxa"/>
            <w:vAlign w:val="bottom"/>
          </w:tcPr>
          <w:p>
            <w:pPr>
              <w:spacing w:after="0"/>
              <w:rPr>
                <w:sz w:val="1"/>
                <w:szCs w:val="1"/>
                <w:color w:val="auto"/>
              </w:rPr>
            </w:pPr>
          </w:p>
        </w:tc>
      </w:tr>
      <w:tr>
        <w:trPr>
          <w:trHeight w:val="135"/>
        </w:trPr>
        <w:tc>
          <w:tcPr>
            <w:tcW w:w="1640" w:type="dxa"/>
            <w:vAlign w:val="bottom"/>
            <w:gridSpan w:val="2"/>
          </w:tcPr>
          <w:p>
            <w:pPr>
              <w:spacing w:after="0" w:line="135" w:lineRule="exact"/>
              <w:rPr>
                <w:sz w:val="20"/>
                <w:szCs w:val="20"/>
                <w:color w:val="auto"/>
              </w:rPr>
            </w:pPr>
            <w:r>
              <w:rPr>
                <w:rFonts w:ascii="Arial" w:cs="Arial" w:eastAsia="Arial" w:hAnsi="Arial"/>
                <w:sz w:val="14"/>
                <w:szCs w:val="14"/>
                <w:color w:val="auto"/>
              </w:rPr>
              <w:t>for maintenance</w:t>
            </w: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line="135" w:lineRule="exact"/>
              <w:rPr>
                <w:sz w:val="20"/>
                <w:szCs w:val="20"/>
                <w:color w:val="auto"/>
              </w:rPr>
            </w:pPr>
            <w:r>
              <w:rPr>
                <w:rFonts w:ascii="Arial" w:cs="Arial" w:eastAsia="Arial" w:hAnsi="Arial"/>
                <w:sz w:val="14"/>
                <w:szCs w:val="14"/>
                <w:color w:val="auto"/>
              </w:rPr>
              <w:t>predicted normal</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the end of 2018</w:t>
            </w:r>
          </w:p>
        </w:tc>
        <w:tc>
          <w:tcPr>
            <w:tcW w:w="0" w:type="dxa"/>
            <w:vAlign w:val="bottom"/>
          </w:tcPr>
          <w:p>
            <w:pPr>
              <w:spacing w:after="0"/>
              <w:rPr>
                <w:sz w:val="1"/>
                <w:szCs w:val="1"/>
                <w:color w:val="auto"/>
              </w:rPr>
            </w:pPr>
          </w:p>
        </w:tc>
      </w:tr>
      <w:tr>
        <w:trPr>
          <w:trHeight w:val="194"/>
        </w:trPr>
        <w:tc>
          <w:tcPr>
            <w:tcW w:w="1640" w:type="dxa"/>
            <w:vAlign w:val="bottom"/>
            <w:gridSpan w:val="2"/>
          </w:tcPr>
          <w:p>
            <w:pPr>
              <w:spacing w:after="0"/>
              <w:rPr>
                <w:sz w:val="20"/>
                <w:szCs w:val="20"/>
                <w:color w:val="auto"/>
              </w:rPr>
            </w:pPr>
            <w:r>
              <w:rPr>
                <w:rFonts w:ascii="Arial" w:cs="Arial" w:eastAsia="Arial" w:hAnsi="Arial"/>
                <w:sz w:val="14"/>
                <w:szCs w:val="14"/>
                <w:color w:val="auto"/>
              </w:rPr>
              <w:t>treatment of COPD</w:t>
            </w:r>
          </w:p>
        </w:tc>
        <w:tc>
          <w:tcPr>
            <w:tcW w:w="1480" w:type="dxa"/>
            <w:vAlign w:val="bottom"/>
          </w:tcPr>
          <w:p>
            <w:pPr>
              <w:spacing w:after="0"/>
              <w:rPr>
                <w:sz w:val="20"/>
                <w:szCs w:val="20"/>
                <w:color w:val="auto"/>
              </w:rPr>
            </w:pPr>
            <w:r>
              <w:rPr>
                <w:rFonts w:ascii="Arial" w:cs="Arial" w:eastAsia="Arial" w:hAnsi="Arial"/>
                <w:sz w:val="14"/>
                <w:szCs w:val="14"/>
                <w:color w:val="auto"/>
              </w:rPr>
              <w:t>Dosing: Four doses</w:t>
            </w:r>
          </w:p>
        </w:tc>
        <w:tc>
          <w:tcPr>
            <w:tcW w:w="16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levels. All long-acting</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bronchodilators will be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vMerge w:val="restart"/>
          </w:tcPr>
          <w:p>
            <w:pPr>
              <w:ind w:left="120"/>
              <w:spacing w:after="0"/>
              <w:rPr>
                <w:sz w:val="20"/>
                <w:szCs w:val="20"/>
                <w:color w:val="auto"/>
              </w:rPr>
            </w:pPr>
            <w:r>
              <w:rPr>
                <w:rFonts w:ascii="Arial" w:cs="Arial" w:eastAsia="Arial" w:hAnsi="Arial"/>
                <w:sz w:val="14"/>
                <w:szCs w:val="14"/>
                <w:color w:val="auto"/>
              </w:rPr>
              <w:t>St George's Respiratory Questionnaire</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vMerge w:val="restart"/>
          </w:tcPr>
          <w:p>
            <w:pPr>
              <w:spacing w:after="0"/>
              <w:rPr>
                <w:sz w:val="20"/>
                <w:szCs w:val="20"/>
                <w:color w:val="auto"/>
              </w:rPr>
            </w:pPr>
            <w:r>
              <w:rPr>
                <w:rFonts w:ascii="Arial" w:cs="Arial" w:eastAsia="Arial" w:hAnsi="Arial"/>
                <w:sz w:val="14"/>
                <w:szCs w:val="14"/>
                <w:color w:val="auto"/>
              </w:rPr>
              <w:t>withheld</w:t>
            </w: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vMerge w:val="restart"/>
          </w:tcPr>
          <w:p>
            <w:pPr>
              <w:ind w:left="120"/>
              <w:spacing w:after="0"/>
              <w:rPr>
                <w:sz w:val="20"/>
                <w:szCs w:val="20"/>
                <w:color w:val="auto"/>
              </w:rPr>
            </w:pPr>
            <w:r>
              <w:rPr>
                <w:rFonts w:ascii="Arial" w:cs="Arial" w:eastAsia="Arial" w:hAnsi="Arial"/>
                <w:sz w:val="14"/>
                <w:szCs w:val="14"/>
                <w:color w:val="auto"/>
              </w:rPr>
              <w:t>(SGRQ), a COPD health status score</w:t>
            </w: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7"/>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Dyspnea scale</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Safety</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Phase 2a trial to</w:t>
            </w:r>
          </w:p>
        </w:tc>
        <w:tc>
          <w:tcPr>
            <w:tcW w:w="148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PK profile</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Approximately 30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AUC over 12 hours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Commenced in</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determine efficacy and</w:t>
            </w:r>
          </w:p>
        </w:tc>
        <w:tc>
          <w:tcPr>
            <w:tcW w:w="1480" w:type="dxa"/>
            <w:vAlign w:val="bottom"/>
          </w:tcPr>
          <w:p>
            <w:pPr>
              <w:spacing w:after="0"/>
              <w:rPr>
                <w:sz w:val="20"/>
                <w:szCs w:val="20"/>
                <w:color w:val="auto"/>
              </w:rPr>
            </w:pPr>
            <w:r>
              <w:rPr>
                <w:rFonts w:ascii="Arial" w:cs="Arial" w:eastAsia="Arial" w:hAnsi="Arial"/>
                <w:sz w:val="14"/>
                <w:szCs w:val="14"/>
                <w:color w:val="auto"/>
              </w:rPr>
              <w:t>controlled, three-way</w:t>
            </w: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stable COPD patients,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February 2017, with</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safety of RPL554</w:t>
            </w:r>
          </w:p>
        </w:tc>
        <w:tc>
          <w:tcPr>
            <w:tcW w:w="1480" w:type="dxa"/>
            <w:vAlign w:val="bottom"/>
          </w:tcPr>
          <w:p>
            <w:pPr>
              <w:spacing w:after="0"/>
              <w:rPr>
                <w:sz w:val="20"/>
                <w:szCs w:val="20"/>
                <w:color w:val="auto"/>
              </w:rPr>
            </w:pPr>
            <w:r>
              <w:rPr>
                <w:rFonts w:ascii="Arial" w:cs="Arial" w:eastAsia="Arial" w:hAnsi="Arial"/>
                <w:sz w:val="14"/>
                <w:szCs w:val="14"/>
                <w:color w:val="auto"/>
              </w:rPr>
              <w:t>cross-over, three-day</w:t>
            </w:r>
          </w:p>
        </w:tc>
        <w:tc>
          <w:tcPr>
            <w:tcW w:w="160" w:type="dxa"/>
            <w:vAlign w:val="bottom"/>
          </w:tcPr>
          <w:p>
            <w:pPr>
              <w:spacing w:after="0"/>
              <w:rPr>
                <w:sz w:val="14"/>
                <w:szCs w:val="14"/>
                <w:color w:val="auto"/>
              </w:rPr>
            </w:pPr>
          </w:p>
        </w:tc>
        <w:tc>
          <w:tcPr>
            <w:tcW w:w="1460" w:type="dxa"/>
            <w:vAlign w:val="bottom"/>
          </w:tcPr>
          <w:p>
            <w:pPr>
              <w:spacing w:after="0" w:line="162" w:lineRule="exact"/>
              <w:rPr>
                <w:sz w:val="20"/>
                <w:szCs w:val="20"/>
                <w:color w:val="auto"/>
              </w:rPr>
            </w:pPr>
            <w:r>
              <w:rPr>
                <w:rFonts w:ascii="Arial" w:cs="Arial" w:eastAsia="Arial" w:hAnsi="Arial"/>
                <w:sz w:val="13"/>
                <w:szCs w:val="13"/>
                <w:color w:val="auto"/>
              </w:rPr>
              <w:t>age 40 - 75, with FEV</w:t>
            </w:r>
            <w:r>
              <w:rPr>
                <w:rFonts w:ascii="Arial" w:cs="Arial" w:eastAsia="Arial" w:hAnsi="Arial"/>
                <w:sz w:val="18"/>
                <w:szCs w:val="18"/>
                <w:color w:val="auto"/>
                <w:vertAlign w:val="subscript"/>
              </w:rPr>
              <w:t>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Safety</w:t>
            </w: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top-line data expected</w:t>
            </w: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Arial" w:cs="Arial" w:eastAsia="Arial" w:hAnsi="Arial"/>
                <w:sz w:val="14"/>
                <w:szCs w:val="14"/>
                <w:color w:val="auto"/>
              </w:rPr>
              <w:t>administered as add-</w:t>
            </w:r>
          </w:p>
        </w:tc>
        <w:tc>
          <w:tcPr>
            <w:tcW w:w="1480" w:type="dxa"/>
            <w:vAlign w:val="bottom"/>
          </w:tcPr>
          <w:p>
            <w:pPr>
              <w:spacing w:after="0"/>
              <w:rPr>
                <w:sz w:val="20"/>
                <w:szCs w:val="20"/>
                <w:color w:val="auto"/>
              </w:rPr>
            </w:pPr>
            <w:r>
              <w:rPr>
                <w:rFonts w:ascii="Arial" w:cs="Arial" w:eastAsia="Arial" w:hAnsi="Arial"/>
                <w:sz w:val="14"/>
                <w:szCs w:val="14"/>
                <w:color w:val="auto"/>
              </w:rPr>
              <w:t>trial</w:t>
            </w: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between 40% and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in the fourth quarter of</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on therapy to</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80% of predicted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40" w:type="dxa"/>
            <w:vAlign w:val="bottom"/>
            <w:gridSpan w:val="2"/>
          </w:tcPr>
          <w:p>
            <w:pPr>
              <w:spacing w:after="0"/>
              <w:rPr>
                <w:sz w:val="20"/>
                <w:szCs w:val="20"/>
                <w:color w:val="auto"/>
              </w:rPr>
            </w:pPr>
            <w:r>
              <w:rPr>
                <w:rFonts w:ascii="Arial" w:cs="Arial" w:eastAsia="Arial" w:hAnsi="Arial"/>
                <w:sz w:val="14"/>
                <w:szCs w:val="14"/>
                <w:color w:val="auto"/>
              </w:rPr>
              <w:t>tiotropium for</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normal levels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Plethysmography measuring the volume of</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640" w:type="dxa"/>
            <w:vAlign w:val="bottom"/>
            <w:gridSpan w:val="2"/>
          </w:tcPr>
          <w:p>
            <w:pPr>
              <w:spacing w:after="0" w:line="140" w:lineRule="exact"/>
              <w:rPr>
                <w:sz w:val="20"/>
                <w:szCs w:val="20"/>
                <w:color w:val="auto"/>
              </w:rPr>
            </w:pPr>
            <w:r>
              <w:rPr>
                <w:rFonts w:ascii="Arial" w:cs="Arial" w:eastAsia="Arial" w:hAnsi="Arial"/>
                <w:sz w:val="14"/>
                <w:szCs w:val="14"/>
                <w:color w:val="auto"/>
              </w:rPr>
              <w:t>maintenance treatment</w:t>
            </w:r>
          </w:p>
        </w:tc>
        <w:tc>
          <w:tcPr>
            <w:tcW w:w="1480" w:type="dxa"/>
            <w:vAlign w:val="bottom"/>
            <w:vMerge w:val="restart"/>
          </w:tcPr>
          <w:p>
            <w:pPr>
              <w:spacing w:after="0"/>
              <w:rPr>
                <w:sz w:val="20"/>
                <w:szCs w:val="20"/>
                <w:color w:val="auto"/>
              </w:rPr>
            </w:pPr>
            <w:r>
              <w:rPr>
                <w:rFonts w:ascii="Arial" w:cs="Arial" w:eastAsia="Arial" w:hAnsi="Arial"/>
                <w:sz w:val="14"/>
                <w:szCs w:val="14"/>
                <w:color w:val="auto"/>
              </w:rPr>
              <w:t>Dosing: Two doses</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vMerge w:val="restart"/>
          </w:tcPr>
          <w:p>
            <w:pPr>
              <w:ind w:left="120"/>
              <w:spacing w:after="0"/>
              <w:rPr>
                <w:sz w:val="20"/>
                <w:szCs w:val="20"/>
                <w:color w:val="auto"/>
              </w:rPr>
            </w:pPr>
            <w:r>
              <w:rPr>
                <w:rFonts w:ascii="Arial" w:cs="Arial" w:eastAsia="Arial" w:hAnsi="Arial"/>
                <w:sz w:val="14"/>
                <w:szCs w:val="14"/>
                <w:color w:val="auto"/>
              </w:rPr>
              <w:t>air in the lungs</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of COPD</w:t>
            </w:r>
          </w:p>
        </w:tc>
        <w:tc>
          <w:tcPr>
            <w:tcW w:w="1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640" w:type="dxa"/>
            <w:vAlign w:val="bottom"/>
            <w:gridSpan w:val="2"/>
            <w:vMerge w:val="continue"/>
          </w:tcPr>
          <w:p>
            <w:pPr>
              <w:spacing w:after="0"/>
              <w:rPr>
                <w:sz w:val="10"/>
                <w:szCs w:val="10"/>
                <w:color w:val="auto"/>
              </w:rPr>
            </w:pPr>
          </w:p>
        </w:tc>
        <w:tc>
          <w:tcPr>
            <w:tcW w:w="1480" w:type="dxa"/>
            <w:vAlign w:val="bottom"/>
            <w:vMerge w:val="restart"/>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Cardiovascular effects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Phase 2 trial to</w:t>
            </w:r>
          </w:p>
        </w:tc>
        <w:tc>
          <w:tcPr>
            <w:tcW w:w="148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COPD symptoms</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Approximately 150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Planned</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determine efficacy and</w:t>
            </w:r>
          </w:p>
        </w:tc>
        <w:tc>
          <w:tcPr>
            <w:tcW w:w="1480" w:type="dxa"/>
            <w:vAlign w:val="bottom"/>
          </w:tcPr>
          <w:p>
            <w:pPr>
              <w:spacing w:after="0"/>
              <w:rPr>
                <w:sz w:val="20"/>
                <w:szCs w:val="20"/>
                <w:color w:val="auto"/>
              </w:rPr>
            </w:pPr>
            <w:r>
              <w:rPr>
                <w:rFonts w:ascii="Arial" w:cs="Arial" w:eastAsia="Arial" w:hAnsi="Arial"/>
                <w:sz w:val="14"/>
                <w:szCs w:val="14"/>
                <w:color w:val="auto"/>
              </w:rPr>
              <w:t>controlled, parallel</w:t>
            </w: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patients,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commencement</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safety of RPL554 for</w:t>
            </w:r>
          </w:p>
        </w:tc>
        <w:tc>
          <w:tcPr>
            <w:tcW w:w="1480" w:type="dxa"/>
            <w:vAlign w:val="bottom"/>
          </w:tcPr>
          <w:p>
            <w:pPr>
              <w:spacing w:after="0"/>
              <w:rPr>
                <w:sz w:val="20"/>
                <w:szCs w:val="20"/>
                <w:color w:val="auto"/>
              </w:rPr>
            </w:pPr>
            <w:r>
              <w:rPr>
                <w:rFonts w:ascii="Arial" w:cs="Arial" w:eastAsia="Arial" w:hAnsi="Arial"/>
                <w:sz w:val="14"/>
                <w:szCs w:val="14"/>
                <w:color w:val="auto"/>
              </w:rPr>
              <w:t>group trial starting</w:t>
            </w:r>
          </w:p>
        </w:tc>
        <w:tc>
          <w:tcPr>
            <w:tcW w:w="16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age 40 - 80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Length of stay in hospital</w:t>
            </w: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in 2018</w:t>
            </w: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acute COPD</w:t>
            </w:r>
          </w:p>
        </w:tc>
        <w:tc>
          <w:tcPr>
            <w:tcW w:w="1480" w:type="dxa"/>
            <w:vAlign w:val="bottom"/>
          </w:tcPr>
          <w:p>
            <w:pPr>
              <w:spacing w:after="0"/>
              <w:rPr>
                <w:sz w:val="20"/>
                <w:szCs w:val="20"/>
                <w:color w:val="auto"/>
              </w:rPr>
            </w:pPr>
            <w:r>
              <w:rPr>
                <w:rFonts w:ascii="Arial" w:cs="Arial" w:eastAsia="Arial" w:hAnsi="Arial"/>
                <w:sz w:val="14"/>
                <w:szCs w:val="14"/>
                <w:color w:val="auto"/>
              </w:rPr>
              <w:t>during hospitalization</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exacerbation requiring</w:t>
            </w:r>
          </w:p>
        </w:tc>
        <w:tc>
          <w:tcPr>
            <w:tcW w:w="1480" w:type="dxa"/>
            <w:vAlign w:val="bottom"/>
          </w:tcPr>
          <w:p>
            <w:pPr>
              <w:spacing w:after="0"/>
              <w:rPr>
                <w:sz w:val="20"/>
                <w:szCs w:val="20"/>
                <w:color w:val="auto"/>
              </w:rPr>
            </w:pPr>
            <w:r>
              <w:rPr>
                <w:rFonts w:ascii="Arial" w:cs="Arial" w:eastAsia="Arial" w:hAnsi="Arial"/>
                <w:sz w:val="14"/>
                <w:szCs w:val="14"/>
                <w:color w:val="auto"/>
              </w:rPr>
              <w:t>and continuing for</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rPr>
                <w:sz w:val="20"/>
                <w:szCs w:val="20"/>
                <w:color w:val="auto"/>
              </w:rPr>
            </w:pPr>
            <w:r>
              <w:rPr>
                <w:rFonts w:ascii="Arial" w:cs="Arial" w:eastAsia="Arial" w:hAnsi="Arial"/>
                <w:sz w:val="14"/>
                <w:szCs w:val="14"/>
                <w:color w:val="auto"/>
              </w:rPr>
              <w:t>hospitalization</w:t>
            </w:r>
          </w:p>
        </w:tc>
        <w:tc>
          <w:tcPr>
            <w:tcW w:w="1480" w:type="dxa"/>
            <w:vAlign w:val="bottom"/>
          </w:tcPr>
          <w:p>
            <w:pPr>
              <w:spacing w:after="0"/>
              <w:rPr>
                <w:sz w:val="20"/>
                <w:szCs w:val="20"/>
                <w:color w:val="auto"/>
              </w:rPr>
            </w:pPr>
            <w:r>
              <w:rPr>
                <w:rFonts w:ascii="Arial" w:cs="Arial" w:eastAsia="Arial" w:hAnsi="Arial"/>
                <w:sz w:val="14"/>
                <w:szCs w:val="14"/>
                <w:color w:val="auto"/>
              </w:rPr>
              <w:t>30 days after</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2940" w:type="dxa"/>
            <w:vAlign w:val="bottom"/>
            <w:vMerge w:val="restart"/>
          </w:tcPr>
          <w:p>
            <w:pPr>
              <w:ind w:left="120"/>
              <w:spacing w:after="0"/>
              <w:rPr>
                <w:sz w:val="20"/>
                <w:szCs w:val="20"/>
                <w:color w:val="auto"/>
              </w:rPr>
            </w:pPr>
            <w:r>
              <w:rPr>
                <w:rFonts w:ascii="Arial" w:cs="Arial" w:eastAsia="Arial" w:hAnsi="Arial"/>
                <w:sz w:val="14"/>
                <w:szCs w:val="14"/>
                <w:color w:val="auto"/>
              </w:rPr>
              <w:t>30-day hospital re-admission rate</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vMerge w:val="restart"/>
          </w:tcPr>
          <w:p>
            <w:pPr>
              <w:spacing w:after="0"/>
              <w:rPr>
                <w:sz w:val="20"/>
                <w:szCs w:val="20"/>
                <w:color w:val="auto"/>
              </w:rPr>
            </w:pPr>
            <w:r>
              <w:rPr>
                <w:rFonts w:ascii="Arial" w:cs="Arial" w:eastAsia="Arial" w:hAnsi="Arial"/>
                <w:sz w:val="14"/>
                <w:szCs w:val="14"/>
                <w:color w:val="auto"/>
              </w:rPr>
              <w:t>discharge</w:t>
            </w:r>
          </w:p>
        </w:tc>
        <w:tc>
          <w:tcPr>
            <w:tcW w:w="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0"/>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4"/>
                <w:szCs w:val="14"/>
                <w:color w:val="auto"/>
              </w:rPr>
              <w:t>Dosing: Two doses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Development Programs</w:t>
      </w:r>
    </w:p>
    <w:p>
      <w:pPr>
        <w:spacing w:after="0" w:line="232"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addition to our nebulized formulation of RPL554, we are developing RPL554 in both DPI and MDI formulations for the maintenance treatment of COPD. In addition, we may explore the development of RPL554 in these formulations for the treatment of asthma and other respiratory diseases. DPI and MDI inhaler devices are the most common forms of drug delivery in non-hospitalized patients with COPD and are well-suited for the maintenance therapy of COPD patients. We believe the development of DPI and MDI formulations has the potential to significantly increase the market opportunity for RPL554, if approved, for the maintenance treatment of COPD. Following the completion of our DPI and MDI formulation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jc w:val="right"/>
              <w:ind w:right="492"/>
              <w:spacing w:after="0"/>
              <w:rPr>
                <w:sz w:val="20"/>
                <w:szCs w:val="20"/>
                <w:color w:val="auto"/>
              </w:rPr>
            </w:pPr>
            <w:r>
              <w:rPr>
                <w:rFonts w:ascii="Arial" w:cs="Arial" w:eastAsia="Arial" w:hAnsi="Arial"/>
                <w:sz w:val="18"/>
                <w:szCs w:val="18"/>
                <w:color w:val="auto"/>
                <w:w w:val="97"/>
              </w:rPr>
              <w:t>process, we plan to commence pre-clinical studies for RPL554 in these formulations in</w:t>
            </w:r>
          </w:p>
        </w:tc>
        <w:tc>
          <w:tcPr>
            <w:tcW w:w="4120" w:type="dxa"/>
            <w:vAlign w:val="bottom"/>
          </w:tcPr>
          <w:p>
            <w:pPr>
              <w:jc w:val="right"/>
              <w:ind w:right="3392"/>
              <w:spacing w:after="0"/>
              <w:rPr>
                <w:sz w:val="20"/>
                <w:szCs w:val="20"/>
                <w:color w:val="auto"/>
              </w:rPr>
            </w:pPr>
            <w:r>
              <w:rPr>
                <w:rFonts w:ascii="Arial" w:cs="Arial" w:eastAsia="Arial" w:hAnsi="Arial"/>
                <w:sz w:val="18"/>
                <w:szCs w:val="18"/>
                <w:color w:val="auto"/>
              </w:rPr>
              <w:t>.</w:t>
            </w:r>
          </w:p>
        </w:tc>
      </w:tr>
      <w:tr>
        <w:trPr>
          <w:trHeight w:val="419"/>
        </w:trPr>
        <w:tc>
          <w:tcPr>
            <w:tcW w:w="7300" w:type="dxa"/>
            <w:vAlign w:val="bottom"/>
          </w:tcPr>
          <w:p>
            <w:pPr>
              <w:jc w:val="right"/>
              <w:ind w:right="1392"/>
              <w:spacing w:after="0"/>
              <w:rPr>
                <w:sz w:val="20"/>
                <w:szCs w:val="20"/>
                <w:color w:val="auto"/>
              </w:rPr>
            </w:pPr>
            <w:r>
              <w:rPr>
                <w:rFonts w:ascii="Arial" w:cs="Arial" w:eastAsia="Arial" w:hAnsi="Arial"/>
                <w:sz w:val="18"/>
                <w:szCs w:val="18"/>
                <w:color w:val="auto"/>
              </w:rPr>
              <w:t>97</w:t>
            </w:r>
          </w:p>
        </w:tc>
        <w:tc>
          <w:tcPr>
            <w:tcW w:w="4120" w:type="dxa"/>
            <w:vAlign w:val="bottom"/>
          </w:tcPr>
          <w:p>
            <w:pPr>
              <w:spacing w:after="0"/>
              <w:rPr>
                <w:sz w:val="24"/>
                <w:szCs w:val="24"/>
                <w:color w:val="auto"/>
              </w:rPr>
            </w:pPr>
          </w:p>
        </w:tc>
      </w:tr>
      <w:tr>
        <w:trPr>
          <w:trHeight w:val="215"/>
        </w:trPr>
        <w:tc>
          <w:tcPr>
            <w:tcW w:w="730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RPL554 for the Treatment of Cystic Fibrosis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plan to evaluate RPL554 for the treatment of CF. We believe RPL554, if approved, has the potential to be an important and novel treatment and standard of care for patients with CF based on its favorable properties observed to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 Background</w:t>
      </w:r>
    </w:p>
    <w:p>
      <w:pPr>
        <w:spacing w:after="0" w:line="23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CF is the most common fatal inherited disease in the United States and Europe. CF causes impaired lung function and is commonly associated with repeat and persistent lung infections due to the inability to clear thickened mucus from the lung. This condition often results in frequent exacerbations and hospitalizations. There is no cure for CF and the median age of death for CF patients is 37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We plan to seek orphan drug designation for RPL554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in 2020.</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CF is caused by mutations in a gene that encodes the CFTR protein. The CFTR protein channel regulates the movement, or efflux, of specific ions such as chloride in and out of the cells of organs like the lungs, pancreas and gastrointestinal tract. Through regulation of these ions, the amount of salts in the fluid both inside and outside the cell remains balanced. In CF patients, however, the CFTR protein is defective and cannot perform its normal function of transporting ions across the cell membrane, resulting in an environment characterized by thick mucus in vital organs such as the lung, the pancreas and the gastrointestinal tract.</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lack of functional CFTR in CF patients is particularly problematic in the lungs, where the build-up of thick mucus obstructs parts of the lung, allows bacteria to grow unfettered and impairs the functionality of the local immune system. Of all the manifestations of CF, chronic pulmonary disease is the most critical and is characterized by a combination of airway obstruction, infection and inflammation such that more than 90% of all CF patients die of respiratory failure, and thus have a shortened life expectancy.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of CF</w:t>
      </w:r>
    </w:p>
    <w:p>
      <w:pPr>
        <w:spacing w:after="0" w:line="2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Until recently, approved therapies to treat CF patients have been designed to treat the symptoms of CF, by preventing and controlling infections that occur in the lungs, rather than address the underlying cause. Accordingly, antibiotics are frequently used along with mucus-thinning drugs. A significant portion of CF patients are prescribed bronchodilators, although no bronchodilator is currently approved by the FDA for the treatment of patients with CF. For patients with certain gene mutations, a new medication called ivacaftor, or Kalydeco, which is a CFTR potentiator, is used to improve CFTR function and thereby improve lung function. A combination drug consisting of ivacaftor and lumacaftor, or Orkambi, which is a CFTR corrector, can be used in a somewhat broader group of CF patients with partly different gene mutations. While not indicated specifically for CF, high doses of ibuprofen also have been studied in CF patients and have demonstrated some anti-inflammatory efficacy resulting in a beneficial effect on the annual rate of decline of FEV</w:t>
      </w:r>
      <w:r>
        <w:rPr>
          <w:rFonts w:ascii="Arial" w:cs="Arial" w:eastAsia="Arial" w:hAnsi="Arial"/>
          <w:sz w:val="28"/>
          <w:szCs w:val="28"/>
          <w:color w:val="auto"/>
          <w:vertAlign w:val="subscript"/>
        </w:rPr>
        <w:t>1</w:t>
      </w:r>
      <w:r>
        <w:rPr>
          <w:rFonts w:ascii="Arial" w:cs="Arial" w:eastAsia="Arial" w:hAnsi="Arial"/>
          <w:sz w:val="17"/>
          <w:szCs w:val="17"/>
          <w:color w:val="auto"/>
        </w:rPr>
        <w:t>. However, CF patients commonly experience adverse events from ibuprofen, including gastrointestinal and liver</w:t>
      </w:r>
    </w:p>
    <w:p>
      <w:pPr>
        <w:spacing w:after="0" w:line="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side effects, and as a result it is infrequently used. However, it demonstrates that an anti-inflammatory medication in CF might change the course of the disease. There is currently no anti-inflammatory medication which is approved to treat the underlying inflammation in CF.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Despite the recent approval of the two novel targeted therapies, Kalydeco and Orkambi, for patients with CF, only a subset of CF patients is indicated for treatment with these two therapies. As a result, we believe CF remains a significant unmet medical need. If we obtain orphan drug designation and FDA approval for this indication, RPL554 may be entitled to orphan drug exclusivity, which means the FDA may not approve any other application to market the same drug for this indication for a period of seven years, except in limited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By inhibiting PDE3 and PDE4, RPL554 increases the levels of cAMP and CGMP, resulting in bronchodilator and anti-inflammatory effects, and stimulates the CFTR.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CF.</w:t>
      </w:r>
    </w:p>
    <w:p>
      <w:pPr>
        <w:spacing w:after="0" w:line="211"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In our pre-clinical studies, RPL554 has been observed to stimulate the CFTR, as well as increase ciliary beat frequency, a key parameter determining the rate of mucus clearance, in primary airway cells and to improve electrolyte balance in the lung. Based on available data, we believe that RPL554 has the potential to inhibit deleterious inflammation, reduce airway obstruction through bronchodilation and enhance mucociliary clearance through stimulation of the CFTR on airway epithelial cells, thereby making it an attractive therapy for the treatment of CF.</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 series of pre-clinical studies we conducted, RPL554 was observed to stimulate the CFTR. As shown in the figure below, administration of increasing concentrations of RPL554 resulted in improvement in CFTR function, as measured by ion currents in a human bronchial-epithelial cell line.</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Stimulation of CFTR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96840" cy="38588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9684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Furthermore, in a pre-clinical study comparing RPL554 to Kalydeco, both compounds increased CFTR activity in cells from a CF patient with the mutation that is appropriate for treatment with Kalydeco. When RPL554 was administered before Kalydeco, it had an additive effect, which was smaller when the</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compounds were delivered in the reverse order. This stimulatory effect on the CFTR, as measured by ion currents, is shown in the figure below.</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Stimulation of CFTR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146685</wp:posOffset>
            </wp:positionV>
            <wp:extent cx="5179695" cy="3215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7969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in a pre-clinical study RPL554 was observed to increase ciliary beat frequency in primary human airway cells at similar levels to the PDE4 inhibitor, Roflumilast. We believe RPL554 may increase</w:t>
      </w: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ciliary beat frequency and therefore promote mucociliary clearance in CF patients. This is illustrated in the figure below.</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Increased Ciliary Beat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146685</wp:posOffset>
            </wp:positionV>
            <wp:extent cx="5325745" cy="31984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2574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believe this pre-clinical data, combined with the anti-inflammatory and bronchodilator effects of RPL554, suggest that RPL554 is appropriate for clinical trials for, and may prove effective in the treatment of, CF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plan to commence a Phase 2a single-dose trial in the United Kingdom in the first half of 2017 evaluating RPL554 in approximately ten CF patients in the United Kingdom. This trial is expected to evaluate the PK and PD profile and tolerability of RPL554 in patients with CF, as well as the effect on lung function and inflammatory biomarkers. We expect to report top-line data from this trial in the first half of 2018. The results of this trial will support dose selection for a proof-of-concept Phase 2b trial in Europe in approximately 100 patients with CF, which we plan to commence in 2018.</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planned clinical trials for RPL554 for the treatment of 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ind w:left="660"/>
              <w:spacing w:after="0"/>
              <w:rPr>
                <w:sz w:val="20"/>
                <w:szCs w:val="20"/>
                <w:color w:val="auto"/>
              </w:rPr>
            </w:pPr>
            <w:r>
              <w:rPr>
                <w:rFonts w:ascii="Arial" w:cs="Arial" w:eastAsia="Arial" w:hAnsi="Arial"/>
                <w:sz w:val="14"/>
                <w:szCs w:val="14"/>
                <w:b w:val="1"/>
                <w:bCs w:val="1"/>
                <w:color w:val="auto"/>
              </w:rPr>
              <w:t>Trial</w:t>
            </w: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Patient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Primary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760"/>
              <w:spacing w:after="0"/>
              <w:rPr>
                <w:sz w:val="20"/>
                <w:szCs w:val="20"/>
                <w:color w:val="auto"/>
              </w:rPr>
            </w:pPr>
            <w:r>
              <w:rPr>
                <w:rFonts w:ascii="Arial" w:cs="Arial" w:eastAsia="Arial" w:hAnsi="Arial"/>
                <w:sz w:val="14"/>
                <w:szCs w:val="14"/>
                <w:b w:val="1"/>
                <w:bCs w:val="1"/>
                <w:color w:val="auto"/>
              </w:rPr>
              <w:t>Secondary</w:t>
            </w:r>
          </w:p>
        </w:tc>
        <w:tc>
          <w:tcPr>
            <w:tcW w:w="160" w:type="dxa"/>
            <w:vAlign w:val="bottom"/>
          </w:tcPr>
          <w:p>
            <w:pPr>
              <w:spacing w:after="0"/>
              <w:rPr>
                <w:sz w:val="14"/>
                <w:szCs w:val="14"/>
                <w:color w:val="auto"/>
              </w:rPr>
            </w:pPr>
          </w:p>
        </w:tc>
        <w:tc>
          <w:tcPr>
            <w:tcW w:w="1620" w:type="dxa"/>
            <w:vAlign w:val="bottom"/>
            <w:gridSpan w:val="2"/>
          </w:tcPr>
          <w:p>
            <w:pPr>
              <w:ind w:left="42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Trial Description</w:t>
            </w:r>
          </w:p>
        </w:tc>
        <w:tc>
          <w:tcPr>
            <w:tcW w:w="620" w:type="dxa"/>
            <w:vAlign w:val="bottom"/>
          </w:tcPr>
          <w:p>
            <w:pPr>
              <w:spacing w:after="0"/>
              <w:rPr>
                <w:sz w:val="15"/>
                <w:szCs w:val="15"/>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Design</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Population</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Endpoints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Endpoints</w:t>
            </w:r>
          </w:p>
        </w:tc>
        <w:tc>
          <w:tcPr>
            <w:tcW w:w="160" w:type="dxa"/>
            <w:vAlign w:val="bottom"/>
          </w:tcPr>
          <w:p>
            <w:pPr>
              <w:spacing w:after="0"/>
              <w:rPr>
                <w:sz w:val="15"/>
                <w:szCs w:val="15"/>
                <w:color w:val="auto"/>
              </w:rPr>
            </w:pPr>
          </w:p>
        </w:tc>
        <w:tc>
          <w:tcPr>
            <w:tcW w:w="16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Milestones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760" w:type="dxa"/>
            <w:vAlign w:val="bottom"/>
            <w:gridSpan w:val="2"/>
          </w:tcPr>
          <w:p>
            <w:pPr>
              <w:spacing w:after="0"/>
              <w:rPr>
                <w:sz w:val="20"/>
                <w:szCs w:val="20"/>
                <w:color w:val="auto"/>
              </w:rPr>
            </w:pPr>
            <w:r>
              <w:rPr>
                <w:rFonts w:ascii="Arial" w:cs="Arial" w:eastAsia="Arial" w:hAnsi="Arial"/>
                <w:sz w:val="14"/>
                <w:szCs w:val="14"/>
                <w:color w:val="auto"/>
              </w:rPr>
              <w:t>Phase 2a PK and PD</w:t>
            </w:r>
          </w:p>
        </w:tc>
        <w:tc>
          <w:tcPr>
            <w:tcW w:w="1600" w:type="dxa"/>
            <w:vAlign w:val="bottom"/>
          </w:tcPr>
          <w:p>
            <w:pPr>
              <w:spacing w:after="0"/>
              <w:rPr>
                <w:sz w:val="20"/>
                <w:szCs w:val="20"/>
                <w:color w:val="auto"/>
              </w:rPr>
            </w:pPr>
            <w:r>
              <w:rPr>
                <w:rFonts w:ascii="Arial" w:cs="Arial" w:eastAsia="Arial" w:hAnsi="Arial"/>
                <w:sz w:val="14"/>
                <w:szCs w:val="14"/>
                <w:color w:val="auto"/>
              </w:rPr>
              <w:t>Double-blind, placebo-</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Approximately 10 CF</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 and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PK profile</w:t>
            </w:r>
          </w:p>
        </w:tc>
        <w:tc>
          <w:tcPr>
            <w:tcW w:w="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trial to evaluate</w:t>
            </w:r>
          </w:p>
        </w:tc>
        <w:tc>
          <w:tcPr>
            <w:tcW w:w="1600" w:type="dxa"/>
            <w:vAlign w:val="bottom"/>
          </w:tcPr>
          <w:p>
            <w:pPr>
              <w:spacing w:after="0"/>
              <w:rPr>
                <w:sz w:val="20"/>
                <w:szCs w:val="20"/>
                <w:color w:val="auto"/>
              </w:rPr>
            </w:pPr>
            <w:r>
              <w:rPr>
                <w:rFonts w:ascii="Arial" w:cs="Arial" w:eastAsia="Arial" w:hAnsi="Arial"/>
                <w:sz w:val="14"/>
                <w:szCs w:val="14"/>
                <w:color w:val="auto"/>
              </w:rPr>
              <w:t>controlled, cross-over</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 age 18 years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AUC</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the first half of 2017,</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tolerability in CF patients</w:t>
            </w:r>
          </w:p>
        </w:tc>
        <w:tc>
          <w:tcPr>
            <w:tcW w:w="1600" w:type="dxa"/>
            <w:vAlign w:val="bottom"/>
          </w:tcPr>
          <w:p>
            <w:pPr>
              <w:spacing w:after="0"/>
              <w:rPr>
                <w:sz w:val="20"/>
                <w:szCs w:val="20"/>
                <w:color w:val="auto"/>
              </w:rPr>
            </w:pPr>
            <w:r>
              <w:rPr>
                <w:rFonts w:ascii="Arial" w:cs="Arial" w:eastAsia="Arial" w:hAnsi="Arial"/>
                <w:sz w:val="14"/>
                <w:szCs w:val="14"/>
                <w:color w:val="auto"/>
              </w:rPr>
              <w:t>trial</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and older, with FEV</w:t>
            </w:r>
            <w:r>
              <w:rPr>
                <w:rFonts w:ascii="Arial" w:cs="Arial" w:eastAsia="Arial" w:hAnsi="Arial"/>
                <w:sz w:val="10"/>
                <w:szCs w:val="10"/>
                <w:color w:val="auto"/>
              </w:rPr>
              <w:t>1</w:t>
            </w:r>
            <w:r>
              <w:rPr>
                <w:rFonts w:ascii="Arial" w:cs="Arial" w:eastAsia="Arial" w:hAnsi="Arial"/>
                <w:sz w:val="14"/>
                <w:szCs w:val="14"/>
                <w:color w:val="auto"/>
              </w:rPr>
              <w:t xml:space="preserve"> &gt;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with top-line data</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and examine effect on</w:t>
            </w:r>
          </w:p>
        </w:tc>
        <w:tc>
          <w:tcPr>
            <w:tcW w:w="160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of expected levels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Anti-inflammatory sputum and</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expected in the first half</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lung function and</w:t>
            </w:r>
          </w:p>
        </w:tc>
        <w:tc>
          <w:tcPr>
            <w:tcW w:w="1600" w:type="dxa"/>
            <w:vAlign w:val="bottom"/>
          </w:tcPr>
          <w:p>
            <w:pPr>
              <w:spacing w:after="0"/>
              <w:rPr>
                <w:sz w:val="20"/>
                <w:szCs w:val="20"/>
                <w:color w:val="auto"/>
              </w:rPr>
            </w:pPr>
            <w:r>
              <w:rPr>
                <w:rFonts w:ascii="Arial" w:cs="Arial" w:eastAsia="Arial" w:hAnsi="Arial"/>
                <w:sz w:val="14"/>
                <w:szCs w:val="14"/>
                <w:color w:val="auto"/>
              </w:rPr>
              <w:t>Dosing: Single dose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Safety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serum markers</w:t>
            </w: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of 2018</w:t>
            </w:r>
          </w:p>
        </w:tc>
        <w:tc>
          <w:tcPr>
            <w:tcW w:w="0" w:type="dxa"/>
            <w:vAlign w:val="bottom"/>
          </w:tcPr>
          <w:p>
            <w:pPr>
              <w:spacing w:after="0"/>
              <w:rPr>
                <w:sz w:val="1"/>
                <w:szCs w:val="1"/>
                <w:color w:val="auto"/>
              </w:rPr>
            </w:pPr>
          </w:p>
        </w:tc>
      </w:tr>
      <w:tr>
        <w:trPr>
          <w:trHeight w:val="149"/>
        </w:trPr>
        <w:tc>
          <w:tcPr>
            <w:tcW w:w="17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inflammatory biomarkers</w:t>
            </w:r>
          </w:p>
        </w:tc>
        <w:tc>
          <w:tcPr>
            <w:tcW w:w="1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Phase 2b proof-of-</w:t>
            </w:r>
          </w:p>
        </w:tc>
        <w:tc>
          <w:tcPr>
            <w:tcW w:w="1600" w:type="dxa"/>
            <w:vAlign w:val="bottom"/>
            <w:vMerge w:val="restart"/>
          </w:tcPr>
          <w:p>
            <w:pPr>
              <w:spacing w:after="0"/>
              <w:rPr>
                <w:sz w:val="20"/>
                <w:szCs w:val="20"/>
                <w:color w:val="auto"/>
              </w:rPr>
            </w:pPr>
            <w:r>
              <w:rPr>
                <w:rFonts w:ascii="Arial" w:cs="Arial" w:eastAsia="Arial" w:hAnsi="Arial"/>
                <w:sz w:val="14"/>
                <w:szCs w:val="14"/>
                <w:color w:val="auto"/>
              </w:rPr>
              <w:t>Double-blind, placebo-</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ind w:left="12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peak</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FEV</w:t>
            </w:r>
            <w:r>
              <w:rPr>
                <w:rFonts w:ascii="Arial" w:cs="Arial" w:eastAsia="Arial" w:hAnsi="Arial"/>
                <w:sz w:val="10"/>
                <w:szCs w:val="10"/>
                <w:color w:val="auto"/>
              </w:rPr>
              <w:t>1</w:t>
            </w:r>
            <w:r>
              <w:rPr>
                <w:rFonts w:ascii="Arial" w:cs="Arial" w:eastAsia="Arial" w:hAnsi="Arial"/>
                <w:sz w:val="14"/>
                <w:szCs w:val="14"/>
                <w:color w:val="auto"/>
              </w:rPr>
              <w:t xml:space="preserve"> trough</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Approximately 100 CF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Planned commencement</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concept trial to</w:t>
            </w:r>
          </w:p>
        </w:tc>
        <w:tc>
          <w:tcPr>
            <w:tcW w:w="1600" w:type="dxa"/>
            <w:vAlign w:val="bottom"/>
          </w:tcPr>
          <w:p>
            <w:pPr>
              <w:spacing w:after="0"/>
              <w:rPr>
                <w:sz w:val="20"/>
                <w:szCs w:val="20"/>
                <w:color w:val="auto"/>
              </w:rPr>
            </w:pPr>
            <w:r>
              <w:rPr>
                <w:rFonts w:ascii="Arial" w:cs="Arial" w:eastAsia="Arial" w:hAnsi="Arial"/>
                <w:sz w:val="14"/>
                <w:szCs w:val="14"/>
                <w:color w:val="auto"/>
              </w:rPr>
              <w:t>controlled, three way,</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patients, age 18 and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color w:val="auto"/>
              </w:rPr>
              <w:t>in 2018</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determine the efficacy</w:t>
            </w:r>
          </w:p>
        </w:tc>
        <w:tc>
          <w:tcPr>
            <w:tcW w:w="1600" w:type="dxa"/>
            <w:vAlign w:val="bottom"/>
          </w:tcPr>
          <w:p>
            <w:pPr>
              <w:spacing w:after="0"/>
              <w:rPr>
                <w:sz w:val="20"/>
                <w:szCs w:val="20"/>
                <w:color w:val="auto"/>
              </w:rPr>
            </w:pPr>
            <w:r>
              <w:rPr>
                <w:rFonts w:ascii="Arial" w:cs="Arial" w:eastAsia="Arial" w:hAnsi="Arial"/>
                <w:sz w:val="14"/>
                <w:szCs w:val="14"/>
                <w:color w:val="auto"/>
              </w:rPr>
              <w:t>parallel group trial, four</w:t>
            </w:r>
          </w:p>
        </w:tc>
        <w:tc>
          <w:tcPr>
            <w:tcW w:w="1760" w:type="dxa"/>
            <w:vAlign w:val="bottom"/>
            <w:gridSpan w:val="2"/>
          </w:tcPr>
          <w:p>
            <w:pPr>
              <w:ind w:left="160"/>
              <w:spacing w:after="0" w:line="171" w:lineRule="exact"/>
              <w:rPr>
                <w:sz w:val="20"/>
                <w:szCs w:val="20"/>
                <w:color w:val="auto"/>
              </w:rPr>
            </w:pPr>
            <w:r>
              <w:rPr>
                <w:rFonts w:ascii="Arial" w:cs="Arial" w:eastAsia="Arial" w:hAnsi="Arial"/>
                <w:sz w:val="13"/>
                <w:szCs w:val="13"/>
                <w:color w:val="auto"/>
              </w:rPr>
              <w:t>older, with FEV</w:t>
            </w:r>
            <w:r>
              <w:rPr>
                <w:rFonts w:ascii="Arial" w:cs="Arial" w:eastAsia="Arial" w:hAnsi="Arial"/>
                <w:sz w:val="19"/>
                <w:szCs w:val="19"/>
                <w:color w:val="auto"/>
                <w:vertAlign w:val="subscript"/>
              </w:rPr>
              <w:t>1</w:t>
            </w:r>
            <w:r>
              <w:rPr>
                <w:rFonts w:ascii="Arial" w:cs="Arial" w:eastAsia="Arial" w:hAnsi="Arial"/>
                <w:sz w:val="13"/>
                <w:szCs w:val="13"/>
                <w:color w:val="auto"/>
              </w:rPr>
              <w:t xml:space="preserve"> of &gt;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MRI scans</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color w:val="auto"/>
              </w:rPr>
              <w:t>and safety of RPL554 in</w:t>
            </w:r>
          </w:p>
        </w:tc>
        <w:tc>
          <w:tcPr>
            <w:tcW w:w="1600" w:type="dxa"/>
            <w:vAlign w:val="bottom"/>
          </w:tcPr>
          <w:p>
            <w:pPr>
              <w:spacing w:after="0"/>
              <w:rPr>
                <w:sz w:val="20"/>
                <w:szCs w:val="20"/>
                <w:color w:val="auto"/>
              </w:rPr>
            </w:pPr>
            <w:r>
              <w:rPr>
                <w:rFonts w:ascii="Arial" w:cs="Arial" w:eastAsia="Arial" w:hAnsi="Arial"/>
                <w:sz w:val="14"/>
                <w:szCs w:val="14"/>
                <w:color w:val="auto"/>
              </w:rPr>
              <w:t>weeks of treatment</w:t>
            </w:r>
          </w:p>
        </w:tc>
        <w:tc>
          <w:tcPr>
            <w:tcW w:w="1760" w:type="dxa"/>
            <w:vAlign w:val="bottom"/>
            <w:gridSpan w:val="2"/>
          </w:tcPr>
          <w:p>
            <w:pPr>
              <w:ind w:left="160"/>
              <w:spacing w:after="0"/>
              <w:rPr>
                <w:sz w:val="20"/>
                <w:szCs w:val="20"/>
                <w:color w:val="auto"/>
              </w:rPr>
            </w:pPr>
            <w:r>
              <w:rPr>
                <w:rFonts w:ascii="Arial" w:cs="Arial" w:eastAsia="Arial" w:hAnsi="Arial"/>
                <w:sz w:val="14"/>
                <w:szCs w:val="14"/>
                <w:color w:val="auto"/>
              </w:rPr>
              <w:t>40% of expected levels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60" w:type="dxa"/>
            <w:vAlign w:val="bottom"/>
            <w:gridSpan w:val="2"/>
          </w:tcPr>
          <w:p>
            <w:pPr>
              <w:spacing w:after="0"/>
              <w:rPr>
                <w:sz w:val="20"/>
                <w:szCs w:val="20"/>
                <w:color w:val="auto"/>
              </w:rPr>
            </w:pPr>
            <w:r>
              <w:rPr>
                <w:rFonts w:ascii="Arial" w:cs="Arial" w:eastAsia="Arial" w:hAnsi="Arial"/>
                <w:sz w:val="14"/>
                <w:szCs w:val="14"/>
                <w:color w:val="auto"/>
              </w:rPr>
              <w:t>CF patients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vMerge w:val="restart"/>
          </w:tcPr>
          <w:p>
            <w:pPr>
              <w:spacing w:after="0"/>
              <w:rPr>
                <w:sz w:val="20"/>
                <w:szCs w:val="20"/>
                <w:color w:val="auto"/>
              </w:rPr>
            </w:pPr>
            <w:r>
              <w:rPr>
                <w:rFonts w:ascii="Arial" w:cs="Arial" w:eastAsia="Arial" w:hAnsi="Arial"/>
                <w:sz w:val="14"/>
                <w:szCs w:val="14"/>
                <w:color w:val="auto"/>
              </w:rPr>
              <w:t>Dosing: Multiple dose</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Lung Clearance Index</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760" w:type="dxa"/>
            <w:vAlign w:val="bottom"/>
            <w:gridSpan w:val="2"/>
          </w:tcPr>
          <w:p>
            <w:pPr>
              <w:ind w:left="160"/>
              <w:spacing w:after="0" w:line="134" w:lineRule="exact"/>
              <w:rPr>
                <w:sz w:val="20"/>
                <w:szCs w:val="20"/>
                <w:color w:val="auto"/>
              </w:rPr>
            </w:pPr>
            <w:r>
              <w:rPr>
                <w:rFonts w:ascii="Arial" w:cs="Arial" w:eastAsia="Arial" w:hAnsi="Arial"/>
                <w:sz w:val="14"/>
                <w:szCs w:val="14"/>
                <w:color w:val="auto"/>
              </w:rPr>
              <w:t>All CFTR mutations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(twice-daily)</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Safety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Vernalis Agreement</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February 2005, Rhinopharma Limited, or Rhinopharma, entered into an assignment and license agreement with Vernalis Development Limited, or Vernalis, which we refer to as the Vernalis Agreement. In 2006, we acquired Rhinopharma and all of its rights and obligations under the Vernalis Agreement. Pursuant to the Vernalis Agreement, Vernalis assigned to us all of its rights to certain patents and patent applications relating to RPL554 and related compounds, or the Vernalis Patents. We cannot further assign the Vernalis Patents to a third party without Vernalis' prior consent. Vernalis also granted to us an exclusive, worldwide, royalty-bearing license under certain Vernalis know-how to develop, manufacture and commercialize products, or the Licensed Products, based on PDE inhibitors developed using Vernalis Patents, Vernalis know-how and the physical stock of certain compounds, including RPL554, which we refer to as the Program IP, in the treatment of human or animal allergic or inflammatory disorders. Pursuant to the Vernalis Agreement, we must maintain the Vernalis Patents and use commercially reasonable and diligent efforts to develop and commercialize the Licensed Products.</w:t>
      </w:r>
    </w:p>
    <w:p>
      <w:pPr>
        <w:spacing w:after="0" w:line="2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Vernalis Agreement, we are obligated to pay Vernalis a milestone payment of £5.0 million upon the first approval of any regulatory authority for the commercialization of any Licensed Product, and a portion equal to a percentage in the mid twenties of any consideration received from any of our sublicensees for Vernalis Patents or Vernalis know-how, excluding royalties. We must also pay Vernalis,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Vernalis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208"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Vernalis Agreement continues until terminated by either party in accordance with its terms. Either party may terminate the Vernalis Agreement for an uncured material breach, bankruptcy or insolvency of the other party. We may terminate the Vernalis Agreement upon 90 days' prior written notice. Vernalis may terminate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Vernalis Agreement if we notify Vernalis of our intention to abandon any Vernalis Patents or allow any Vernalis Patents to lapse. Upon termination of the Vernalis Agreement, we must cease use of any Program IP and assign the Vernalis Patents and any improvements thereto back to Vernalis.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no experience in product candidate formulation or manufacturing. We rely on, and expect to continue to rely, on third-party contract manufacturing organizations, or CMOs, for the supply of current good manufacturing practices specified by the FDA, or cGMP, clinical trial materials of RPL554 and any future product candidates, as well as for commercial quantities of RPL554 and any future product candidates, if approved. We currently do not have any agreements for the commercial production of raw materials. While we may contract with other CMOs in the future, we currently contract with only one pharmaceuticals CMO for the manufacture of RPL554 drug substance. For RPL554 drug product in our nebulized formulation, we currently have two CMOs. We believe that the RPL554 manufacturing process can be transferred to a number of other CMOs for the production of clinical and commercial supplies of RPL554 in the ordinary course of business.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Manufacturing of any product candidate is subject to extensive regulations that impose various procedural and documentation requirements governing recordkeeping, manufacturing processes and controls, personnel, quality control and quality assurance, among others. We expect that all of our CMOs will manufacture RPL554 under cGMP conditions. cGMP is a regulatory standard for the production of pharmaceuticals to be used in humans.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yet defined our sales, marketing or commercialization strategy for RPL554. Our commercial strategy may include the use of strategic collaborators, distributors, a contract sales force, or the establishment of our own commercial and specialty sales force. We plan to further evaluate these alternatives as we continue the clinical development of RPL554.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consider RPL554's current closest potential competitors in the nebulized maintenance treatment of COPD in the U.S. market to be Brovana, a long-acting beta2-agonist bronchodilator marketed by Sunovion, and Perforomist, a long-acting beta2-agonist bronchodilator marketed by Mylan. Neither drug, however, provides an anti-inflammatory effect. We consider RPL554's current closest potential competitors in the DPI/MDI maintenance treatment of COPD to be Symbicort, a combination of a long-acting beta2-agonist bronchodilator and inhaled corticosteroid marketed by AstraZeneca, Spiriva, a long-acting anti-muscarinic bronchodilator marketed by Boehringer Ingelheim, Advair, a combination of a long-acting beta2-agonist bronchodilator and inhaled corticosteroid marketed by GlaxoSmithKline, Utibro Breezhaler, a combination of a long-acting beta2-agonist and long-acting anti-muscarinic bronchodilator marketed by Novartis, Breo, a combination of a long-acting beta2-agonist bronchodilator and inhaled corticosteroid marketed by GlaxoSmithKline, and Anoro, a combination of a long-acting beta2-agonist bronchodilator and long-acting anti-muscarinic bronchodilator marketed by GlaxoSmithKline.</w:t>
      </w:r>
    </w:p>
    <w:p>
      <w:pPr>
        <w:spacing w:after="0" w:line="21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compete directly with biotechnology and pharmaceutical companies that focus on the treatment of respiratory diseases. We also face competition from academic research institutions, governmental agencies and other various public and private research institutions. We expect to face increasingly intense competition as new technologies become available. Any product candidates, including RPL554, that we successfully develop and commercialize will compete with existing therapies and new therapies that may become available in the future.</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Many of our competitors have significantly greater financial, manufacturing, marketing, drug development, technical and human resources than we do. Mergers and acquisitions in the pharmaceutical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The key competitive factors affecting the success of RPL554, if approved, are likely to be its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8"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less expensive, more convenient or easier to administer, or have fewer or less severe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RPL554 achieves marketing approval, it may be priced at a significant premium over competitive products if any have been approved by then.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1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of February 15, 2017, our patent portfolio consisted of five issued U.S. patents, three pending U.S. patent applications, 15 issued foreign patents and 32 pending foreign applications including two patent applications made under the PCT. These patents and patent applications include claims directed to RPL554 composition of matter, new dosage formulations and a crystalline polymorph, as well as methods of making and using RPL554 in the treatment of respiratory diseases, with expected expiry dates not earlier than between 2020 and 2037.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 relating to RPL554 includes eight patent families:</w:t>
      </w:r>
    </w:p>
    <w:p>
      <w:pPr>
        <w:spacing w:after="0" w:line="212" w:lineRule="exact"/>
        <w:rPr>
          <w:sz w:val="20"/>
          <w:szCs w:val="20"/>
          <w:color w:val="auto"/>
        </w:rPr>
      </w:pPr>
    </w:p>
    <w:p>
      <w:pPr>
        <w:ind w:left="1080" w:right="180" w:hanging="532"/>
        <w:spacing w:after="0" w:line="195" w:lineRule="auto"/>
        <w:tabs>
          <w:tab w:leader="none" w:pos="10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The first of these patent families relates to RPL554 per se. As of February 15, 2017, this patent family includes granted patents in Australia, Brazil, Canada, China, Europe, Japan, Mexico as well as four granted patents in the United States. We expect patents in this family to expire in March 2020.</w:t>
      </w:r>
    </w:p>
    <w:p>
      <w:pPr>
        <w:ind w:left="1080" w:right="140" w:hanging="532"/>
        <w:spacing w:after="0" w:line="203" w:lineRule="auto"/>
        <w:tabs>
          <w:tab w:leader="none" w:pos="10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The second of these patent families relates to a crystalline polymorph of RPL554. As of February 15, 2017, this patent family included granted patents in Australia, China, Europe, Indonesia, Japan, Malaysia, Russia, the United States and Taiwan and patent applications in Canada, Israel, Japan, South Korea, Mexico, Philippines, Thailand and the Gulf Cooperation Council. We expect patents in this family to expire in August 2031.</w:t>
      </w:r>
    </w:p>
    <w:p>
      <w:pPr>
        <w:spacing w:after="0" w:line="3" w:lineRule="exact"/>
        <w:rPr>
          <w:rFonts w:ascii="Arial" w:cs="Arial" w:eastAsia="Arial" w:hAnsi="Arial"/>
          <w:sz w:val="29"/>
          <w:szCs w:val="29"/>
          <w:color w:val="auto"/>
          <w:vertAlign w:val="superscript"/>
        </w:rPr>
      </w:pPr>
    </w:p>
    <w:p>
      <w:pPr>
        <w:ind w:left="1080" w:right="200" w:hanging="532"/>
        <w:spacing w:after="0" w:line="195" w:lineRule="auto"/>
        <w:tabs>
          <w:tab w:leader="none" w:pos="10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The third of these patent families relates to the combination of RPL554 with a beta-adrenergic receptor agonist. As of February 15, 2017, this patent family included patent applications in Canada, Europe and the United States. We expect patents in this family to expire in March 2034.</w:t>
      </w:r>
    </w:p>
    <w:p>
      <w:pPr>
        <w:ind w:left="1080" w:right="120" w:hanging="532"/>
        <w:spacing w:after="0" w:line="195" w:lineRule="auto"/>
        <w:tabs>
          <w:tab w:leader="none" w:pos="1080" w:val="left"/>
        </w:tabs>
        <w:numPr>
          <w:ilvl w:val="0"/>
          <w:numId w:val="59"/>
        </w:numPr>
        <w:rPr>
          <w:rFonts w:ascii="Arial" w:cs="Arial" w:eastAsia="Arial" w:hAnsi="Arial"/>
          <w:sz w:val="29"/>
          <w:szCs w:val="29"/>
          <w:color w:val="auto"/>
          <w:vertAlign w:val="superscript"/>
        </w:rPr>
      </w:pPr>
      <w:r>
        <w:rPr>
          <w:rFonts w:ascii="Arial" w:cs="Arial" w:eastAsia="Arial" w:hAnsi="Arial"/>
          <w:sz w:val="18"/>
          <w:szCs w:val="18"/>
          <w:color w:val="auto"/>
        </w:rPr>
        <w:t>The fourth of these patent families relates to the combination of RPL554 with an M3-muscarinic receptor antagonist. As of February 15, 2017, this patent family included patent applications in Australia, Canada, China, Europe, Israel, India, Japan, South Korea, Mexico, Russia, Thailand and the United States. We expect patents in this family to expire in March 2034.</w:t>
      </w:r>
    </w:p>
    <w:p>
      <w:pPr>
        <w:ind w:left="1080" w:right="300" w:hanging="532"/>
        <w:spacing w:after="0" w:line="191" w:lineRule="auto"/>
        <w:tabs>
          <w:tab w:leader="none" w:pos="1080" w:val="left"/>
        </w:tabs>
        <w:numPr>
          <w:ilvl w:val="0"/>
          <w:numId w:val="59"/>
        </w:numPr>
        <w:rPr>
          <w:rFonts w:ascii="Arial" w:cs="Arial" w:eastAsia="Arial" w:hAnsi="Arial"/>
          <w:sz w:val="28"/>
          <w:szCs w:val="28"/>
          <w:color w:val="auto"/>
          <w:vertAlign w:val="superscript"/>
        </w:rPr>
      </w:pPr>
      <w:r>
        <w:rPr>
          <w:rFonts w:ascii="Arial" w:cs="Arial" w:eastAsia="Arial" w:hAnsi="Arial"/>
          <w:sz w:val="17"/>
          <w:szCs w:val="17"/>
          <w:color w:val="auto"/>
        </w:rPr>
        <w:t>The fifth of these patent families relates to certain specific salts of RPL554. As of February 15, 2017, this patent family included a pending PCT application designating all contracting states. We expect patents in this family to expire in February 2036.</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40" w:hanging="532"/>
        <w:spacing w:after="0" w:line="197" w:lineRule="auto"/>
        <w:tabs>
          <w:tab w:leader="none" w:pos="10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The sixth of these patent families relates to use of RPL554 to treat certain diseases associated with the function of CFTR (including CF). As of February 15, 2017, this patent family included patent applications in Australia, Canada, Europe, Israel, Mexico, Russia, the United States and South Africa. We expect patents in this family to expire in May 2035.</w:t>
      </w:r>
    </w:p>
    <w:p>
      <w:pPr>
        <w:spacing w:after="0" w:line="196" w:lineRule="exact"/>
        <w:rPr>
          <w:rFonts w:ascii="Arial" w:cs="Arial" w:eastAsia="Arial" w:hAnsi="Arial"/>
          <w:sz w:val="29"/>
          <w:szCs w:val="29"/>
          <w:color w:val="auto"/>
          <w:vertAlign w:val="superscript"/>
        </w:rPr>
      </w:pPr>
    </w:p>
    <w:p>
      <w:pPr>
        <w:ind w:left="1080" w:right="540" w:hanging="532"/>
        <w:spacing w:after="0" w:line="191" w:lineRule="auto"/>
        <w:tabs>
          <w:tab w:leader="none" w:pos="1080" w:val="left"/>
        </w:tabs>
        <w:numPr>
          <w:ilvl w:val="0"/>
          <w:numId w:val="60"/>
        </w:numPr>
        <w:rPr>
          <w:rFonts w:ascii="Arial" w:cs="Arial" w:eastAsia="Arial" w:hAnsi="Arial"/>
          <w:sz w:val="28"/>
          <w:szCs w:val="28"/>
          <w:color w:val="auto"/>
          <w:vertAlign w:val="superscript"/>
        </w:rPr>
      </w:pPr>
      <w:r>
        <w:rPr>
          <w:rFonts w:ascii="Arial" w:cs="Arial" w:eastAsia="Arial" w:hAnsi="Arial"/>
          <w:sz w:val="17"/>
          <w:szCs w:val="17"/>
          <w:color w:val="auto"/>
        </w:rPr>
        <w:t>The seventh of these patent families relates to an inhalable formulation of RPL554. As of February 15, 2017, this patent family included a PCT application designating all contracting states. We expect patents in this family to expire in September 2035.</w:t>
      </w:r>
    </w:p>
    <w:p>
      <w:pPr>
        <w:spacing w:after="0" w:line="195" w:lineRule="exact"/>
        <w:rPr>
          <w:rFonts w:ascii="Arial" w:cs="Arial" w:eastAsia="Arial" w:hAnsi="Arial"/>
          <w:sz w:val="28"/>
          <w:szCs w:val="28"/>
          <w:color w:val="auto"/>
          <w:vertAlign w:val="superscript"/>
        </w:rPr>
      </w:pPr>
    </w:p>
    <w:p>
      <w:pPr>
        <w:jc w:val="both"/>
        <w:ind w:left="1080" w:right="60" w:hanging="532"/>
        <w:spacing w:after="0" w:line="197" w:lineRule="auto"/>
        <w:tabs>
          <w:tab w:leader="none" w:pos="1080" w:val="left"/>
        </w:tabs>
        <w:numPr>
          <w:ilvl w:val="0"/>
          <w:numId w:val="60"/>
        </w:numPr>
        <w:rPr>
          <w:rFonts w:ascii="Arial" w:cs="Arial" w:eastAsia="Arial" w:hAnsi="Arial"/>
          <w:sz w:val="29"/>
          <w:szCs w:val="29"/>
          <w:color w:val="auto"/>
          <w:vertAlign w:val="superscript"/>
        </w:rPr>
      </w:pPr>
      <w:r>
        <w:rPr>
          <w:rFonts w:ascii="Arial" w:cs="Arial" w:eastAsia="Arial" w:hAnsi="Arial"/>
          <w:sz w:val="18"/>
          <w:szCs w:val="18"/>
          <w:color w:val="auto"/>
        </w:rPr>
        <w:t>The eighth of these patent families relates to a new process for producing RPL554 and a novel intermediate used in the process. As of February 15, 2017, this patent family included an unpublished Great Britain priority application. We expect patents in this family to expire in July 2037.</w:t>
      </w:r>
    </w:p>
    <w:p>
      <w:pPr>
        <w:spacing w:after="0" w:line="21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 — Risks Related to Intellectual Property and Information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manufacture, marketing and distribution of drug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12" w:lineRule="exact"/>
        <w:rPr>
          <w:sz w:val="20"/>
          <w:szCs w:val="20"/>
          <w:color w:val="auto"/>
        </w:rPr>
      </w:pPr>
    </w:p>
    <w:p>
      <w:pPr>
        <w:ind w:left="1080" w:right="480" w:hanging="532"/>
        <w:spacing w:after="0" w:line="183" w:lineRule="auto"/>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approval by an independent institutional review board, or IRB, at each clinical site before each trial may be initiated;</w:t>
      </w:r>
    </w:p>
    <w:p>
      <w:pPr>
        <w:spacing w:after="0" w:line="194"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submission to the FDA of an NDA;</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satisfactory completion of an FDA advisory committee review, if applicable;</w:t>
      </w:r>
    </w:p>
    <w:p>
      <w:pPr>
        <w:spacing w:after="0" w:line="194" w:lineRule="exact"/>
        <w:rPr>
          <w:rFonts w:ascii="Arial" w:cs="Arial" w:eastAsia="Arial" w:hAnsi="Arial"/>
          <w:sz w:val="29"/>
          <w:szCs w:val="29"/>
          <w:color w:val="auto"/>
          <w:vertAlign w:val="superscript"/>
        </w:rPr>
      </w:pPr>
    </w:p>
    <w:p>
      <w:pPr>
        <w:ind w:left="1080" w:right="120" w:hanging="532"/>
        <w:spacing w:after="0" w:line="197" w:lineRule="auto"/>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 and</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FDA review and approval of the NDA.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3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which include the requirement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12" w:lineRule="exact"/>
        <w:rPr>
          <w:sz w:val="20"/>
          <w:szCs w:val="20"/>
          <w:color w:val="auto"/>
        </w:rPr>
      </w:pPr>
    </w:p>
    <w:p>
      <w:pPr>
        <w:ind w:left="1080" w:right="280" w:hanging="532"/>
        <w:spacing w:after="0" w:line="197" w:lineRule="auto"/>
        <w:tabs>
          <w:tab w:leader="none" w:pos="10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96" w:lineRule="exact"/>
        <w:rPr>
          <w:rFonts w:ascii="Arial" w:cs="Arial" w:eastAsia="Arial" w:hAnsi="Arial"/>
          <w:sz w:val="29"/>
          <w:szCs w:val="29"/>
          <w:color w:val="auto"/>
          <w:vertAlign w:val="superscript"/>
        </w:rPr>
      </w:pPr>
    </w:p>
    <w:p>
      <w:pPr>
        <w:ind w:left="1080" w:right="100" w:hanging="532"/>
        <w:spacing w:after="0" w:line="191" w:lineRule="auto"/>
        <w:tabs>
          <w:tab w:leader="none" w:pos="1080" w:val="left"/>
        </w:tabs>
        <w:numPr>
          <w:ilvl w:val="0"/>
          <w:numId w:val="62"/>
        </w:numPr>
        <w:rPr>
          <w:rFonts w:ascii="Arial" w:cs="Arial" w:eastAsia="Arial" w:hAnsi="Arial"/>
          <w:sz w:val="28"/>
          <w:szCs w:val="28"/>
          <w:color w:val="auto"/>
          <w:vertAlign w:val="superscript"/>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95" w:lineRule="exact"/>
        <w:rPr>
          <w:rFonts w:ascii="Arial" w:cs="Arial" w:eastAsia="Arial" w:hAnsi="Arial"/>
          <w:sz w:val="28"/>
          <w:szCs w:val="28"/>
          <w:color w:val="auto"/>
          <w:vertAlign w:val="superscript"/>
        </w:rPr>
      </w:pPr>
    </w:p>
    <w:p>
      <w:pPr>
        <w:ind w:left="1080" w:hanging="532"/>
        <w:spacing w:after="0" w:line="197" w:lineRule="auto"/>
        <w:tabs>
          <w:tab w:leader="none" w:pos="1080" w:val="left"/>
        </w:tabs>
        <w:numPr>
          <w:ilvl w:val="0"/>
          <w:numId w:val="62"/>
        </w:numPr>
        <w:rPr>
          <w:rFonts w:ascii="Arial" w:cs="Arial" w:eastAsia="Arial" w:hAnsi="Arial"/>
          <w:sz w:val="29"/>
          <w:szCs w:val="29"/>
          <w:color w:val="auto"/>
          <w:vertAlign w:val="superscript"/>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3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special protocol assessment, or SPA, process is designed to facilitate the FDA's review and approval of drugs by allowing the FDA to evaluate issues related to the adequacy of certain clinical trials, including Phase 3 clinical trials that are intended to form the primary basis for a drug product's efficacy claim in an NDA. Upon specific request by a clinical trial sponsor, the FDA will evaluate the protocol and respond to a sponsor's questions regarding, among other things, primary efficacy endpoints, trial conduct and data analysis, within 45 days of receipt of the request.</w:t>
      </w:r>
    </w:p>
    <w:p>
      <w:pPr>
        <w:spacing w:after="0" w:line="183"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20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86"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public health concerns emerge that were unrecognized at the time of the protocol assessment:</w:t>
      </w:r>
    </w:p>
    <w:p>
      <w:pPr>
        <w:spacing w:after="0" w:line="194"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the director of the review division determines that a substantial scientific issue essential to determining safety or efficacy has been identified after testing has begun;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a sponsor fails to follow a protocol that was agreed upon with the FDA; or</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63"/>
        </w:numPr>
        <w:rPr>
          <w:rFonts w:ascii="Arial" w:cs="Arial" w:eastAsia="Arial" w:hAnsi="Arial"/>
          <w:sz w:val="29"/>
          <w:szCs w:val="29"/>
          <w:color w:val="auto"/>
          <w:vertAlign w:val="superscript"/>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3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85"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1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FDA may also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1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1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1"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28"/>
          <w:szCs w:val="28"/>
          <w:color w:val="auto"/>
          <w:vertAlign w:val="superscript"/>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fines, warning letters or holds on post-approval clinical trials;</w:t>
      </w:r>
    </w:p>
    <w:p>
      <w:pPr>
        <w:spacing w:after="0" w:line="194" w:lineRule="exact"/>
        <w:rPr>
          <w:rFonts w:ascii="Arial" w:cs="Arial" w:eastAsia="Arial" w:hAnsi="Arial"/>
          <w:sz w:val="29"/>
          <w:szCs w:val="29"/>
          <w:color w:val="auto"/>
          <w:vertAlign w:val="superscript"/>
        </w:rPr>
      </w:pPr>
    </w:p>
    <w:p>
      <w:pPr>
        <w:ind w:left="5560" w:right="180" w:hanging="5012"/>
        <w:spacing w:after="0" w:line="343" w:lineRule="auto"/>
        <w:tabs>
          <w:tab w:leader="none" w:pos="1081"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refusal of the FDA to approve pending NDAs or supplements to approved NDAs, or suspension or revocation of product approvals;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8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product seizure or detention, or refusal to permit the import or export of products; 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injunctions or the imposition of civil or criminal penalties.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3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order to market our future products in the EEA (which is comprised of the 28 Member States of the EU plus Norway, Iceland and Liechtenstein)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08" w:lineRule="exact"/>
        <w:rPr>
          <w:sz w:val="20"/>
          <w:szCs w:val="20"/>
          <w:color w:val="auto"/>
        </w:rPr>
      </w:pPr>
    </w:p>
    <w:p>
      <w:pPr>
        <w:ind w:left="1080" w:right="160" w:hanging="532"/>
        <w:spacing w:after="0" w:line="217"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196" w:lineRule="exact"/>
        <w:rPr>
          <w:rFonts w:ascii="Arial" w:cs="Arial" w:eastAsia="Arial" w:hAnsi="Arial"/>
          <w:sz w:val="29"/>
          <w:szCs w:val="29"/>
          <w:color w:val="auto"/>
          <w:vertAlign w:val="superscript"/>
        </w:rPr>
      </w:pPr>
    </w:p>
    <w:p>
      <w:pPr>
        <w:ind w:left="1080" w:right="40" w:hanging="532"/>
        <w:spacing w:after="0" w:line="211" w:lineRule="auto"/>
        <w:tabs>
          <w:tab w:leader="none" w:pos="1080" w:val="left"/>
        </w:tabs>
        <w:numPr>
          <w:ilvl w:val="0"/>
          <w:numId w:val="66"/>
        </w:numPr>
        <w:rPr>
          <w:rFonts w:ascii="Arial" w:cs="Arial" w:eastAsia="Arial" w:hAnsi="Arial"/>
          <w:sz w:val="29"/>
          <w:szCs w:val="29"/>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3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1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85"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1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countries, cross border imports from low-priced markets exert a commercial pressure on pricing within a country.</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34" w:lineRule="exact"/>
        <w:rPr>
          <w:sz w:val="20"/>
          <w:szCs w:val="20"/>
          <w:color w:val="auto"/>
        </w:rPr>
      </w:pPr>
    </w:p>
    <w:p>
      <w:pPr>
        <w:ind w:right="80" w:firstLine="234"/>
        <w:spacing w:after="0" w:line="266"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creation of the Independent Payment Advisory Board, once empaneled, will have authority to recommend certain changes to the Medicare program that could result in reduced payments for prescription drugs; and establishment of a Center for Medicare Innovation at the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 For example, in January 2017, the U.S. House of Representatives and Senate passed legislation, which, if signed into law, would repeal certain aspects of the ACA. In addition, Congress could consider subsequent legislation to replace those elements of the ACA if so repealed.</w:t>
      </w:r>
    </w:p>
    <w:p>
      <w:pPr>
        <w:spacing w:after="0" w:line="3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drugs.</w:t>
      </w:r>
    </w:p>
    <w:p>
      <w:pPr>
        <w:spacing w:after="0" w:line="210" w:lineRule="exact"/>
        <w:rPr>
          <w:sz w:val="20"/>
          <w:szCs w:val="20"/>
          <w:color w:val="auto"/>
        </w:rPr>
      </w:pPr>
    </w:p>
    <w:p>
      <w:pPr>
        <w:jc w:val="both"/>
        <w:ind w:right="60"/>
        <w:spacing w:after="0" w:line="273" w:lineRule="auto"/>
        <w:rPr>
          <w:sz w:val="20"/>
          <w:szCs w:val="20"/>
          <w:color w:val="auto"/>
        </w:rPr>
      </w:pPr>
      <w:r>
        <w:rPr>
          <w:rFonts w:ascii="Arial" w:cs="Arial" w:eastAsia="Arial" w:hAnsi="Arial"/>
          <w:sz w:val="16"/>
          <w:szCs w:val="16"/>
          <w:color w:val="auto"/>
        </w:rPr>
        <w:t>Additionally,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 into effect on April 1, 2013 and, due to subsequent legislative amendments to the statute, will stay in effect through 2025 unless additional action is taken by Congress. On January 2, 2013, the American Taxpayer Relief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 of February 15, 2017, we had 11 employees. None of our employees is subject to a collective bargaining agreement or represented by a trade or labor union.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Our principal office is located at 3 More London Riverside, London EC2N 1DW, United Kingdom, where we lease office space. We lease a portion of this office space under two leases that terminate on November 30, 2017 and the remainder of the office space under a lease that terminates on December 31, 2017. We also lease office space in White Plains, New York. We intend to add new facilities as we add employees, and we believe that suitable additional or substitute space will be available as needed to accommodate any such expansion of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5"/>
                <w:szCs w:val="15"/>
                <w:color w:val="auto"/>
              </w:rPr>
            </w:pPr>
          </w:p>
        </w:tc>
        <w:tc>
          <w:tcPr>
            <w:tcW w:w="6780" w:type="dxa"/>
            <w:vAlign w:val="bottom"/>
            <w:gridSpan w:val="2"/>
          </w:tcPr>
          <w:p>
            <w:pPr>
              <w:ind w:left="25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Jan-Anders Karlsson,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Piers Morgan</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Financial Officer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Kenneth Newman, M.D.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Peter Spargo,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Chemistry Manufacturing and Controls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Claire Poll</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Legal Counsel</w:t>
            </w: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David Ebsworth,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Ken Cunningham, M.D.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Rishi Gupta</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Patrick Humphrey, D.Sc.</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Mahendra Shah, Ph.D.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Andrew Sinclair,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Vikas Sinha</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69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9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Anders Ullman, Ph.D.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57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 Committee member</w:t>
      </w:r>
    </w:p>
    <w:p>
      <w:pPr>
        <w:spacing w:after="0" w:line="163" w:lineRule="exact"/>
        <w:rPr>
          <w:rFonts w:ascii="Arial" w:cs="Arial" w:eastAsia="Arial" w:hAnsi="Arial"/>
          <w:sz w:val="14"/>
          <w:szCs w:val="14"/>
          <w:color w:val="auto"/>
        </w:rPr>
      </w:pPr>
    </w:p>
    <w:p>
      <w:pPr>
        <w:ind w:left="540" w:hanging="532"/>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Remuneration Committee member</w:t>
      </w:r>
    </w:p>
    <w:p>
      <w:pPr>
        <w:spacing w:after="0" w:line="163" w:lineRule="exact"/>
        <w:rPr>
          <w:rFonts w:ascii="Arial" w:cs="Arial" w:eastAsia="Arial" w:hAnsi="Arial"/>
          <w:sz w:val="14"/>
          <w:szCs w:val="14"/>
          <w:color w:val="auto"/>
        </w:rPr>
      </w:pPr>
    </w:p>
    <w:p>
      <w:pPr>
        <w:ind w:left="540" w:hanging="532"/>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Governance Committee member</w:t>
      </w:r>
    </w:p>
    <w:p>
      <w:pPr>
        <w:spacing w:after="0" w:line="216"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current business addresses for our executive officers and board of directors is c/o Verona Pharma plc, 3 More London Riverside, London SE1 2RE, the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Jan-Anders Karlsson, Ph.D. </w:t>
      </w:r>
      <w:r>
        <w:rPr>
          <w:rFonts w:ascii="Arial" w:cs="Arial" w:eastAsia="Arial" w:hAnsi="Arial"/>
          <w:sz w:val="18"/>
          <w:szCs w:val="18"/>
          <w:color w:val="auto"/>
        </w:rPr>
        <w:t>Dr. Karlsson has served as our Chief Executive Officer and on our board of directors since June 2012.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to May 2012, Dr. Karlsson was the Chief Executive Officer of S*BIO Pte Ltd, a biotechnology company in Singapore. Previously to S*BIO, Dr. Karlsson was Executive Vice President and head of Pharma Global Research at Bayer HealthCare AG in Germany. Dr. Karlsson received an M.Sc. in pharmacy from Uppsala University and a Doctor of Medical Science (Ph.D.) in clinical experimental pharmacology from the University of Lund.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Piers Morgan. </w:t>
      </w:r>
      <w:r>
        <w:rPr>
          <w:rFonts w:ascii="Arial" w:cs="Arial" w:eastAsia="Arial" w:hAnsi="Arial"/>
          <w:sz w:val="18"/>
          <w:szCs w:val="18"/>
          <w:color w:val="auto"/>
        </w:rPr>
        <w:t>Mr. Morgan has served as our Chief Financial Officer since September 2016. From November 2015 to September 2016,</w:t>
      </w:r>
    </w:p>
    <w:p>
      <w:pPr>
        <w:spacing w:after="0" w:line="1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Morgan was an independent consultant. From May 2014 to November 2015, Mr. Morgan was the Chief Executive Officer of C4X Discovery plc, a biotechnology company. Prior to C4X, Mr. Morgan co-founded uniQure N.V., a biotechnology company, in Amsterdam, where he served as Chief Financial Officer from December 2009 to May 2014. Mr. Morgan is a member of the Institute of Chartered Accountants in England and Wales and received an M.A. in law and management studies from the University of Cambridge.</w:t>
      </w:r>
    </w:p>
    <w:p>
      <w:pPr>
        <w:spacing w:after="0" w:line="18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Kenneth Newman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M.D. </w:t>
      </w:r>
      <w:r>
        <w:rPr>
          <w:rFonts w:ascii="Arial" w:cs="Arial" w:eastAsia="Arial" w:hAnsi="Arial"/>
          <w:sz w:val="18"/>
          <w:szCs w:val="18"/>
          <w:color w:val="auto"/>
        </w:rPr>
        <w:t>Dr. Newman has served as our Chief Medical Officer since January 2015. From December 2013 to December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Newman was Chief Development Officer at Mesoblast Inc., a</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biotechnology company. From 2010 to November 2013, Dr. Newman was Chief Medical Officer of Acton Pharmaceuticals, Inc., a specialty respiratory pharmaceutical company, which was acquired by Meda Pharmaceuticals, Inc. Dr. Newman received an M.D. from the University of Texas Health Science Center at Houston and an M.B.A. in management from the University of Cincinnati College of Business.</w:t>
      </w:r>
    </w:p>
    <w:p>
      <w:pPr>
        <w:spacing w:after="0" w:line="158"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b w:val="1"/>
          <w:bCs w:val="1"/>
          <w:i w:val="1"/>
          <w:iCs w:val="1"/>
          <w:color w:val="auto"/>
        </w:rPr>
        <w:t>Peter Spargo</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Ph.D. </w:t>
      </w:r>
      <w:r>
        <w:rPr>
          <w:rFonts w:ascii="Arial" w:cs="Arial" w:eastAsia="Arial" w:hAnsi="Arial"/>
          <w:sz w:val="16"/>
          <w:szCs w:val="16"/>
          <w:color w:val="auto"/>
        </w:rPr>
        <w:t>Dr. Spargo has served as our Senior Vice President, Chemistry Manufacturing and Controls since May 2014. From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October 2015, Dr. Spargo also 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15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Claire Poll. </w:t>
      </w:r>
      <w:r>
        <w:rPr>
          <w:rFonts w:ascii="Arial" w:cs="Arial" w:eastAsia="Arial" w:hAnsi="Arial"/>
          <w:sz w:val="18"/>
          <w:szCs w:val="18"/>
          <w:color w:val="auto"/>
        </w:rPr>
        <w:t>Ms. Poll has served as Legal Counsel since September 2016. From September 2015 to August 2016, Ms. Poll served as an advisor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on legal, general corporate 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David Ebsworth, Ph.D. </w:t>
      </w:r>
      <w:r>
        <w:rPr>
          <w:rFonts w:ascii="Arial" w:cs="Arial" w:eastAsia="Arial" w:hAnsi="Arial"/>
          <w:sz w:val="18"/>
          <w:szCs w:val="18"/>
          <w:color w:val="auto"/>
        </w:rPr>
        <w:t>Dr. Ebsworth has served as the Non-Executive Chairman of our board of directors since December 2014. From October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to August 2014, Dr. Ebsworth served as Chief Executive Officer of Vifor Pharma, based in Zürich,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Dr. Ebsworth received a Ph.D. in industrial relations from the University of Surrey.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Ken Cunningham, M.D. </w:t>
      </w:r>
      <w:r>
        <w:rPr>
          <w:rFonts w:ascii="Arial" w:cs="Arial" w:eastAsia="Arial" w:hAnsi="Arial"/>
          <w:sz w:val="18"/>
          <w:szCs w:val="18"/>
          <w:color w:val="auto"/>
        </w:rPr>
        <w:t>Dr. Cunningham has served as a Non-Executive Director on our board of directors since September 2015.</w:t>
      </w:r>
    </w:p>
    <w:p>
      <w:pPr>
        <w:spacing w:after="0" w:line="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Dr. Cunningham serves as the non-executive chairman of the board of directors of Abzena plc and non-executive member of the board of directors of Xention Pharma Ltd. Dr. Cunningham received an M.D. from St. Mary's, Imperial College, London University.</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Rishi Gupta. </w:t>
      </w:r>
      <w:r>
        <w:rPr>
          <w:rFonts w:ascii="Arial" w:cs="Arial" w:eastAsia="Arial" w:hAnsi="Arial"/>
          <w:sz w:val="18"/>
          <w:szCs w:val="18"/>
          <w:color w:val="auto"/>
        </w:rPr>
        <w:t>Mr. Gupta has served as a Non-Executive Director on our board of directors since July 2016. Since 2002, Mr. Gupta has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at OrbiMed Advisors LLC, a global healthcare investment firm, where he is currently a Private Equity Partner. Mr. Gupta currently is a member of the board of directors of Symbiomix Therapeutics, LLC, Dimension Therapeutics, Inc., Avitide, Inc. and Turnstone Biologics Inc. Mr. Gupta received an A.B. in biochemical sciences from Harvard College and a J.D. from the Yale Law School.</w:t>
      </w:r>
    </w:p>
    <w:p>
      <w:pPr>
        <w:spacing w:after="0" w:line="18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i w:val="1"/>
          <w:iCs w:val="1"/>
          <w:color w:val="auto"/>
        </w:rPr>
        <w:t xml:space="preserve">Patrick Humphrey, OBE, Ph.D., D.Sc. </w:t>
      </w:r>
      <w:r>
        <w:rPr>
          <w:rFonts w:ascii="Arial" w:cs="Arial" w:eastAsia="Arial" w:hAnsi="Arial"/>
          <w:sz w:val="18"/>
          <w:szCs w:val="18"/>
          <w:color w:val="auto"/>
        </w:rPr>
        <w:t>Dr. Humphrey has served as a Non-Executive Director on our board of directors since September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2001 to 2008, Dr. Humphrey was Executive Vice President and Head of Research at Theravance, Inc. prior to its name change to Innoviva Inc. Dr. Humphrey received a Ph.D. in Pharmacology at St. Mary's Hospital Medical School in London and a Doctorate of Science from London University.</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Mahendra Shah, Ph.D. </w:t>
      </w:r>
      <w:r>
        <w:rPr>
          <w:rFonts w:ascii="Arial" w:cs="Arial" w:eastAsia="Arial" w:hAnsi="Arial"/>
          <w:sz w:val="18"/>
          <w:szCs w:val="18"/>
          <w:color w:val="auto"/>
        </w:rPr>
        <w:t>Dr. Shah has served as a Non-Executive Director on our board of directors since July 2016. Since March 2010, Dr. Shah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Managing Director of Vivo Capital, a healthcare investment firm. Dr. Shah is also the founder and Executive Chair of Semnur Pharmaceuticals, Inc., a specialty pharmaceutical company. Dr. Shah serves as a member of the board of directors of Fortis Inc., Crinetics Pharmaceuticals, Inc., Essentialis Therapeutics LLC, and Impel Neuropharma, Inc. In addition, Dr. Shah serves on the board of directors of private companies in the biopharmaceutical and biotechnology industries. Dr. Shah received his Ph.D. in industrial pharmacy from St. John's University and a Master's Degree in Pharmacy from L.M. College of Pharmacy in Gujarat, India.</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Andrew Sinclair, Ph.D. </w:t>
      </w:r>
      <w:r>
        <w:rPr>
          <w:rFonts w:ascii="Arial" w:cs="Arial" w:eastAsia="Arial" w:hAnsi="Arial"/>
          <w:sz w:val="18"/>
          <w:szCs w:val="18"/>
          <w:color w:val="auto"/>
        </w:rPr>
        <w:t>Dr. Sinclair has served as a Non-Executive Director on our board of directors since July 2016. Since 2008, Dr. Sinclair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various positions at Abingworth LLP, a life sciences investment group, where he is currently a Partner and Portfolio Manager. Dr. Sinclair is a member of the Institute of Chartered Accountants in England and Wales and received a Ph.D. in chemistry and genetic engineering at the BBSRC Institute of Plant Science, Norwich, and a B.Sc. in microbiology from King's College London.</w:t>
      </w:r>
    </w:p>
    <w:p>
      <w:pPr>
        <w:spacing w:after="0" w:line="18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 xml:space="preserve">Vikas Sinha. </w:t>
      </w:r>
      <w:r>
        <w:rPr>
          <w:rFonts w:ascii="Arial" w:cs="Arial" w:eastAsia="Arial" w:hAnsi="Arial"/>
          <w:sz w:val="18"/>
          <w:szCs w:val="18"/>
          <w:color w:val="auto"/>
        </w:rPr>
        <w:t>Mr. Sinha has served as a Non-Executive Director on our board of directors since September 2016. Since 2005, Mr. Sinha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Financial Officer of Alexion Pharmaceuticals, Inc., a biotechnology company.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185"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b w:val="1"/>
          <w:bCs w:val="1"/>
          <w:i w:val="1"/>
          <w:iCs w:val="1"/>
          <w:color w:val="auto"/>
        </w:rPr>
        <w:t xml:space="preserve">Anders Ullman, M.D., Ph.D. </w:t>
      </w:r>
      <w:r>
        <w:rPr>
          <w:rFonts w:ascii="Arial" w:cs="Arial" w:eastAsia="Arial" w:hAnsi="Arial"/>
          <w:sz w:val="18"/>
          <w:szCs w:val="18"/>
          <w:color w:val="auto"/>
        </w:rPr>
        <w:t>Dr. Ullman has served as a Non-Executive Director on our board of directors since September 2015. From 2013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Dr. Ullman was the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which was acquired by Takeda Pharmaceutical Company Limited. Dr. Ullman received an M.D. and a Ph.D. in clinical pharmacology from the University of Gothenburg.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Exemption</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England and Wales, instead of those otherwise required under the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209" w:lineRule="exact"/>
        <w:rPr>
          <w:sz w:val="20"/>
          <w:szCs w:val="20"/>
          <w:color w:val="auto"/>
        </w:rPr>
      </w:pPr>
    </w:p>
    <w:p>
      <w:pPr>
        <w:ind w:left="1080" w:right="100" w:hanging="532"/>
        <w:spacing w:after="0" w:line="183"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Exemption from filing quarterly reports on Form 10-Q or provide current reports on Form 8-K disclosing significant events within four days of their occurrence.</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Exemption from Section 16 rules regarding sales of ordinary shares by insiders, which will provide less data in this regard than shareholders of U.S. companies that are subject to the Exchange Act.</w:t>
      </w:r>
    </w:p>
    <w:p>
      <w:pPr>
        <w:spacing w:after="0" w:line="195" w:lineRule="exact"/>
        <w:rPr>
          <w:rFonts w:ascii="Arial" w:cs="Arial" w:eastAsia="Arial" w:hAnsi="Arial"/>
          <w:sz w:val="29"/>
          <w:szCs w:val="29"/>
          <w:color w:val="auto"/>
          <w:vertAlign w:val="superscript"/>
        </w:rPr>
      </w:pPr>
    </w:p>
    <w:p>
      <w:pPr>
        <w:ind w:left="1080" w:hanging="532"/>
        <w:spacing w:after="0" w:line="205"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97"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Exemption from the requirement that our board have a compensation committee that is composed entirely of independent directors with a written charter addressing the committee's purpose and responsibilities.</w:t>
      </w:r>
    </w:p>
    <w:p>
      <w:pPr>
        <w:spacing w:after="0" w:line="6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Exemption from the requirements that director nominees are selected, or recommended for selection by our board, either by</w:t>
      </w:r>
    </w:p>
    <w:p>
      <w:pPr>
        <w:jc w:val="both"/>
        <w:ind w:left="1080" w:right="260"/>
        <w:spacing w:after="0" w:line="238" w:lineRule="auto"/>
        <w:rPr>
          <w:rFonts w:ascii="Arial" w:cs="Arial" w:eastAsia="Arial" w:hAnsi="Arial"/>
          <w:sz w:val="29"/>
          <w:szCs w:val="29"/>
          <w:color w:val="auto"/>
          <w:vertAlign w:val="superscript"/>
        </w:rPr>
      </w:pPr>
      <w:r>
        <w:rPr>
          <w:rFonts w:ascii="Arial" w:cs="Arial" w:eastAsia="Arial" w:hAnsi="Arial"/>
          <w:sz w:val="18"/>
          <w:szCs w:val="18"/>
          <w:color w:val="auto"/>
        </w:rPr>
        <w:t>(1) independent directors constituting a majority of our board's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20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conform to U.K. requirements in lieu of many of the NASDAQ corporate governance rules, we intend to comply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foreign private issuer.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consists of nine members. Our board of directors has determined that, of our nine directors,</w:t>
      </w:r>
    </w:p>
    <w:p>
      <w:pPr>
        <w:jc w:val="both"/>
        <w:ind w:right="80" w:firstLine="976"/>
        <w:spacing w:after="0" w:line="238" w:lineRule="auto"/>
        <w:rPr>
          <w:sz w:val="20"/>
          <w:szCs w:val="20"/>
          <w:color w:val="auto"/>
        </w:rPr>
      </w:pPr>
      <w:r>
        <w:rPr>
          <w:rFonts w:ascii="Arial" w:cs="Arial" w:eastAsia="Arial" w:hAnsi="Arial"/>
          <w:sz w:val="18"/>
          <w:szCs w:val="18"/>
          <w:color w:val="auto"/>
        </w:rPr>
        <w:t>, , , and do not have a relationship that would interfere with the exercise of independent judgment in carrying out the responsibilities of director and that each of these directors is "independent" as that term is defined under the rules of NASDAQ. There are no family relationships among any of our directors or executive officers.</w:t>
      </w:r>
    </w:p>
    <w:p>
      <w:pPr>
        <w:spacing w:after="0" w:line="20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accordance with our Articles of Association, one-third of our directors retire from office at every annual general meeting of shareholders. Retiring directors are eligible for re-election and, if no other director is elected to fill his or her position and the director is willing, shall be re-elected by default. See "Description of Share Capital and Articles of Association — Articles of Association — Directors — Rotation of Directors."</w:t>
      </w:r>
    </w:p>
    <w:p>
      <w:pPr>
        <w:spacing w:after="0" w:line="17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have relationship agreements with entities affiliated with each of Mr. Gupta and Drs. Shah and Sinclair, pursuant to which each such individual has been designated as a member of our board of directors. The relationship agreements will continue in effect after this offering. See "Related Party Transactions — Relationship Agreements" for a description of these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three standing committees: an Audit Committee, a Remuneration Committee and a Governance Committee.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3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audit committee, which consists of , and , assists the board in overseeing our accounting and financial reporting processes and the audits of our financial statements. serves as Chairman of the committee. The audit committee consists exclusively of members of our board who are financially literate, and is considered an "audit committee financial expert" as defined by</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applicable SEC rules and has the requisite financial sophistication as defined under the applicable NASDAQ rules and regulations. Our board has determined that all of the members of the audit committee satisfy the "independence" requirements set forth in Rule 10A-3 under the Exchange Act. The audit committee will be governed by a charter that complies with NASDAQ rules.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194" w:lineRule="exact"/>
        <w:rPr>
          <w:rFonts w:ascii="Arial" w:cs="Arial" w:eastAsia="Arial" w:hAnsi="Arial"/>
          <w:sz w:val="29"/>
          <w:szCs w:val="29"/>
          <w:color w:val="auto"/>
          <w:vertAlign w:val="superscript"/>
        </w:rPr>
      </w:pPr>
    </w:p>
    <w:p>
      <w:pPr>
        <w:ind w:left="1080" w:right="24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195"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195"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195" w:lineRule="exact"/>
        <w:rPr>
          <w:rFonts w:ascii="Arial" w:cs="Arial" w:eastAsia="Arial" w:hAnsi="Arial"/>
          <w:sz w:val="29"/>
          <w:szCs w:val="29"/>
          <w:color w:val="auto"/>
          <w:vertAlign w:val="superscript"/>
        </w:rPr>
      </w:pPr>
    </w:p>
    <w:p>
      <w:pPr>
        <w:ind w:left="1080" w:right="440" w:hanging="532"/>
        <w:spacing w:after="0" w:line="183" w:lineRule="auto"/>
        <w:tabs>
          <w:tab w:leader="none" w:pos="1080" w:val="left"/>
        </w:tabs>
        <w:numPr>
          <w:ilvl w:val="0"/>
          <w:numId w:val="69"/>
        </w:numPr>
        <w:rPr>
          <w:rFonts w:ascii="Arial" w:cs="Arial" w:eastAsia="Arial" w:hAnsi="Arial"/>
          <w:sz w:val="29"/>
          <w:szCs w:val="29"/>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will meet as often as one or more members of the audit committee deem necessary, but in any event will meet at</w:t>
      </w:r>
    </w:p>
    <w:p>
      <w:pPr>
        <w:spacing w:after="0" w:line="239" w:lineRule="auto"/>
        <w:rPr>
          <w:sz w:val="20"/>
          <w:szCs w:val="20"/>
          <w:color w:val="auto"/>
        </w:rPr>
      </w:pPr>
      <w:r>
        <w:rPr>
          <w:rFonts w:ascii="Arial" w:cs="Arial" w:eastAsia="Arial" w:hAnsi="Arial"/>
          <w:sz w:val="18"/>
          <w:szCs w:val="18"/>
          <w:color w:val="auto"/>
        </w:rPr>
        <w:t>least times per year. The audit committee will meet at least once per year with our independent accountant, without our executive officers being present.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Committee of the Board</w:t>
      </w:r>
    </w:p>
    <w:p>
      <w:pPr>
        <w:spacing w:after="0" w:line="23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remuneration committee, which consists of , and , assists the board in determining executive officer compensation. serves as Chairman of the committee. Under SEC and NASDAQ rules, there are heightened independence standards</w:t>
      </w:r>
    </w:p>
    <w:p>
      <w:pPr>
        <w:spacing w:after="0" w:line="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for members of the remuneration committee, including a prohibition against the receipt of any compensation from us other than standard board member fees. Although foreign private issuers are not required to meet this heightened standard, all of our expected remuneration committee members meet this heightened standard.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identifying, reviewing and proposing policies relevant to executive officer compensation;</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evaluating each executive officer's performance in light of such policies and reporting to the board;</w:t>
      </w:r>
    </w:p>
    <w:p>
      <w:pPr>
        <w:spacing w:after="0" w:line="194" w:lineRule="exact"/>
        <w:rPr>
          <w:rFonts w:ascii="Arial" w:cs="Arial" w:eastAsia="Arial" w:hAnsi="Arial"/>
          <w:sz w:val="29"/>
          <w:szCs w:val="29"/>
          <w:color w:val="auto"/>
          <w:vertAlign w:val="superscript"/>
        </w:rPr>
      </w:pPr>
    </w:p>
    <w:p>
      <w:pPr>
        <w:ind w:left="1080" w:right="720" w:hanging="532"/>
        <w:spacing w:after="0" w:line="183" w:lineRule="auto"/>
        <w:tabs>
          <w:tab w:leader="none" w:pos="108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analyzing the possible outcomes of the variable remuneration components and how they may affect the remuneration of the executive officers;</w:t>
      </w:r>
    </w:p>
    <w:p>
      <w:pPr>
        <w:spacing w:after="0" w:line="195" w:lineRule="exact"/>
        <w:rPr>
          <w:rFonts w:ascii="Arial" w:cs="Arial" w:eastAsia="Arial" w:hAnsi="Arial"/>
          <w:sz w:val="29"/>
          <w:szCs w:val="29"/>
          <w:color w:val="auto"/>
          <w:vertAlign w:val="superscript"/>
        </w:rPr>
      </w:pPr>
    </w:p>
    <w:p>
      <w:pPr>
        <w:ind w:left="1080" w:right="400" w:hanging="532"/>
        <w:spacing w:after="0" w:line="183" w:lineRule="auto"/>
        <w:tabs>
          <w:tab w:leader="none" w:pos="108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recommending any equity long-term incentive component of each executive officer's compensation in line with the remuneration policy and reviewing our executive officer compensation and benefits policies generally;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70"/>
        </w:numPr>
        <w:rPr>
          <w:rFonts w:ascii="Arial" w:cs="Arial" w:eastAsia="Arial" w:hAnsi="Arial"/>
          <w:sz w:val="29"/>
          <w:szCs w:val="29"/>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 of the Board</w:t>
      </w:r>
    </w:p>
    <w:p>
      <w:pPr>
        <w:spacing w:after="0" w:line="23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governance committee, which consists of , and , assists our board in identifying individuals qualified to become members of our board and executive officers consistent with criteria established by our board and in developing our corporate governance</w:t>
      </w:r>
    </w:p>
    <w:p>
      <w:pPr>
        <w:spacing w:after="0" w:line="2"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principles.</w:t>
      </w:r>
      <w:r>
        <w:rPr>
          <w:sz w:val="20"/>
          <w:szCs w:val="20"/>
          <w:color w:val="auto"/>
        </w:rPr>
        <w:tab/>
      </w:r>
      <w:r>
        <w:rPr>
          <w:rFonts w:ascii="Arial" w:cs="Arial" w:eastAsia="Arial" w:hAnsi="Arial"/>
          <w:sz w:val="18"/>
          <w:szCs w:val="18"/>
          <w:color w:val="auto"/>
        </w:rPr>
        <w:t>will serve as Chairman of the governance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committee's responsibilities will include:</w:t>
      </w:r>
    </w:p>
    <w:p>
      <w:pPr>
        <w:spacing w:after="0" w:line="8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29"/>
          <w:szCs w:val="29"/>
          <w:color w:val="auto"/>
          <w:vertAlign w:val="superscript"/>
        </w:rPr>
      </w:pPr>
      <w:r>
        <w:rPr>
          <w:rFonts w:ascii="Arial" w:cs="Arial" w:eastAsia="Arial" w:hAnsi="Arial"/>
          <w:sz w:val="18"/>
          <w:szCs w:val="18"/>
          <w:color w:val="auto"/>
        </w:rPr>
        <w:t>drawing up selection criteria and appointment procedures for board members;</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71"/>
        </w:numPr>
        <w:rPr>
          <w:rFonts w:ascii="Arial" w:cs="Arial" w:eastAsia="Arial" w:hAnsi="Arial"/>
          <w:sz w:val="29"/>
          <w:szCs w:val="29"/>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71"/>
        </w:numPr>
        <w:rPr>
          <w:rFonts w:ascii="Arial" w:cs="Arial" w:eastAsia="Arial" w:hAnsi="Arial"/>
          <w:sz w:val="29"/>
          <w:szCs w:val="29"/>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194"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71"/>
        </w:numPr>
        <w:rPr>
          <w:rFonts w:ascii="Arial" w:cs="Arial" w:eastAsia="Arial" w:hAnsi="Arial"/>
          <w:sz w:val="29"/>
          <w:szCs w:val="29"/>
          <w:color w:val="auto"/>
          <w:vertAlign w:val="superscript"/>
        </w:rPr>
      </w:pPr>
      <w:r>
        <w:rPr>
          <w:rFonts w:ascii="Arial" w:cs="Arial" w:eastAsia="Arial" w:hAnsi="Arial"/>
          <w:sz w:val="18"/>
          <w:szCs w:val="18"/>
          <w:color w:val="auto"/>
        </w:rPr>
        <w:t>assessing the functioning of individual members of board and executive officers and reporting the results of such assessment to the board; and</w:t>
      </w:r>
    </w:p>
    <w:p>
      <w:pPr>
        <w:spacing w:after="0" w:line="195"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71"/>
        </w:numPr>
        <w:rPr>
          <w:rFonts w:ascii="Arial" w:cs="Arial" w:eastAsia="Arial" w:hAnsi="Arial"/>
          <w:sz w:val="29"/>
          <w:szCs w:val="29"/>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jc w:val="both"/>
        <w:ind w:right="560"/>
        <w:spacing w:after="0" w:line="299" w:lineRule="auto"/>
        <w:rPr>
          <w:sz w:val="20"/>
          <w:szCs w:val="20"/>
          <w:color w:val="auto"/>
        </w:rPr>
      </w:pPr>
      <w:r>
        <w:rPr>
          <w:rFonts w:ascii="Arial" w:cs="Arial" w:eastAsia="Arial" w:hAnsi="Arial"/>
          <w:sz w:val="16"/>
          <w:szCs w:val="16"/>
          <w:color w:val="auto"/>
        </w:rPr>
        <w:t>Upon the closing of this offering, we will adopt a Code of Business Conduct and Ethics that will cover a broad range of matters including the handling of conflicts of interest, compliance issues and other corporate policies such as equal opportunity and non-discrimination standards.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23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following table sets forth the approximate remuneration paid during the year ended December 31, 2016 to our current executive officers.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24"/>
                <w:szCs w:val="2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1"/>
                <w:szCs w:val="21"/>
                <w:b w:val="1"/>
                <w:bCs w:val="1"/>
                <w:color w:val="auto"/>
                <w:vertAlign w:val="superscript"/>
              </w:rPr>
              <w:t>(1)</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Awards</w:t>
            </w:r>
            <w:r>
              <w:rPr>
                <w:rFonts w:ascii="Arial" w:cs="Arial" w:eastAsia="Arial" w:hAnsi="Arial"/>
                <w:sz w:val="21"/>
                <w:szCs w:val="21"/>
                <w:b w:val="1"/>
                <w:bCs w:val="1"/>
                <w:color w:val="auto"/>
                <w:w w:val="97"/>
                <w:vertAlign w:val="superscript"/>
              </w:rPr>
              <w:t>(2)</w:t>
            </w:r>
          </w:p>
        </w:tc>
        <w:tc>
          <w:tcPr>
            <w:tcW w:w="11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24"/>
                <w:szCs w:val="24"/>
                <w:color w:val="auto"/>
              </w:rPr>
            </w:pPr>
          </w:p>
        </w:tc>
        <w:tc>
          <w:tcPr>
            <w:tcW w:w="208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9"/>
        </w:trPr>
        <w:tc>
          <w:tcPr>
            <w:tcW w:w="1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16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Principal Position</w:t>
            </w:r>
          </w:p>
        </w:tc>
        <w:tc>
          <w:tcPr>
            <w:tcW w:w="9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Jan-Anders Karlsson, Ph.D., M.D.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220,833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281,479</w:t>
            </w:r>
          </w:p>
        </w:tc>
        <w:tc>
          <w:tcPr>
            <w:tcW w:w="1160" w:type="dxa"/>
            <w:vAlign w:val="bottom"/>
            <w:gridSpan w:val="2"/>
            <w:shd w:val="clear" w:color="auto" w:fill="CCEEFF"/>
          </w:tcPr>
          <w:p>
            <w:pPr>
              <w:jc w:val="right"/>
              <w:spacing w:after="0" w:line="236" w:lineRule="exact"/>
              <w:rPr>
                <w:sz w:val="20"/>
                <w:szCs w:val="20"/>
                <w:color w:val="auto"/>
              </w:rPr>
            </w:pPr>
            <w:r>
              <w:rPr>
                <w:rFonts w:ascii="Arial" w:cs="Arial" w:eastAsia="Arial" w:hAnsi="Arial"/>
                <w:sz w:val="17"/>
                <w:szCs w:val="17"/>
                <w:color w:val="auto"/>
              </w:rPr>
              <w:t>87,974</w:t>
            </w:r>
            <w:r>
              <w:rPr>
                <w:rFonts w:ascii="Arial" w:cs="Arial" w:eastAsia="Arial" w:hAnsi="Arial"/>
                <w:sz w:val="27"/>
                <w:szCs w:val="27"/>
                <w:color w:val="auto"/>
                <w:vertAlign w:val="superscript"/>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820,286</w:t>
            </w:r>
          </w:p>
        </w:tc>
        <w:tc>
          <w:tcPr>
            <w:tcW w:w="16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0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gridSpan w:val="3"/>
          </w:tcPr>
          <w:p>
            <w:pPr>
              <w:ind w:left="1140"/>
              <w:spacing w:after="0" w:line="246" w:lineRule="exact"/>
              <w:rPr>
                <w:sz w:val="20"/>
                <w:szCs w:val="20"/>
                <w:color w:val="auto"/>
              </w:rPr>
            </w:pPr>
            <w:r>
              <w:rPr>
                <w:rFonts w:ascii="Arial" w:cs="Arial" w:eastAsia="Arial" w:hAnsi="Arial"/>
                <w:sz w:val="17"/>
                <w:szCs w:val="17"/>
                <w:color w:val="auto"/>
              </w:rPr>
              <w:t>Piers Morgan</w:t>
            </w:r>
            <w:r>
              <w:rPr>
                <w:rFonts w:ascii="Arial" w:cs="Arial" w:eastAsia="Arial" w:hAnsi="Arial"/>
                <w:sz w:val="28"/>
                <w:szCs w:val="28"/>
                <w:color w:val="auto"/>
                <w:vertAlign w:val="superscript"/>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52,778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49,360</w:t>
            </w:r>
          </w:p>
        </w:tc>
        <w:tc>
          <w:tcPr>
            <w:tcW w:w="1160" w:type="dxa"/>
            <w:vAlign w:val="bottom"/>
            <w:gridSpan w:val="2"/>
          </w:tcPr>
          <w:p>
            <w:pPr>
              <w:jc w:val="right"/>
              <w:spacing w:after="0" w:line="246" w:lineRule="exact"/>
              <w:rPr>
                <w:sz w:val="20"/>
                <w:szCs w:val="20"/>
                <w:color w:val="auto"/>
              </w:rPr>
            </w:pPr>
            <w:r>
              <w:rPr>
                <w:rFonts w:ascii="Arial" w:cs="Arial" w:eastAsia="Arial" w:hAnsi="Arial"/>
                <w:sz w:val="17"/>
                <w:szCs w:val="17"/>
                <w:color w:val="auto"/>
              </w:rPr>
              <w:t>12,251</w:t>
            </w:r>
            <w:r>
              <w:rPr>
                <w:rFonts w:ascii="Arial" w:cs="Arial" w:eastAsia="Arial" w:hAnsi="Arial"/>
                <w:sz w:val="28"/>
                <w:szCs w:val="28"/>
                <w:color w:val="auto"/>
                <w:vertAlign w:val="superscript"/>
              </w:rPr>
              <w:t>(5)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130,139</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400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Newman, M.D.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145,643</w:t>
            </w:r>
          </w:p>
        </w:tc>
        <w:tc>
          <w:tcPr>
            <w:tcW w:w="11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7"/>
                <w:szCs w:val="17"/>
                <w:color w:val="auto"/>
              </w:rPr>
              <w:t>39,972</w:t>
            </w:r>
            <w:r>
              <w:rPr>
                <w:rFonts w:ascii="Arial" w:cs="Arial" w:eastAsia="Arial" w:hAnsi="Arial"/>
                <w:sz w:val="28"/>
                <w:szCs w:val="28"/>
                <w:color w:val="auto"/>
                <w:vertAlign w:val="superscript"/>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537,200</w:t>
            </w: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0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Medical Officer</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gridSpan w:val="3"/>
          </w:tcPr>
          <w:p>
            <w:pPr>
              <w:ind w:left="1140"/>
              <w:spacing w:after="0"/>
              <w:rPr>
                <w:sz w:val="20"/>
                <w:szCs w:val="20"/>
                <w:color w:val="auto"/>
              </w:rPr>
            </w:pPr>
            <w:r>
              <w:rPr>
                <w:rFonts w:ascii="Arial" w:cs="Arial" w:eastAsia="Arial" w:hAnsi="Arial"/>
                <w:sz w:val="18"/>
                <w:szCs w:val="18"/>
                <w:color w:val="auto"/>
              </w:rPr>
              <w:t>Peter Spargo, Ph.D.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127,521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44,650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56,591</w:t>
            </w:r>
          </w:p>
        </w:tc>
        <w:tc>
          <w:tcPr>
            <w:tcW w:w="1160" w:type="dxa"/>
            <w:vAlign w:val="bottom"/>
            <w:gridSpan w:val="2"/>
          </w:tcPr>
          <w:p>
            <w:pPr>
              <w:jc w:val="right"/>
              <w:spacing w:after="0" w:line="246" w:lineRule="exact"/>
              <w:rPr>
                <w:sz w:val="20"/>
                <w:szCs w:val="20"/>
                <w:color w:val="auto"/>
              </w:rPr>
            </w:pPr>
            <w:r>
              <w:rPr>
                <w:rFonts w:ascii="Arial" w:cs="Arial" w:eastAsia="Arial" w:hAnsi="Arial"/>
                <w:sz w:val="17"/>
                <w:szCs w:val="17"/>
                <w:color w:val="auto"/>
              </w:rPr>
              <w:t>22,639</w:t>
            </w:r>
            <w:r>
              <w:rPr>
                <w:rFonts w:ascii="Arial" w:cs="Arial" w:eastAsia="Arial" w:hAnsi="Arial"/>
                <w:sz w:val="28"/>
                <w:szCs w:val="28"/>
                <w:color w:val="auto"/>
                <w:vertAlign w:val="superscript"/>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251,401</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0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Senior Vice President of Chemistry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400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Manufacturing and Controls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Poll</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40,480</w:t>
            </w:r>
          </w:p>
        </w:tc>
        <w:tc>
          <w:tcPr>
            <w:tcW w:w="11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7"/>
                <w:szCs w:val="17"/>
                <w:color w:val="auto"/>
              </w:rPr>
              <w:t>130,076</w:t>
            </w:r>
            <w:r>
              <w:rPr>
                <w:rFonts w:ascii="Arial" w:cs="Arial" w:eastAsia="Arial" w:hAnsi="Arial"/>
                <w:sz w:val="28"/>
                <w:szCs w:val="28"/>
                <w:color w:val="auto"/>
                <w:vertAlign w:val="superscript"/>
              </w:rPr>
              <w:t>(8)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233,523</w:t>
            </w:r>
          </w:p>
        </w:tc>
        <w:tc>
          <w:tcPr>
            <w:tcW w:w="16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0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Legal Counsel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 shown reflects bonuses awarded for achievement of performance goals in 2016.</w:t>
      </w:r>
    </w:p>
    <w:p>
      <w:pPr>
        <w:spacing w:after="0" w:line="151" w:lineRule="exact"/>
        <w:rPr>
          <w:rFonts w:ascii="Arial" w:cs="Arial" w:eastAsia="Arial" w:hAnsi="Arial"/>
          <w:sz w:val="22"/>
          <w:szCs w:val="22"/>
          <w:color w:val="auto"/>
          <w:vertAlign w:val="superscript"/>
        </w:rPr>
      </w:pPr>
    </w:p>
    <w:p>
      <w:pPr>
        <w:ind w:left="540" w:right="620" w:hanging="532"/>
        <w:spacing w:after="0" w:line="193" w:lineRule="auto"/>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the aggregate grant date fair value of option awards granted in 2016 measured using the Black Scholes model. For a description of the assumptions used in valuing these awards, see note 18 to our Annual Consolidated Financial Statements included elsewhere in this prospectus.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National Insurance and health benefits payments and pension contributions made by us.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Mr. Morgan began his employment with us on September 26, 2016.</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National Insurance and pension contributions made by us.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health benefits payments made by us.</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National Insurance payments made by us.</w:t>
      </w:r>
    </w:p>
    <w:p>
      <w:pPr>
        <w:spacing w:after="0" w:line="151" w:lineRule="exact"/>
        <w:rPr>
          <w:rFonts w:ascii="Arial" w:cs="Arial" w:eastAsia="Arial" w:hAnsi="Arial"/>
          <w:sz w:val="22"/>
          <w:szCs w:val="22"/>
          <w:color w:val="auto"/>
          <w:vertAlign w:val="superscript"/>
        </w:rPr>
      </w:pPr>
    </w:p>
    <w:p>
      <w:pPr>
        <w:ind w:left="540" w:right="60" w:hanging="532"/>
        <w:spacing w:after="0" w:line="207" w:lineRule="auto"/>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Amount shown represents National Insurance payments made by us (from start of her employment an October 1, 2016) and consulting fees earned by Ms. Poll in 2016 for corporate managerial services provided to us as a consultant. These fees were paid in accordance with the letter agreement that we entered into with Ms. Poll on September 21, 2015, which is further described below in the section entitled "— Executive Officer Employment Agreements — Claire Poll."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Employment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Jan-Anders Karlsson, Ph.D.</w:t>
      </w:r>
    </w:p>
    <w:p>
      <w:pPr>
        <w:spacing w:after="0" w:line="2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entered into an employment agreement with Dr. Karlsson on April 30, 2012, which was subsequently amended on January 26, 2015 and August 2, 2016. This agreement, as amended, entitles Dr. Karlsson to receive an annual base salary of £250,000, or such higher rate as may be agreed in writing, and a target annual bonus opportunity of 66% of his annual base salary (potentially extending to up to 132%), with the amount of any such bonus based on annual performance criteria to be agreed between us and Dr. Karlsson. By June 1, 2017, Dr. Karlsson is required to invest an amount equal to £130,000 in our company through the purchase of our ordinary shares. Dr. Karlsson is also entitled to participate in a workplace pension scheme that we contribute to on his behalf. See "— Pension, Retirement or Similar Benefits" below.</w:t>
      </w:r>
    </w:p>
    <w:p>
      <w:pPr>
        <w:spacing w:after="0" w:line="21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Either party may terminate the employment agreement by giving the other party not less than 12 months' written notice, provided that we may terminate Dr. Karlsson at any time with immediate effect for cause or by giving written notice to Dr. Karlsson that we shall pay, in lieu of notice, his basic salary during the 12 months following termination, a pro-rated full discretionary bonus and any other contractual benefits prevailing at the time when such notice is given. The employment agreement provides that, upon a change of control, Dr. Karlsson is entitled to receive his full discretionary bonus (without an obligation to purchase ordinary shares) and full accelerated vesting of any outstanding, unvested equity awards under our share and share option schemes. See "— Equity Compensation Arrangements" below. Dr. Karlsson's employment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agreement also contains restrictive covenants pursuant to which he has agreed to refrain from competing with us or soliciting our customers or prospective customers for a period of six months following his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Kenneth Newman, M.D.</w:t>
      </w:r>
    </w:p>
    <w:p>
      <w:pPr>
        <w:spacing w:after="0" w:line="2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entered into an offer letter with Dr. Newman on December 15, 2014 pursuant to which he agreed to serve as our Chief Medical Officer, effective January 1, 2015. This agreement entitles Dr. Newman to receive an annual base salary of $340,000 and a target annual bonus opportunity of 40% of his annual base salary, with the amount of any such bonus based on performance criteria for our company and his individual performance, as determined by the board of directors in its sole discretion. Dr. Newman's offer letter also entitled him to receive a stock option to purchase 250,000 of our ordinary shares, which vests in full upon the earlier of (a) the third anniversary of the grant date or (b) a change of control. The offer letter with Dr. Newman also provides that, for so long as Dr. Newman is eligible for medical continuation coverage under the Consolidated Omnibus Budget Reconciliation Act, or COBRA, from his previous employer or until we establish a health insurance plan in which he is eligible to participate, Dr. Newman will receive reimbursement for monthly premiums paid for such medical continuation coverage and reimbursement for any premiums he pays for private long-term disability insurance (up to $800 per month).</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Dr. Newman's employment is terminated by us without "Cause" or by Dr. Newman for "Good Reason" (as each such term is defined in his offer agreement), then, subject to his signing and not revoking a general release of claims, he is entitled to receive (i) six months of base salary continuation, (ii) six months of continued payment of premiums for continued medical coverage under COBRA, (iii) a pro-rated portion of the annual bonus that he otherwise would have earned in the year of termination based on actual performance in such year and (iv) if the date of termination occurs within the six-month period immediately preceding the third anniversary of the date of grant of the stock option to purchase 250,000 of our ordinary shares, such stock option will vest in full. The offer agreement also provides that, if Dr. Newman's employment is terminated by us without Cause or by Dr. Newman for Good Reason, in either case within 12 months following a change of control, then, subject to his signing and not revoking a general release of claims, he is entitled to receive (i) nine months of base salary continuation, (ii) nine months of continued payment of premiums for continued medical coverage under COBRA, and (iii) a pro-rated portion of the annual bonus that he would otherwise have earned in the year of termination based on actual performance in such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Piers Morgan</w:t>
      </w:r>
    </w:p>
    <w:p>
      <w:pPr>
        <w:spacing w:after="0" w:line="23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We entered into an employment agreement with Mr. Morgan on September 24, 2016 pursuant to which he agreed to serve as our Chief Financial Officer. This agreement entitles Mr. Morgan to receive an annual base salary of £200,000, or such higher rate as may be agreed in writing, and a target annual bonus opportunity of 35% (potentially extending to up to 50%) of his salary, with the amount of any such bonus based on performance criteria for our company and his individual performance, as determined by our board of directors in its sole discretion. Within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12 months after receiving any such bonus payment, Mr. Morgan is expected to invest an amount equal to 25% of the bonus (net of income tax paid by Mr. Morgan) in our company through the purchase of our ordinary shares. Pursuant to this agreement, on September 16, 2016, Mr. Morgan received an option to purchase 300,000 of our ordinary shares with an exercise price of £2.04 per ordinary share, which vests in equal proportions on the first, second and third anniversary of the grant date of September 26, 2016.</w:t>
      </w:r>
    </w:p>
    <w:p>
      <w:pPr>
        <w:spacing w:after="0" w:line="209"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Mr. Morgan at any time with immediate effect for cause or by giving written notice to Mr. Morgan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Mr. Morgan is entitled to receive his full discretionary bonus (without an obligation to purchase ordinary shares) and full accelerated vesting of any outstanding, unvested equity awards under our share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80"/>
        <w:spacing w:after="0" w:line="299" w:lineRule="auto"/>
        <w:rPr>
          <w:sz w:val="20"/>
          <w:szCs w:val="20"/>
          <w:color w:val="auto"/>
        </w:rPr>
      </w:pPr>
      <w:r>
        <w:rPr>
          <w:rFonts w:ascii="Arial" w:cs="Arial" w:eastAsia="Arial" w:hAnsi="Arial"/>
          <w:sz w:val="16"/>
          <w:szCs w:val="16"/>
          <w:color w:val="auto"/>
        </w:rPr>
        <w:t>and share option schemes. Mr. Morgan's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Spargo, Ph.D.</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entered into an employment agreement with Dr. Spargo on April 1, 2014, which was subsequently amended on July 20, 2016 and October 1, 2016. Pursuant to this agreement, Dr. Spargo agreed to serve as our Senior Vice President, Chemistry Manufacturing and Controls, effective April 1, 2014. This agreement, as amended, entitles Dr. Spargo to receive an annual base salary of £154,570 and a target annual bonus opportunity of up to 35% of his annual base salary, with the amount of any such bonus based primarily on annual performance criteria to be agreed between us and Dr. Spargo.</w:t>
      </w:r>
    </w:p>
    <w:p>
      <w:pPr>
        <w:spacing w:after="0" w:line="21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Dr. Spargo at any time with immediate effect for cause or by giving written notice to Dr. Spargo that we shall pay, in lieu of notice, his basic salary during the six months following termination, a pro-rated full discretionary bonus and any other contractual benefits prevailing at the time when such notice is given. The employment agreement provides that, upon a change of control, Dr. Spargo is entitled to receive his full discretionary bonus and full accelerated vesting of any outstanding, unvested equity awards under our share and share option schemes. If payments to Dr. Spargo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Dr. Spargo's receipt, on an after-tax basis, of the greater amount of the payment. Dr. Spargo's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Claire Poll</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entered into an agreement for consulting services with Ms. Poll on March 28, 2007, or the Poll Consulting Agreement, pursuant to which Ms. Poll provided corporate managerial services to us. We also entered into an agreement for director services with Ms. Poll on March 28, 2007 pursuant to which Ms. Poll served on our board of directors or the Poll Director Services Agreement. Pursuant to a letter agreement that we entered into with Ms. Poll on September 21, 2015, Ms. Poll retired from our board of directors and the Poll Director Services Agreement was terminated, effective September 10, 2015. The letter agreement further provided that an annual aggregate remuneration of £70,000 payable under both the Poll Consulting Agreement and Poll Director Services Agreement would be paid under the Poll Consulting Agreement.</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entered into an employment agreement with Ms. Poll on October 1, 2016 pursuant to which Ms. Poll agreed to serve as our Legal Counsel. This agreement entitles Ms. Poll to receive an annual base salary of £140,000, or such higher rate as may be agreed in writing, and a target annual bonus opportunity of 35% of her annual base salary, with the amount of any such bonus based primarily on annual performance criteria to be agreed to between us and Ms. Poll. Pursuant to this agreement, on September 13, 2016, Ms. Poll received an option to purchase a total of 200,000 of our ordinary shares with an exercise price of £1.89 per ordinary share, which vests in equal proportions on the first three anniversaries of the date of grant.</w:t>
      </w:r>
    </w:p>
    <w:p>
      <w:pPr>
        <w:spacing w:after="0" w:line="21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Either party may terminate the employment agreement by giving the other party not less than six months' written notice, provided that we may terminate Ms. Poll at any time with immediate effect for cause or by giving written notice to Ms. Poll that we shall pay, in lieu of notice, her basic salary during the six months following termination, a pro-rated full discretionary bonus and any other contractual benefits prevailing at the time when such notice is given. The employment agreement provides that, upon a change of control,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Ms. Poll is entitled to receive her full discretionary bonus and full accelerated vesting of any outstanding, unvested equity awards under our share and share option schemes. If payments to Ms. Poll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w:t>
      </w:r>
    </w:p>
    <w:p>
      <w:pPr>
        <w:spacing w:after="0" w:line="1" w:lineRule="exact"/>
        <w:rPr>
          <w:sz w:val="20"/>
          <w:szCs w:val="20"/>
          <w:color w:val="auto"/>
        </w:rPr>
      </w:pPr>
    </w:p>
    <w:p>
      <w:pPr>
        <w:ind w:right="440" w:firstLine="8"/>
        <w:spacing w:after="0" w:line="238" w:lineRule="auto"/>
        <w:tabs>
          <w:tab w:leader="none" w:pos="2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or (ii) would result in Ms. Poll's receipt, on an after-tax basis, of the greater amount of the payment. Ms. Poll's employment agreement also contains restrictive covenants pursuant to which she has agreed to refrain from competing with us or soliciting our customers or prospective customers for a period of six months following her termination of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Arrangements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issue option grants under two option schemes, the Unapproved Share Option Scheme, or the Unapproved Scheme, adopted by our board of directors on September 18, 2006, and the EMI Option Scheme, or the EMI Scheme, adopted by our board of directors on July 24, 2012. Discussions in this section regarding the Unapproved Scheme or the EMI Scheme that refer to our board of directors include any designated committee of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 Option Scheme</w:t>
      </w:r>
    </w:p>
    <w:p>
      <w:pPr>
        <w:spacing w:after="0" w:line="23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Under the EMI Scheme, eligible employees are granted tax-efficient options to purchase our ordinary shares. Options may be granted to eligible employees who are contracted to work for us or a qualifying subsidiary for at least 25 hours a week, or, if less than 25 hours a week, for at least 75% of their working time. The options granted under the EMI Scheme are exercisable at a price and in accordance with a vesting schedule determined by our board of directors at the time of grant and expire 10 years from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Share Option Scheme</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Unapproved Scheme, we grant non-tax-qualifying options to purchase our ordinary shares. Options may be granted to employees, directors or consultants to acquire our ordinary shares at a price determined by our board of directors. In general, the options granted under the Unapproved Scheme are exercisable at a price and in accordance with the vesting period determined by our board of directors at the date of grant and expire 10 years from the date of grant.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EMI Scheme and the Unapproved Scheme, if certain changes are made in, or events occur with respect to, our ordinary shares (including any capitalization, sub-division, reduction or other variation of our ordinary shares), any outstanding awards may be adjusted in terms of the number of ordinary shares subject to an option and the exercise price as our board of directors may determine appropriate on a fair and reasonable basis. In the event of certain corporate transactions, including a change of control, scheme of arrangement, merger, demerger or liquidation, the vesting and exercisability of all options will accelerate and, to the extent not exercised, will lapse within certain time periods defined in the applicable plan rules.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may at any time amend the rules of the EMI Scheme or the Unapproved Scheme in any manner, except that no amendment may be made if, in the reasonable opinion of our board of directors, it would materially abrogate or adversely affect the subsisting rights of an option holder regarding existing options, unless the amendment is made either (i) with the written consent of the number of option holders that hold options to acquire 50% of the ordinary shares that would be delivered if all options granted and subsisting under the scheme, as applicable, were exercised; or (ii) by a resolution at a meeting of option holders passed by not less than 50% of the option holders holding options under the scheme, as applicable, who attend and vote either in person or by proxy. The EMI Scheme and the Unapproved Scheme are discretionary and may be suspended or terminated by us at any time. Suspension or termination will not affect any options granted under the schemes to the extent that they are subsisting at the date of the suspension or termination.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 following table summarizes the options that we granted to our directors and executive officers under the EMI Scheme and Unapproved Scheme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840" w:type="dxa"/>
            <w:vAlign w:val="bottom"/>
          </w:tcPr>
          <w:p>
            <w:pPr>
              <w:jc w:val="right"/>
              <w:ind w:right="654"/>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2940" w:type="dxa"/>
            <w:vAlign w:val="bottom"/>
            <w:gridSpan w:val="6"/>
          </w:tcPr>
          <w:p>
            <w:pPr>
              <w:jc w:val="center"/>
              <w:ind w:right="1100"/>
              <w:spacing w:after="0"/>
              <w:rPr>
                <w:sz w:val="20"/>
                <w:szCs w:val="20"/>
                <w:color w:val="auto"/>
              </w:rPr>
            </w:pPr>
            <w:r>
              <w:rPr>
                <w:rFonts w:ascii="Arial" w:cs="Arial" w:eastAsia="Arial" w:hAnsi="Arial"/>
                <w:sz w:val="14"/>
                <w:szCs w:val="14"/>
                <w:b w:val="1"/>
                <w:bCs w:val="1"/>
                <w:color w:val="auto"/>
              </w:rPr>
              <w:t>Expiration</w:t>
            </w:r>
          </w:p>
        </w:tc>
      </w:tr>
      <w:tr>
        <w:trPr>
          <w:trHeight w:val="175"/>
        </w:trPr>
        <w:tc>
          <w:tcPr>
            <w:tcW w:w="44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88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840" w:type="dxa"/>
            <w:vAlign w:val="bottom"/>
          </w:tcPr>
          <w:p>
            <w:pPr>
              <w:jc w:val="right"/>
              <w:ind w:right="674"/>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2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rPr>
              <w:t>Date</w:t>
            </w: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Jan-Anders Karlsson, Ph.D., M.D.</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February 9, 2016</w:t>
            </w:r>
          </w:p>
        </w:tc>
        <w:tc>
          <w:tcPr>
            <w:tcW w:w="16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February 9, 2026</w:t>
            </w:r>
          </w:p>
        </w:tc>
        <w:tc>
          <w:tcPr>
            <w:tcW w:w="10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February 9, 2016</w:t>
            </w:r>
          </w:p>
        </w:tc>
        <w:tc>
          <w:tcPr>
            <w:tcW w:w="160" w:type="dxa"/>
            <w:vAlign w:val="bottom"/>
          </w:tcPr>
          <w:p>
            <w:pPr>
              <w:spacing w:after="0"/>
              <w:rPr>
                <w:sz w:val="18"/>
                <w:szCs w:val="18"/>
                <w:color w:val="auto"/>
              </w:rPr>
            </w:pPr>
          </w:p>
        </w:tc>
        <w:tc>
          <w:tcPr>
            <w:tcW w:w="2940" w:type="dxa"/>
            <w:vAlign w:val="bottom"/>
            <w:gridSpan w:val="6"/>
          </w:tcPr>
          <w:p>
            <w:pPr>
              <w:jc w:val="right"/>
              <w:ind w:right="1100"/>
              <w:spacing w:after="0"/>
              <w:rPr>
                <w:sz w:val="20"/>
                <w:szCs w:val="20"/>
                <w:color w:val="auto"/>
              </w:rPr>
            </w:pPr>
            <w:r>
              <w:rPr>
                <w:rFonts w:ascii="Arial" w:cs="Arial" w:eastAsia="Arial" w:hAnsi="Arial"/>
                <w:sz w:val="18"/>
                <w:szCs w:val="18"/>
                <w:color w:val="auto"/>
              </w:rPr>
              <w:t>February 9, 2026</w:t>
            </w:r>
          </w:p>
        </w:tc>
      </w:tr>
      <w:tr>
        <w:trPr>
          <w:trHeight w:val="216"/>
        </w:trPr>
        <w:tc>
          <w:tcPr>
            <w:tcW w:w="11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August 3, 2016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August 3, 2026</w:t>
            </w:r>
          </w:p>
        </w:tc>
        <w:tc>
          <w:tcPr>
            <w:tcW w:w="1080" w:type="dxa"/>
            <w:vAlign w:val="bottom"/>
          </w:tcPr>
          <w:p>
            <w:pPr>
              <w:spacing w:after="0"/>
              <w:rPr>
                <w:sz w:val="18"/>
                <w:szCs w:val="18"/>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Piers Morgan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2.04</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September 26, 2016</w:t>
            </w:r>
          </w:p>
        </w:tc>
        <w:tc>
          <w:tcPr>
            <w:tcW w:w="160" w:type="dxa"/>
            <w:vAlign w:val="bottom"/>
          </w:tcPr>
          <w:p>
            <w:pPr>
              <w:spacing w:after="0"/>
              <w:rPr>
                <w:sz w:val="17"/>
                <w:szCs w:val="17"/>
                <w:color w:val="auto"/>
              </w:rPr>
            </w:pPr>
          </w:p>
        </w:tc>
        <w:tc>
          <w:tcPr>
            <w:tcW w:w="2940" w:type="dxa"/>
            <w:vAlign w:val="bottom"/>
            <w:gridSpan w:val="6"/>
          </w:tcPr>
          <w:p>
            <w:pPr>
              <w:jc w:val="right"/>
              <w:ind w:right="1100"/>
              <w:spacing w:after="0" w:line="202" w:lineRule="exact"/>
              <w:rPr>
                <w:sz w:val="20"/>
                <w:szCs w:val="20"/>
                <w:color w:val="auto"/>
              </w:rPr>
            </w:pPr>
            <w:r>
              <w:rPr>
                <w:rFonts w:ascii="Arial" w:cs="Arial" w:eastAsia="Arial" w:hAnsi="Arial"/>
                <w:sz w:val="18"/>
                <w:szCs w:val="18"/>
                <w:color w:val="auto"/>
              </w:rPr>
              <w:t>September 26, 2026</w:t>
            </w: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Newman, M.D.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February 9, 2016</w:t>
            </w:r>
          </w:p>
        </w:tc>
        <w:tc>
          <w:tcPr>
            <w:tcW w:w="16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February 9, 2026</w:t>
            </w:r>
          </w:p>
        </w:tc>
        <w:tc>
          <w:tcPr>
            <w:tcW w:w="10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August 3,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gridSpan w:val="5"/>
          </w:tcPr>
          <w:p>
            <w:pPr>
              <w:jc w:val="right"/>
              <w:ind w:right="1100"/>
              <w:spacing w:after="0"/>
              <w:rPr>
                <w:sz w:val="20"/>
                <w:szCs w:val="20"/>
                <w:color w:val="auto"/>
              </w:rPr>
            </w:pPr>
            <w:r>
              <w:rPr>
                <w:rFonts w:ascii="Arial" w:cs="Arial" w:eastAsia="Arial" w:hAnsi="Arial"/>
                <w:sz w:val="18"/>
                <w:szCs w:val="18"/>
                <w:color w:val="auto"/>
                <w:w w:val="99"/>
              </w:rPr>
              <w:t>August 3, 2026</w:t>
            </w: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Spargo, Ph.D.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February 9, 2016</w:t>
            </w:r>
          </w:p>
        </w:tc>
        <w:tc>
          <w:tcPr>
            <w:tcW w:w="16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February 9, 2026</w:t>
            </w:r>
          </w:p>
        </w:tc>
        <w:tc>
          <w:tcPr>
            <w:tcW w:w="10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August 3,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gridSpan w:val="5"/>
          </w:tcPr>
          <w:p>
            <w:pPr>
              <w:jc w:val="right"/>
              <w:ind w:right="1100"/>
              <w:spacing w:after="0"/>
              <w:rPr>
                <w:sz w:val="20"/>
                <w:szCs w:val="20"/>
                <w:color w:val="auto"/>
              </w:rPr>
            </w:pPr>
            <w:r>
              <w:rPr>
                <w:rFonts w:ascii="Arial" w:cs="Arial" w:eastAsia="Arial" w:hAnsi="Arial"/>
                <w:sz w:val="18"/>
                <w:szCs w:val="18"/>
                <w:color w:val="auto"/>
                <w:w w:val="99"/>
              </w:rPr>
              <w:t>August 3, 2026</w:t>
            </w: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Claire Poll</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September 13, 2016</w:t>
            </w:r>
          </w:p>
        </w:tc>
        <w:tc>
          <w:tcPr>
            <w:tcW w:w="16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September 13, 2026</w:t>
            </w:r>
          </w:p>
        </w:tc>
        <w:tc>
          <w:tcPr>
            <w:tcW w:w="1080" w:type="dxa"/>
            <w:vAlign w:val="bottom"/>
          </w:tcPr>
          <w:p>
            <w:pPr>
              <w:spacing w:after="0"/>
              <w:rPr>
                <w:sz w:val="17"/>
                <w:szCs w:val="17"/>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Patrick Humphrey</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Ebsworth</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Anders Ullman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 Cunningham</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Rishi Gupta</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Mahendra Shah</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Vikas Sinha</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3"/>
          </w:tcPr>
          <w:p>
            <w:pPr>
              <w:jc w:val="right"/>
              <w:ind w:right="1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Sinclair</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Non-Employee Directors Remuneration</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9"/>
        </w:trPr>
        <w:tc>
          <w:tcPr>
            <w:tcW w:w="8340" w:type="dxa"/>
            <w:vAlign w:val="bottom"/>
            <w:gridSpan w:val="8"/>
          </w:tcPr>
          <w:p>
            <w:pPr>
              <w:spacing w:after="0"/>
              <w:rPr>
                <w:sz w:val="20"/>
                <w:szCs w:val="20"/>
                <w:color w:val="auto"/>
              </w:rPr>
            </w:pPr>
            <w:r>
              <w:rPr>
                <w:rFonts w:ascii="Arial" w:cs="Arial" w:eastAsia="Arial" w:hAnsi="Arial"/>
                <w:sz w:val="18"/>
                <w:szCs w:val="18"/>
                <w:color w:val="auto"/>
              </w:rPr>
              <w:t>The following table sets forth the remuneration paid during 2016 to our current non-employee directors: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5"/>
        </w:trPr>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0"/>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116"/>
              <w:spacing w:after="0"/>
              <w:rPr>
                <w:sz w:val="20"/>
                <w:szCs w:val="20"/>
                <w:color w:val="auto"/>
              </w:rPr>
            </w:pPr>
            <w:r>
              <w:rPr>
                <w:rFonts w:ascii="Arial" w:cs="Arial" w:eastAsia="Arial" w:hAnsi="Arial"/>
                <w:sz w:val="14"/>
                <w:szCs w:val="14"/>
                <w:b w:val="1"/>
                <w:bCs w:val="1"/>
                <w:color w:val="auto"/>
              </w:rPr>
              <w:t>Fees</w:t>
            </w:r>
          </w:p>
        </w:tc>
        <w:tc>
          <w:tcPr>
            <w:tcW w:w="220" w:type="dxa"/>
            <w:vAlign w:val="bottom"/>
          </w:tcPr>
          <w:p>
            <w:pPr>
              <w:spacing w:after="0"/>
              <w:rPr>
                <w:sz w:val="14"/>
                <w:szCs w:val="14"/>
                <w:color w:val="auto"/>
              </w:rPr>
            </w:pPr>
          </w:p>
        </w:tc>
        <w:tc>
          <w:tcPr>
            <w:tcW w:w="2100" w:type="dxa"/>
            <w:vAlign w:val="bottom"/>
            <w:gridSpan w:val="4"/>
          </w:tcPr>
          <w:p>
            <w:pPr>
              <w:ind w:left="220"/>
              <w:spacing w:after="0"/>
              <w:rPr>
                <w:sz w:val="20"/>
                <w:szCs w:val="20"/>
                <w:color w:val="auto"/>
              </w:rPr>
            </w:pPr>
            <w:r>
              <w:rPr>
                <w:rFonts w:ascii="Arial" w:cs="Arial" w:eastAsia="Arial" w:hAnsi="Arial"/>
                <w:sz w:val="14"/>
                <w:szCs w:val="14"/>
                <w:b w:val="1"/>
                <w:bCs w:val="1"/>
                <w:color w:val="auto"/>
              </w:rPr>
              <w:t>Total</w:t>
            </w:r>
          </w:p>
        </w:tc>
      </w:tr>
      <w:tr>
        <w:trPr>
          <w:trHeight w:val="175"/>
        </w:trPr>
        <w:tc>
          <w:tcPr>
            <w:tcW w:w="44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Patrick Humphrey</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David Ebsworth</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124,000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Anders Ullman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Ken Cunningham</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Rishi Gupta</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12,500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4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Mahendra Shah</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Vikas Sinha</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9,083</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9,083</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4"/>
        </w:trPr>
        <w:tc>
          <w:tcPr>
            <w:tcW w:w="4420" w:type="dxa"/>
            <w:vAlign w:val="bottom"/>
            <w:gridSpan w:val="3"/>
          </w:tcPr>
          <w:p>
            <w:pPr>
              <w:ind w:left="1140"/>
              <w:spacing w:after="0"/>
              <w:rPr>
                <w:sz w:val="20"/>
                <w:szCs w:val="20"/>
                <w:color w:val="auto"/>
              </w:rPr>
            </w:pPr>
            <w:r>
              <w:rPr>
                <w:rFonts w:ascii="Arial" w:cs="Arial" w:eastAsia="Arial" w:hAnsi="Arial"/>
                <w:sz w:val="18"/>
                <w:szCs w:val="18"/>
                <w:color w:val="auto"/>
              </w:rPr>
              <w:t>Andrew Sinclair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remuneration of the non-executive directors is determined by our board as a whole, based on a review of current practices in other companies.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service contracts with our directors for their services, which are subject to a three-month termination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234" w:lineRule="exact"/>
        <w:rPr>
          <w:sz w:val="20"/>
          <w:szCs w:val="20"/>
          <w:color w:val="auto"/>
        </w:rPr>
      </w:pPr>
    </w:p>
    <w:p>
      <w:pPr>
        <w:ind w:right="160" w:firstLine="244"/>
        <w:spacing w:after="0" w:line="239" w:lineRule="auto"/>
        <w:rPr>
          <w:sz w:val="20"/>
          <w:szCs w:val="20"/>
          <w:color w:val="auto"/>
        </w:rPr>
      </w:pPr>
      <w:r>
        <w:rPr>
          <w:rFonts w:ascii="Arial" w:cs="Arial" w:eastAsia="Arial" w:hAnsi="Arial"/>
          <w:sz w:val="18"/>
          <w:szCs w:val="18"/>
          <w:color w:val="auto"/>
        </w:rPr>
        <w:t>We operate a defined contribution pension scheme which is available to all employees. The total amount set aside or accrued by us to provide pension, retirement or similar benefits to our current directors and our</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executive officers with respect to 2016 was £16,417, which represents contributions made by us in 2016 in respect of a defined contribution scheme in which Dr. Karlsson and Mr. Morgan participated.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of December 31, 2016, 2015 and 2014, we had 11, nine and seven employees, respectively. All of our employees were based in the United Kingdom, except that, as of December 31, 2016, 2015 and 2014, we had one to four employees based outside of the United Kingdom. All of our employees were engaged in either administrative or research &amp; development functions. None of our employees are covered by a collective bargaining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Indemnification</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such indemnification, we provide our directors and executive officers with directors' and officers' liability insurance.</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 February 15, 2017 by:</w:t>
      </w:r>
    </w:p>
    <w:p>
      <w:pPr>
        <w:spacing w:after="0" w:line="8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each person, or group of affiliated persons, that beneficially owns 3% or more of our outstanding ordinary shares;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each member of our board of directors and each of our other executive officers;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all board members and executive officers as a group.</w:t>
      </w:r>
    </w:p>
    <w:p>
      <w:pPr>
        <w:spacing w:after="0" w:line="20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February 15, 2017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210" w:lineRule="exact"/>
        <w:rPr>
          <w:sz w:val="20"/>
          <w:szCs w:val="20"/>
          <w:color w:val="auto"/>
        </w:rPr>
      </w:pPr>
    </w:p>
    <w:p>
      <w:pPr>
        <w:ind w:right="620"/>
        <w:spacing w:after="0" w:line="264" w:lineRule="auto"/>
        <w:rPr>
          <w:sz w:val="20"/>
          <w:szCs w:val="20"/>
          <w:color w:val="auto"/>
        </w:rPr>
      </w:pPr>
      <w:r>
        <w:rPr>
          <w:rFonts w:ascii="Arial" w:cs="Arial" w:eastAsia="Arial" w:hAnsi="Arial"/>
          <w:sz w:val="16"/>
          <w:szCs w:val="16"/>
          <w:color w:val="auto"/>
        </w:rPr>
        <w:t>The percentage of ordinary shares beneficially owned before the offering is computed on the basis of 51,361,064 of our ordinary shares outstanding as of February 15, 2017. The percentage of ordinary shares beneficially owned after the offering is based on the number of our</w:t>
      </w:r>
    </w:p>
    <w:p>
      <w:pPr>
        <w:spacing w:after="0" w:line="236" w:lineRule="auto"/>
        <w:rPr>
          <w:sz w:val="20"/>
          <w:szCs w:val="20"/>
          <w:color w:val="auto"/>
        </w:rPr>
      </w:pPr>
      <w:r>
        <w:rPr>
          <w:rFonts w:ascii="Arial" w:cs="Arial" w:eastAsia="Arial" w:hAnsi="Arial"/>
          <w:sz w:val="18"/>
          <w:szCs w:val="18"/>
          <w:color w:val="auto"/>
        </w:rPr>
        <w:t>ordinary shares outstanding before the offering as provided above plus ordinary shares represented by the ADSs that we are offering hereby, and assuming no exercise of the underwriters' option to purchase additional ADSs from us. Ordinary shares that a person has the right to acquire within 60 days of February 15, 2017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We have included in these calculations ordinary shares which are subject to outstanding warrants that become exercisable upon the closing of this offering. As of February 15, 2017, 1,696,191 ordinary shares, representing 3.30% of our issued and outstanding ordinary shares, were held by three U.S. record holders. Unless otherwise indicated below, the address for each beneficial owner listed is c/o Verona Pharma plc, 3 More London Riverside, London SE1 2RE UK.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370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3700" w:type="dxa"/>
            <w:vAlign w:val="bottom"/>
            <w:gridSpan w:val="5"/>
            <w:vMerge w:val="restart"/>
          </w:tcPr>
          <w:p>
            <w:pPr>
              <w:jc w:val="center"/>
              <w:ind w:right="13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Shares Beneficially Owned</w:t>
            </w:r>
          </w:p>
        </w:tc>
        <w:tc>
          <w:tcPr>
            <w:tcW w:w="37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1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6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address of beneficial owner</w:t>
            </w: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Before Offering</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Before Offering</w:t>
            </w:r>
          </w:p>
        </w:tc>
        <w:tc>
          <w:tcPr>
            <w:tcW w:w="23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3% or Greater Shareholders:</w:t>
            </w:r>
          </w:p>
        </w:tc>
        <w:tc>
          <w:tcPr>
            <w:tcW w:w="184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Novo A/S</w:t>
            </w:r>
            <w:r>
              <w:rPr>
                <w:rFonts w:ascii="Arial" w:cs="Arial" w:eastAsia="Arial" w:hAnsi="Arial"/>
                <w:sz w:val="28"/>
                <w:szCs w:val="28"/>
                <w:color w:val="auto"/>
                <w:vertAlign w:val="superscript"/>
              </w:rPr>
              <w:t>(1)</w:t>
            </w:r>
          </w:p>
        </w:tc>
        <w:tc>
          <w:tcPr>
            <w:tcW w:w="1960" w:type="dxa"/>
            <w:vAlign w:val="bottom"/>
          </w:tcPr>
          <w:p>
            <w:pPr>
              <w:jc w:val="right"/>
              <w:spacing w:after="0"/>
              <w:rPr>
                <w:sz w:val="20"/>
                <w:szCs w:val="20"/>
                <w:color w:val="auto"/>
              </w:rPr>
            </w:pPr>
            <w:r>
              <w:rPr>
                <w:rFonts w:ascii="Arial" w:cs="Arial" w:eastAsia="Arial" w:hAnsi="Arial"/>
                <w:sz w:val="18"/>
                <w:szCs w:val="18"/>
                <w:color w:val="auto"/>
              </w:rPr>
              <w:t>8,233,691</w:t>
            </w:r>
          </w:p>
        </w:tc>
        <w:tc>
          <w:tcPr>
            <w:tcW w:w="1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Vivo Capital affiliates</w:t>
            </w:r>
            <w:r>
              <w:rPr>
                <w:rFonts w:ascii="Arial" w:cs="Arial" w:eastAsia="Arial" w:hAnsi="Arial"/>
                <w:sz w:val="28"/>
                <w:szCs w:val="28"/>
                <w:color w:val="auto"/>
                <w:vertAlign w:val="superscript"/>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8,177,784</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OrbiMed Private Investments VI, LP</w:t>
            </w:r>
            <w:r>
              <w:rPr>
                <w:rFonts w:ascii="Arial" w:cs="Arial" w:eastAsia="Arial" w:hAnsi="Arial"/>
                <w:sz w:val="28"/>
                <w:szCs w:val="28"/>
                <w:color w:val="auto"/>
                <w:vertAlign w:val="superscript"/>
              </w:rPr>
              <w:t>(3)</w:t>
            </w:r>
          </w:p>
        </w:tc>
        <w:tc>
          <w:tcPr>
            <w:tcW w:w="1960" w:type="dxa"/>
            <w:vAlign w:val="bottom"/>
          </w:tcPr>
          <w:p>
            <w:pPr>
              <w:jc w:val="right"/>
              <w:spacing w:after="0"/>
              <w:rPr>
                <w:sz w:val="20"/>
                <w:szCs w:val="20"/>
                <w:color w:val="auto"/>
              </w:rPr>
            </w:pPr>
            <w:r>
              <w:rPr>
                <w:rFonts w:ascii="Arial" w:cs="Arial" w:eastAsia="Arial" w:hAnsi="Arial"/>
                <w:sz w:val="18"/>
                <w:szCs w:val="18"/>
                <w:color w:val="auto"/>
              </w:rPr>
              <w:t>6,537,785</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Growth Equity Opportunities Fund IV, LLC</w:t>
            </w:r>
            <w:r>
              <w:rPr>
                <w:rFonts w:ascii="Arial" w:cs="Arial" w:eastAsia="Arial" w:hAnsi="Arial"/>
                <w:sz w:val="28"/>
                <w:szCs w:val="28"/>
                <w:color w:val="auto"/>
                <w:vertAlign w:val="superscript"/>
              </w:rPr>
              <w:t>(4)</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6,193,691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Abingworth Bioventures VI, LP</w:t>
            </w:r>
            <w:r>
              <w:rPr>
                <w:rFonts w:ascii="Arial" w:cs="Arial" w:eastAsia="Arial" w:hAnsi="Arial"/>
                <w:sz w:val="28"/>
                <w:szCs w:val="28"/>
                <w:color w:val="auto"/>
                <w:vertAlign w:val="superscript"/>
              </w:rPr>
              <w:t>(5)</w:t>
            </w:r>
          </w:p>
        </w:tc>
        <w:tc>
          <w:tcPr>
            <w:tcW w:w="1960" w:type="dxa"/>
            <w:vAlign w:val="bottom"/>
          </w:tcPr>
          <w:p>
            <w:pPr>
              <w:jc w:val="right"/>
              <w:spacing w:after="0"/>
              <w:rPr>
                <w:sz w:val="20"/>
                <w:szCs w:val="20"/>
                <w:color w:val="auto"/>
              </w:rPr>
            </w:pPr>
            <w:r>
              <w:rPr>
                <w:rFonts w:ascii="Arial" w:cs="Arial" w:eastAsia="Arial" w:hAnsi="Arial"/>
                <w:sz w:val="18"/>
                <w:szCs w:val="18"/>
                <w:color w:val="auto"/>
              </w:rPr>
              <w:t>4,914,774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Arix Bioscience Holdings Ltd affiliates</w:t>
            </w:r>
            <w:r>
              <w:rPr>
                <w:rFonts w:ascii="Arial" w:cs="Arial" w:eastAsia="Arial" w:hAnsi="Arial"/>
                <w:sz w:val="28"/>
                <w:szCs w:val="28"/>
                <w:color w:val="auto"/>
                <w:vertAlign w:val="superscript"/>
              </w:rPr>
              <w:t>(6)</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3,916,493</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Aviva plc and subsidiaries</w:t>
            </w:r>
            <w:r>
              <w:rPr>
                <w:rFonts w:ascii="Arial" w:cs="Arial" w:eastAsia="Arial" w:hAnsi="Arial"/>
                <w:sz w:val="28"/>
                <w:szCs w:val="28"/>
                <w:color w:val="auto"/>
                <w:vertAlign w:val="superscript"/>
              </w:rPr>
              <w:t>(7)</w:t>
            </w:r>
          </w:p>
        </w:tc>
        <w:tc>
          <w:tcPr>
            <w:tcW w:w="1960" w:type="dxa"/>
            <w:vAlign w:val="bottom"/>
          </w:tcPr>
          <w:p>
            <w:pPr>
              <w:jc w:val="right"/>
              <w:spacing w:after="0"/>
              <w:rPr>
                <w:sz w:val="20"/>
                <w:szCs w:val="20"/>
                <w:color w:val="auto"/>
              </w:rPr>
            </w:pPr>
            <w:r>
              <w:rPr>
                <w:rFonts w:ascii="Arial" w:cs="Arial" w:eastAsia="Arial" w:hAnsi="Arial"/>
                <w:sz w:val="18"/>
                <w:szCs w:val="18"/>
                <w:color w:val="auto"/>
              </w:rPr>
              <w:t>3,620,851</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Biodiscovery 4 FCPI</w:t>
            </w:r>
            <w:r>
              <w:rPr>
                <w:rFonts w:ascii="Arial" w:cs="Arial" w:eastAsia="Arial" w:hAnsi="Arial"/>
                <w:sz w:val="28"/>
                <w:szCs w:val="28"/>
                <w:color w:val="auto"/>
                <w:vertAlign w:val="superscript"/>
              </w:rPr>
              <w:t>(8)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3,096,845</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Tekla Capital affiliates</w:t>
            </w:r>
            <w:r>
              <w:rPr>
                <w:rFonts w:ascii="Arial" w:cs="Arial" w:eastAsia="Arial" w:hAnsi="Arial"/>
                <w:sz w:val="28"/>
                <w:szCs w:val="28"/>
                <w:color w:val="auto"/>
                <w:vertAlign w:val="superscript"/>
              </w:rPr>
              <w:t>(9)</w:t>
            </w:r>
          </w:p>
        </w:tc>
        <w:tc>
          <w:tcPr>
            <w:tcW w:w="1960" w:type="dxa"/>
            <w:vAlign w:val="bottom"/>
          </w:tcPr>
          <w:p>
            <w:pPr>
              <w:jc w:val="right"/>
              <w:spacing w:after="0"/>
              <w:rPr>
                <w:sz w:val="20"/>
                <w:szCs w:val="20"/>
                <w:color w:val="auto"/>
              </w:rPr>
            </w:pPr>
            <w:r>
              <w:rPr>
                <w:rFonts w:ascii="Arial" w:cs="Arial" w:eastAsia="Arial" w:hAnsi="Arial"/>
                <w:sz w:val="18"/>
                <w:szCs w:val="18"/>
                <w:color w:val="auto"/>
              </w:rPr>
              <w:t>3,096,845</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Aisling Capital IV, LP</w:t>
            </w:r>
            <w:r>
              <w:rPr>
                <w:rFonts w:ascii="Arial" w:cs="Arial" w:eastAsia="Arial" w:hAnsi="Arial"/>
                <w:sz w:val="28"/>
                <w:szCs w:val="28"/>
                <w:color w:val="auto"/>
                <w:vertAlign w:val="superscript"/>
              </w:rPr>
              <w:t>(10)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2,064,563</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BBHISL Nominees Ltd. A/C 121624</w:t>
            </w:r>
            <w:r>
              <w:rPr>
                <w:rFonts w:ascii="Arial" w:cs="Arial" w:eastAsia="Arial" w:hAnsi="Arial"/>
                <w:sz w:val="28"/>
                <w:szCs w:val="28"/>
                <w:color w:val="auto"/>
                <w:vertAlign w:val="superscript"/>
              </w:rPr>
              <w:t>(11)</w:t>
            </w:r>
          </w:p>
        </w:tc>
        <w:tc>
          <w:tcPr>
            <w:tcW w:w="1960" w:type="dxa"/>
            <w:vAlign w:val="bottom"/>
          </w:tcPr>
          <w:p>
            <w:pPr>
              <w:jc w:val="right"/>
              <w:spacing w:after="0"/>
              <w:rPr>
                <w:sz w:val="20"/>
                <w:szCs w:val="20"/>
                <w:color w:val="auto"/>
              </w:rPr>
            </w:pPr>
            <w:r>
              <w:rPr>
                <w:rFonts w:ascii="Arial" w:cs="Arial" w:eastAsia="Arial" w:hAnsi="Arial"/>
                <w:sz w:val="18"/>
                <w:szCs w:val="18"/>
                <w:color w:val="auto"/>
              </w:rPr>
              <w:t>2,028,708</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44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HSBC Global Custody Nominee (UK) Ltd A/C:</w:t>
            </w: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160" w:type="dxa"/>
            <w:vAlign w:val="bottom"/>
          </w:tcPr>
          <w:p>
            <w:pPr>
              <w:spacing w:after="0"/>
              <w:rPr>
                <w:sz w:val="20"/>
                <w:szCs w:val="20"/>
                <w:color w:val="auto"/>
              </w:rPr>
            </w:pPr>
          </w:p>
        </w:tc>
        <w:tc>
          <w:tcPr>
            <w:tcW w:w="2620" w:type="dxa"/>
            <w:vAlign w:val="bottom"/>
            <w:shd w:val="clear" w:color="auto" w:fill="CCEEFF"/>
          </w:tcPr>
          <w:p>
            <w:pPr>
              <w:ind w:left="160"/>
              <w:spacing w:after="0" w:line="240" w:lineRule="exact"/>
              <w:rPr>
                <w:sz w:val="20"/>
                <w:szCs w:val="20"/>
                <w:color w:val="auto"/>
              </w:rPr>
            </w:pPr>
            <w:r>
              <w:rPr>
                <w:rFonts w:ascii="Arial" w:cs="Arial" w:eastAsia="Arial" w:hAnsi="Arial"/>
                <w:sz w:val="17"/>
                <w:szCs w:val="17"/>
                <w:color w:val="auto"/>
              </w:rPr>
              <w:t>944287</w:t>
            </w:r>
            <w:r>
              <w:rPr>
                <w:rFonts w:ascii="Arial" w:cs="Arial" w:eastAsia="Arial" w:hAnsi="Arial"/>
                <w:sz w:val="27"/>
                <w:szCs w:val="27"/>
                <w:color w:val="auto"/>
                <w:vertAlign w:val="superscript"/>
              </w:rPr>
              <w:t>(12)</w:t>
            </w:r>
          </w:p>
        </w:tc>
        <w:tc>
          <w:tcPr>
            <w:tcW w:w="184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1,739,276</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4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Executive Officers and Directors:</w:t>
            </w: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Jan-Anders Karlsson, Ph.D.</w:t>
            </w:r>
            <w:r>
              <w:rPr>
                <w:rFonts w:ascii="Arial" w:cs="Arial" w:eastAsia="Arial" w:hAnsi="Arial"/>
                <w:sz w:val="28"/>
                <w:szCs w:val="28"/>
                <w:color w:val="auto"/>
                <w:vertAlign w:val="superscript"/>
              </w:rPr>
              <w:t>(13)</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459,400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Piers Morgan</w:t>
            </w:r>
          </w:p>
        </w:tc>
        <w:tc>
          <w:tcPr>
            <w:tcW w:w="2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Kenneth Newman, M.D.</w:t>
            </w:r>
            <w:r>
              <w:rPr>
                <w:rFonts w:ascii="Arial" w:cs="Arial" w:eastAsia="Arial" w:hAnsi="Arial"/>
                <w:sz w:val="28"/>
                <w:szCs w:val="28"/>
                <w:color w:val="auto"/>
                <w:vertAlign w:val="superscript"/>
              </w:rPr>
              <w:t>(14)</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186,666</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Claire Poll</w:t>
            </w:r>
            <w:r>
              <w:rPr>
                <w:rFonts w:ascii="Arial" w:cs="Arial" w:eastAsia="Arial" w:hAnsi="Arial"/>
                <w:sz w:val="28"/>
                <w:szCs w:val="28"/>
                <w:color w:val="auto"/>
                <w:vertAlign w:val="superscript"/>
              </w:rPr>
              <w:t>(15)</w:t>
            </w:r>
          </w:p>
        </w:tc>
        <w:tc>
          <w:tcPr>
            <w:tcW w:w="1960" w:type="dxa"/>
            <w:vAlign w:val="bottom"/>
          </w:tcPr>
          <w:p>
            <w:pPr>
              <w:jc w:val="right"/>
              <w:spacing w:after="0"/>
              <w:rPr>
                <w:sz w:val="20"/>
                <w:szCs w:val="20"/>
                <w:color w:val="auto"/>
              </w:rPr>
            </w:pPr>
            <w:r>
              <w:rPr>
                <w:rFonts w:ascii="Arial" w:cs="Arial" w:eastAsia="Arial" w:hAnsi="Arial"/>
                <w:sz w:val="18"/>
                <w:szCs w:val="18"/>
                <w:color w:val="auto"/>
              </w:rPr>
              <w:t>161,666</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Peter Spargo, Ph. D.</w:t>
            </w:r>
            <w:r>
              <w:rPr>
                <w:rFonts w:ascii="Arial" w:cs="Arial" w:eastAsia="Arial" w:hAnsi="Arial"/>
                <w:sz w:val="28"/>
                <w:szCs w:val="28"/>
                <w:color w:val="auto"/>
                <w:vertAlign w:val="superscript"/>
              </w:rPr>
              <w:t>(16)</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Ken Cunningham, M.D.</w:t>
            </w:r>
          </w:p>
        </w:tc>
        <w:tc>
          <w:tcPr>
            <w:tcW w:w="2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David Ebsworth, Ph.D.</w:t>
            </w:r>
            <w:r>
              <w:rPr>
                <w:rFonts w:ascii="Arial" w:cs="Arial" w:eastAsia="Arial" w:hAnsi="Arial"/>
                <w:sz w:val="28"/>
                <w:szCs w:val="28"/>
                <w:color w:val="auto"/>
                <w:vertAlign w:val="superscript"/>
              </w:rPr>
              <w:t>(17)</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Rishi Gupta</w:t>
            </w:r>
          </w:p>
        </w:tc>
        <w:tc>
          <w:tcPr>
            <w:tcW w:w="2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Patrick Humphrey, D.Sc.</w:t>
            </w:r>
            <w:r>
              <w:rPr>
                <w:rFonts w:ascii="Arial" w:cs="Arial" w:eastAsia="Arial" w:hAnsi="Arial"/>
                <w:sz w:val="28"/>
                <w:szCs w:val="28"/>
                <w:color w:val="auto"/>
                <w:vertAlign w:val="superscript"/>
              </w:rPr>
              <w:t>(18)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Mahendrah Shah, Ph.D.</w:t>
            </w:r>
          </w:p>
        </w:tc>
        <w:tc>
          <w:tcPr>
            <w:tcW w:w="2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Andrew Sinclair, Ph.D.</w:t>
            </w:r>
            <w:r>
              <w:rPr>
                <w:rFonts w:ascii="Arial" w:cs="Arial" w:eastAsia="Arial" w:hAnsi="Arial"/>
                <w:sz w:val="28"/>
                <w:szCs w:val="28"/>
                <w:color w:val="auto"/>
                <w:vertAlign w:val="superscript"/>
              </w:rPr>
              <w:t>(19)</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Vikas Sinha</w:t>
            </w:r>
          </w:p>
        </w:tc>
        <w:tc>
          <w:tcPr>
            <w:tcW w:w="2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Anders Ullman, Ph.D.</w:t>
            </w:r>
          </w:p>
        </w:tc>
        <w:tc>
          <w:tcPr>
            <w:tcW w:w="2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All executive officers and directors as a group (13</w:t>
            </w: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persons)</w:t>
            </w:r>
          </w:p>
        </w:tc>
        <w:tc>
          <w:tcPr>
            <w:tcW w:w="1960" w:type="dxa"/>
            <w:vAlign w:val="bottom"/>
          </w:tcPr>
          <w:p>
            <w:pPr>
              <w:jc w:val="right"/>
              <w:spacing w:after="0"/>
              <w:rPr>
                <w:sz w:val="20"/>
                <w:szCs w:val="20"/>
                <w:color w:val="auto"/>
              </w:rPr>
            </w:pPr>
            <w:r>
              <w:rPr>
                <w:rFonts w:ascii="Arial" w:cs="Arial" w:eastAsia="Arial" w:hAnsi="Arial"/>
                <w:sz w:val="18"/>
                <w:szCs w:val="18"/>
                <w:color w:val="auto"/>
              </w:rPr>
              <w:t>996,931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ordinary shares.</w:t>
      </w:r>
    </w:p>
    <w:p>
      <w:pPr>
        <w:spacing w:after="0" w:line="163" w:lineRule="exact"/>
        <w:rPr>
          <w:sz w:val="20"/>
          <w:szCs w:val="20"/>
          <w:color w:val="auto"/>
        </w:rPr>
      </w:pPr>
    </w:p>
    <w:p>
      <w:pPr>
        <w:ind w:left="540" w:right="120" w:hanging="532"/>
        <w:spacing w:after="0" w:line="219"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Consists of (a) 6,464,065 ordinary shares held directly by Novo A/S, or Novo, and (b) warrants to purchase 1,769,626 ordinary shares that vest upon the closing of this offering held directly by Novo.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Beneficial ownership information is based on information known to us and a Form TR-1 provided to us on January 11, 2017. Novo's mailing address is Tuborg Havnevej 19, Hellerup, G7 2900, Denmark.</w:t>
      </w:r>
    </w:p>
    <w:p>
      <w:pPr>
        <w:spacing w:after="0" w:line="153" w:lineRule="exact"/>
        <w:rPr>
          <w:rFonts w:ascii="Arial" w:cs="Arial" w:eastAsia="Arial" w:hAnsi="Arial"/>
          <w:sz w:val="22"/>
          <w:szCs w:val="22"/>
          <w:color w:val="auto"/>
          <w:vertAlign w:val="superscript"/>
        </w:rPr>
      </w:pPr>
    </w:p>
    <w:p>
      <w:pPr>
        <w:ind w:left="540" w:right="40" w:hanging="532"/>
        <w:spacing w:after="0" w:line="202"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Consists of (a) 1,252,791 ordinary shares held directly by Vivo Ventures Fund VI, L.P., or Vivo VI, (b) warrants to purchase 370,871 ordinary shares that vest upon the closing of this offering held directly by Vivo VI, (c) 9,177 ordinary shares held directly by Vivo Ventures VI Affiliates Fund, L.P., or Vivo Affiliates VI, (d) warrants to purchase 2,717 ordinary shares that vest upon the closing of this offering held directly by Vivo Affiliates VI, (e) 4,940,206 ordinary shares held directly by Vivo Ventures Fund</w:t>
      </w:r>
    </w:p>
    <w:p>
      <w:pPr>
        <w:spacing w:after="0" w:line="2" w:lineRule="exact"/>
        <w:rPr>
          <w:rFonts w:ascii="Arial" w:cs="Arial" w:eastAsia="Arial" w:hAnsi="Arial"/>
          <w:sz w:val="22"/>
          <w:szCs w:val="22"/>
          <w:color w:val="auto"/>
          <w:vertAlign w:val="superscript"/>
        </w:rPr>
      </w:pPr>
    </w:p>
    <w:p>
      <w:pPr>
        <w:ind w:left="540" w:right="80"/>
        <w:spacing w:after="0" w:line="247" w:lineRule="auto"/>
        <w:rPr>
          <w:rFonts w:ascii="Arial" w:cs="Arial" w:eastAsia="Arial" w:hAnsi="Arial"/>
          <w:sz w:val="22"/>
          <w:szCs w:val="22"/>
          <w:color w:val="auto"/>
          <w:vertAlign w:val="superscript"/>
        </w:rPr>
      </w:pPr>
      <w:r>
        <w:rPr>
          <w:rFonts w:ascii="Arial" w:cs="Arial" w:eastAsia="Arial" w:hAnsi="Arial"/>
          <w:sz w:val="14"/>
          <w:szCs w:val="14"/>
          <w:color w:val="auto"/>
        </w:rPr>
        <w:t>VII L.P., or Vivo VII, (f) warrants to purchase 1,462,477 ordinary shares that vest upon the closing of this offering held directly by Vivo VII, (g) 107,671 ordinary shares held directly by Vivo Ventures VII Affiliates Fund, L.P., or Vivo Affiliates VII, and (h) warrants to purchase 31,874 ordinary shares that vest upon the closing of this offering held directly by Vivo Affiliates VII. Vivo Ventures VI, LLC , or Vivo Ventures VI, is the sole general partner of Vivo VI and Vivo Affiliates VI. Vivo Ventures VII, LLC, or Vivo Ventures VII, is the sole general partner of Vivo VII and Vivo Affiliates VII. Vivo Ventures VI</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540" w:right="20"/>
        <w:spacing w:after="0" w:line="244" w:lineRule="auto"/>
        <w:rPr>
          <w:sz w:val="20"/>
          <w:szCs w:val="20"/>
          <w:color w:val="auto"/>
        </w:rPr>
      </w:pPr>
      <w:r>
        <w:rPr>
          <w:rFonts w:ascii="Arial" w:cs="Arial" w:eastAsia="Arial" w:hAnsi="Arial"/>
          <w:sz w:val="14"/>
          <w:szCs w:val="14"/>
          <w:color w:val="auto"/>
        </w:rPr>
        <w:t>and Vivo Ventures VII disclaim beneficial ownership of all shares held by Vivo VI, Vivo Affiliates VI, Vivo VII and Vivo Affiliates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Vll are Drs. Albert Cha, Edgar Engleman, Frank Kung, Chen Yu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except to the extent of his pecuniary interest arising as a result of his employment by Vivo Capital. Beneficial ownership information is based on information known to us and Forms TR-1 provided to us on August 3, 2016. Vivo Capital's mailing address is 505 Hamilton Avenue, Suite 200, Palo Alto, CA 94301.</w:t>
      </w:r>
    </w:p>
    <w:p>
      <w:pPr>
        <w:spacing w:after="0" w:line="205" w:lineRule="exact"/>
        <w:rPr>
          <w:sz w:val="20"/>
          <w:szCs w:val="20"/>
          <w:color w:val="auto"/>
        </w:rPr>
      </w:pPr>
    </w:p>
    <w:p>
      <w:pPr>
        <w:ind w:left="540" w:hanging="532"/>
        <w:spacing w:after="0" w:line="230" w:lineRule="auto"/>
        <w:tabs>
          <w:tab w:leader="none" w:pos="5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Consists of (a) 4,669,846 ordinary shares held directly by OrbiMed Private Investments VI, LP, or OrbiMed VI, and (b) warrants to purchase 1,867,939 ordinary shares that vest upon the closing of this offering held directly by OrbiMed VI. OrbiMed Capital GP VI LLC, or GP VI, is the general partner of OrbiMed VI. OrbiMed Advisors LLC, or OrbiMed Advisors, is the managing member of GP VI. Samuel D. Isaly is the managing member of and owner of a controlling interest in OrbiMed Advisors. By virtue of such relationships, GP VI, OrbiMed Advisors and Mr. Isaly may be deemed to have voting and investment power with respect to the shares held by OrbiMed VI and as a result may be deemed to have beneficial ownership of such shares. Rishi Gupta, an employee of OrbiMed Advisors, is a member of our Board of Directors. Each of GP VI, OrbiMed Advisors, Mr. Isaly and Mr. Gupta disclaims beneficial ownership of the shares held by OrbiMed VI, except to the extent of its or his pecuniary interest therein, if any. Beneficial ownership information is based on information known to us and a Form TR-1 provided to us on August 1, 2016. OrbiMed Advisors' mailing address is 601 Lexington Avenue, 54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New York, NY 10022.</w:t>
      </w:r>
    </w:p>
    <w:p>
      <w:pPr>
        <w:spacing w:after="0" w:line="86" w:lineRule="exact"/>
        <w:rPr>
          <w:rFonts w:ascii="Arial" w:cs="Arial" w:eastAsia="Arial" w:hAnsi="Arial"/>
          <w:sz w:val="22"/>
          <w:szCs w:val="22"/>
          <w:color w:val="auto"/>
          <w:vertAlign w:val="superscript"/>
        </w:rPr>
      </w:pPr>
    </w:p>
    <w:p>
      <w:pPr>
        <w:ind w:left="540" w:right="20" w:hanging="532"/>
        <w:spacing w:after="0" w:line="227" w:lineRule="auto"/>
        <w:tabs>
          <w:tab w:leader="none" w:pos="5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Consists of (a) 4,424,065 ordinary shares held directly by Growth Equity Opportunities Fund IV, LLC, or GEO, and (b) warrants to purchase 1,769,626 ordinary shares that vest upon the closing of this offering held directly by GEO. New Enterprise Associates 15, L.P., or NEA 15, is the sole member of GEO. NEA Partners 15, L.P., NEA Partners 15, is the sole general partner of NEA 15. NEA 15 GP, LLC, or NEA 15 LLC, is the sole general partner of NEA Partners 15. Peter J. Barris, Forest Baskett, Anthony Florence, Jr., Krishnu Kolluri, David M. Mott, Scott D. Sandell, Peter Sonsini, Jon Sakoda, Ravia Viswanthan and Henry Weller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Beneficial ownership information is based on information known to us and a Form TR-1 provided to us on August 1, 2016. GEO's mailing address is 1954 Greenspring Drive, Suite 600, Timonium, MD 21093-4135.</w:t>
      </w:r>
    </w:p>
    <w:p>
      <w:pPr>
        <w:spacing w:after="0" w:line="153" w:lineRule="exact"/>
        <w:rPr>
          <w:rFonts w:ascii="Arial" w:cs="Arial" w:eastAsia="Arial" w:hAnsi="Arial"/>
          <w:sz w:val="22"/>
          <w:szCs w:val="22"/>
          <w:color w:val="auto"/>
          <w:vertAlign w:val="superscript"/>
        </w:rPr>
      </w:pPr>
    </w:p>
    <w:p>
      <w:pPr>
        <w:ind w:left="540" w:right="60" w:hanging="532"/>
        <w:spacing w:after="0" w:line="228" w:lineRule="auto"/>
        <w:tabs>
          <w:tab w:leader="none" w:pos="5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Consists of (a) 3,510,553 ordinary shares held directly by Abingworth Bioventures VI, LP, or Abingworth VI, and (b) warrants to purchase 1,404,221 ordinary shares that vest upon the closing of this offering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Stephen Bunting, Timothy Haines, Kurt von Emster and Genghis Lloyd-Harris approves investment and voting decisions of Abingworth VI by a majority vote, and no individual member has the sole control or voting power over the securities held by Abingworth VI. Abingworth GP VI, Abingworth General Partner VI, Abingworth LLP and each of Stephen Bunting, Timothy Haines, Kurt von Emster and Genghis Lloyd-Harris disclaim beneficial ownership of securities held by Abingworth VI, except to the extent, if any of their pecuniary interest therein. Beneficial ownership information is based on information known to us and a Form TR-1 provided to us on August 1, 2016. Abingworth VI's mailing address is 38 Jermyn Street, London SW1Y 6DN, United Kingdom.</w:t>
      </w:r>
    </w:p>
    <w:p>
      <w:pPr>
        <w:spacing w:after="0" w:line="156" w:lineRule="exact"/>
        <w:rPr>
          <w:rFonts w:ascii="Arial" w:cs="Arial" w:eastAsia="Arial" w:hAnsi="Arial"/>
          <w:sz w:val="22"/>
          <w:szCs w:val="22"/>
          <w:color w:val="auto"/>
          <w:vertAlign w:val="superscript"/>
        </w:rPr>
      </w:pPr>
    </w:p>
    <w:p>
      <w:pPr>
        <w:ind w:left="540" w:right="20" w:hanging="532"/>
        <w:spacing w:after="0" w:line="214" w:lineRule="auto"/>
        <w:tabs>
          <w:tab w:leader="none" w:pos="5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Consists of (a) 1,290,352 ordinary shares held directly by Arix Bioscience Holdings Ltd, or Arix, (b) warrants to purchase 516,141 ordinary shares that vest upon the closing of this offering held directly by Arix and (c) 2,110,000 ordinary shares held directly by Wales Life Sciences Investment Fund, or WLSIF. Arthurian Life Sciences Ltd, or Arthurian, is the general partner of WLSIF and a wholly owned subsidiary of Arix. Beneficial ownership information is based on information known to us and a Form TR-1 provided to us on August 3, 2016 and January 3, 2017. Arix's mailing address is 20 Berkeley Square, London W1J 6EQ, United Kingdom.</w:t>
      </w:r>
    </w:p>
    <w:p>
      <w:pPr>
        <w:spacing w:after="0" w:line="154" w:lineRule="exact"/>
        <w:rPr>
          <w:rFonts w:ascii="Arial" w:cs="Arial" w:eastAsia="Arial" w:hAnsi="Arial"/>
          <w:sz w:val="22"/>
          <w:szCs w:val="22"/>
          <w:color w:val="auto"/>
          <w:vertAlign w:val="superscript"/>
        </w:rPr>
      </w:pPr>
    </w:p>
    <w:p>
      <w:pPr>
        <w:ind w:left="540" w:right="180" w:hanging="532"/>
        <w:spacing w:after="0" w:line="214" w:lineRule="auto"/>
        <w:tabs>
          <w:tab w:leader="none" w:pos="5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Aviva Group Holdings Limited, or Aviva Holdings, is a wholly-owned subsidiary of Aviva plc. Aviva Investors Holdings Limited, or Aviva Investors, is a wholly-owned subsidiary of Aviva Holdings. Aviva Investors Global Services Limited, or Aviva Global Services, is a wholly-owned subsidiary of Aviva Investors. Aviva Life Holdings UK Limited, or Aviva Life, is a wholly-owned subsidiary of Aviva Holdings. Friends Life FPG Limited, or Friends FPG, is a wholly-owned subsidiary of Aviva Life. Friends Life FPL Limited, or Friends FPL, is a wholly-owned subsidiary of Friends FPG. Friends Life Limited, or Friends Life, is a</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540" w:right="160"/>
        <w:spacing w:after="0" w:line="247" w:lineRule="auto"/>
        <w:rPr>
          <w:sz w:val="20"/>
          <w:szCs w:val="20"/>
          <w:color w:val="auto"/>
        </w:rPr>
      </w:pPr>
      <w:r>
        <w:rPr>
          <w:rFonts w:ascii="Arial" w:cs="Arial" w:eastAsia="Arial" w:hAnsi="Arial"/>
          <w:sz w:val="14"/>
          <w:szCs w:val="14"/>
          <w:color w:val="auto"/>
        </w:rPr>
        <w:t>wholly-owned subsidiary of Friends FPL. Friends Life and Pensions Limited, or Friends Pensions, is a wholly-owned subsidiary of Friends Life. Friends Provident International Limited, or Friends Provident, is a wholly-owned subsidiary of Friends Pensions. The voting rights for these common shares are controlled and managed by Aviva Global Services and Friends Provident. Beneficial ownership information is based on information known to us and a Form TR-1 provided to us on August 5, 2016. Aviva plc's mailing address is St. Helen's, 1 Undershaft, London EC3P 3DQ, United Kingdom.</w:t>
      </w:r>
    </w:p>
    <w:p>
      <w:pPr>
        <w:spacing w:after="0" w:line="202" w:lineRule="exact"/>
        <w:rPr>
          <w:sz w:val="20"/>
          <w:szCs w:val="20"/>
          <w:color w:val="auto"/>
        </w:rPr>
      </w:pPr>
    </w:p>
    <w:p>
      <w:pPr>
        <w:ind w:left="540" w:right="140" w:hanging="532"/>
        <w:spacing w:after="0" w:line="207" w:lineRule="auto"/>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2,212,032 ordinary shares held directly by Biodiscovery 4 FCPI, or Biodiscovery, and (b) warrants to purchase 884,813 ordinary shares that vest upon the closing of this offering held directly by Biodiscovery. Beneficial ownership information is based on information known to us and a Form TR-1 provided to us on August 2, 2016.</w:t>
      </w:r>
    </w:p>
    <w:p>
      <w:pPr>
        <w:spacing w:after="0" w:line="152" w:lineRule="exact"/>
        <w:rPr>
          <w:rFonts w:ascii="Arial" w:cs="Arial" w:eastAsia="Arial" w:hAnsi="Arial"/>
          <w:sz w:val="22"/>
          <w:szCs w:val="22"/>
          <w:color w:val="auto"/>
          <w:vertAlign w:val="superscript"/>
        </w:rPr>
      </w:pPr>
    </w:p>
    <w:p>
      <w:pPr>
        <w:ind w:left="540" w:right="20" w:hanging="532"/>
        <w:spacing w:after="0" w:line="228" w:lineRule="auto"/>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1,282,978 ordinary shares held directly by Tekla World Healthcare Fund, or Tekla World, (b) warrants to 513,192 purchase ordinary shares that vest upon the closing of this offering held directly by Tekla World, (c) 929,053 ordinary shares held directly by Tekla Life Science Investors, or Tekla Life, and (d) warrants to purchase 371,622 ordinary shares that vest upon the closing of this offering held directly by Tekla Life. Tekla Capital Management LLC, or Tekla Capital, is an investment adviser registered pursuant to Section 203 of the Investment Advisers Act of 1940 and is the investment adviser of Tekla World and Tekla Life, each of which is a registered investment company pursuant to Section 8 of the Investment Company Act of 1940. Each of Tekla Capital and Daniel R. Omstead, through his control of Tekla Capital, has sole power to dispose of the shares beneficially owned by Tekla World and Tekla Life. Neither Tekla Capital nor Daniel R. Omstead has the sole power to vote or direct the vote of the shares beneficially owned by Tekla World and Tekla Life, which power resides in each fund's Board of Trustees. Tekla Capital carries out the voting of the shares under written guidelines established by each fund's Board of Trustees. Beneficial ownership information is based on information known to us and a Schedule 13G filed with the Securities and Exchange Commission on February 13, 2017. Tekla Capital's mailing address is 100 Federal Street, 19th Floor, Boston, MA 02110.</w:t>
      </w:r>
    </w:p>
    <w:p>
      <w:pPr>
        <w:spacing w:after="0" w:line="156" w:lineRule="exact"/>
        <w:rPr>
          <w:rFonts w:ascii="Arial" w:cs="Arial" w:eastAsia="Arial" w:hAnsi="Arial"/>
          <w:sz w:val="22"/>
          <w:szCs w:val="22"/>
          <w:color w:val="auto"/>
          <w:vertAlign w:val="superscript"/>
        </w:rPr>
      </w:pPr>
    </w:p>
    <w:p>
      <w:pPr>
        <w:ind w:left="540" w:right="20" w:hanging="532"/>
        <w:spacing w:after="0" w:line="193" w:lineRule="auto"/>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1,474,688 ordinary shares held directly by Aisling Capital IV, LP, or Aisling, and (b) warrants to purchase 589,875 ordinary shares that vest upon the closing of this offering held directly by Aisling. This information is based on information known to us.</w:t>
      </w:r>
    </w:p>
    <w:p>
      <w:pPr>
        <w:spacing w:after="0" w:line="153" w:lineRule="exact"/>
        <w:rPr>
          <w:rFonts w:ascii="Arial" w:cs="Arial" w:eastAsia="Arial" w:hAnsi="Arial"/>
          <w:sz w:val="22"/>
          <w:szCs w:val="22"/>
          <w:color w:val="auto"/>
          <w:vertAlign w:val="superscript"/>
        </w:rPr>
      </w:pPr>
    </w:p>
    <w:p>
      <w:pPr>
        <w:ind w:left="540" w:right="100" w:hanging="532"/>
        <w:spacing w:after="0" w:line="193" w:lineRule="auto"/>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1,805,944 ordinary shares held directly by BBHISL Nominees Ltd. A/C 121624, or BBHISL and (b) warrants to purchase 222,764 ordinary shares that vest upon the closing of this offering held directly by BBHISL. Beneficial ownership information is based on information known to us.</w:t>
      </w:r>
    </w:p>
    <w:p>
      <w:pPr>
        <w:spacing w:after="0" w:line="153" w:lineRule="exact"/>
        <w:rPr>
          <w:rFonts w:ascii="Arial" w:cs="Arial" w:eastAsia="Arial" w:hAnsi="Arial"/>
          <w:sz w:val="22"/>
          <w:szCs w:val="22"/>
          <w:color w:val="auto"/>
          <w:vertAlign w:val="superscript"/>
        </w:rPr>
      </w:pPr>
    </w:p>
    <w:p>
      <w:pPr>
        <w:ind w:left="540" w:hanging="532"/>
        <w:spacing w:after="0" w:line="193" w:lineRule="auto"/>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1,313,658 ordinary shares held directly by HSBC Global Custody Nominee (UK) Ltd A/C: 944287, or Hargreave Hale, and (b) warrants to purchase 425,618 ordinary shares that vest upon closing of this offering held directly by Hargreave Hale. Beneficial ownership information is based on information known to us.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69,400 ordinary shares and (b) 390,000 options to purchase ordinary shares that vest within 60 days of February 15, 2017.</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186,666 options to purchase ordinary shares that vest within 60 days of February 15, 2017.</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95,000 ordinary shares and (b) 66,666 options to purchase ordinary shares that vest within 60 days of February 15, 2017.</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59,999 options to purchase ordinary shares that vest within 60 days of February 15, 2017.</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(a) 104,284 ordinary shares and (b) warrants to purchase 4,916 ordinary shares that vest upon the closing of this offering.</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Consists of 20,000 options to purchase ordinary shares that vest within 60 days of February 15, 2017.</w:t>
      </w:r>
    </w:p>
    <w:p>
      <w:pPr>
        <w:spacing w:after="0" w:line="151" w:lineRule="exact"/>
        <w:rPr>
          <w:rFonts w:ascii="Arial" w:cs="Arial" w:eastAsia="Arial" w:hAnsi="Arial"/>
          <w:sz w:val="22"/>
          <w:szCs w:val="22"/>
          <w:color w:val="auto"/>
          <w:vertAlign w:val="superscript"/>
        </w:rPr>
      </w:pPr>
    </w:p>
    <w:p>
      <w:pPr>
        <w:ind w:left="540" w:right="820" w:hanging="532"/>
        <w:spacing w:after="0" w:line="193" w:lineRule="auto"/>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Dr. Sinclair is a Partner and Portfolio Manager at Abingworth LLP. Dr. Sinclair does not have voting or dispositive power over any of the shares directly held by Abingworth Vl referenced in footnote (6) above. Dr. Sinclair's business address is 38 Jermyn Street, London SW1Y 6DN, United Kingdom.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RELATED PARTY TRANSACTIONS</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2014 with any members of our board of directors or executive officers and the holders of more than 5% of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 and Warrant Placement</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July 2016, we issued an aggregate of 31,115,926 Units to new and existing institutional and other investors at a price of £1.4365 per Unit for an aggregate purchase price of £44.7 million, or the July Placement. Each Unit represented one ordinary share and a warrant to purchase 0.4 of an ordinary share at a price of £1.7238. Each warrant is exercisable beginning upon the closing of this offering and will expire on the fifth anniversary of the closing of this offering.</w:t>
      </w:r>
    </w:p>
    <w:p>
      <w:pPr>
        <w:spacing w:after="0" w:line="2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sets forth the aggregate number of our ordinary shares issued to our 5% or greater shareholders and their affiliates and one of our directors in the July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Participants</w:t>
            </w:r>
            <w:r>
              <w:rPr>
                <w:rFonts w:ascii="Arial" w:cs="Arial" w:eastAsia="Arial" w:hAnsi="Arial"/>
                <w:sz w:val="21"/>
                <w:szCs w:val="21"/>
                <w:b w:val="1"/>
                <w:bCs w:val="1"/>
                <w:color w:val="auto"/>
                <w:vertAlign w:val="superscript"/>
              </w:rPr>
              <w:t>(1)</w:t>
            </w: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80" w:type="dxa"/>
            <w:vAlign w:val="bottom"/>
            <w:gridSpan w:val="3"/>
            <w:vMerge w:val="continue"/>
          </w:tcPr>
          <w:p>
            <w:pPr>
              <w:spacing w:after="0"/>
              <w:rPr>
                <w:sz w:val="15"/>
                <w:szCs w:val="15"/>
                <w:color w:val="auto"/>
              </w:rPr>
            </w:pPr>
          </w:p>
        </w:tc>
        <w:tc>
          <w:tcPr>
            <w:tcW w:w="94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2260" w:type="dxa"/>
            <w:vAlign w:val="bottom"/>
            <w:gridSpan w:val="3"/>
          </w:tcPr>
          <w:p>
            <w:pPr>
              <w:ind w:left="16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Arix Bioscience plc</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1,290,352</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516,140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8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Vivo Capital affiliates</w:t>
            </w:r>
            <w:r>
              <w:rPr>
                <w:rFonts w:ascii="Arial" w:cs="Arial" w:eastAsia="Arial" w:hAnsi="Arial"/>
                <w:sz w:val="28"/>
                <w:szCs w:val="28"/>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4,669,845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1,867,939</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9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OrbiMed Private Investments VI, LP</w:t>
            </w:r>
            <w:r>
              <w:rPr>
                <w:rFonts w:ascii="Arial" w:cs="Arial" w:eastAsia="Arial" w:hAnsi="Arial"/>
                <w:sz w:val="28"/>
                <w:szCs w:val="28"/>
                <w:color w:val="auto"/>
                <w:vertAlign w:val="superscript"/>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4,669,846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1,867,939</w:t>
            </w:r>
          </w:p>
        </w:tc>
        <w:tc>
          <w:tcPr>
            <w:tcW w:w="16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Growth Equity Opportunities Fund IV, LLC</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4,424,065</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1,769,626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Novo A/S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4,424,065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1,769,626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80" w:type="dxa"/>
            <w:vAlign w:val="bottom"/>
            <w:gridSpan w:val="3"/>
          </w:tcPr>
          <w:p>
            <w:pPr>
              <w:ind w:left="1140"/>
              <w:spacing w:after="0" w:line="243" w:lineRule="exact"/>
              <w:rPr>
                <w:sz w:val="20"/>
                <w:szCs w:val="20"/>
                <w:color w:val="auto"/>
              </w:rPr>
            </w:pPr>
            <w:r>
              <w:rPr>
                <w:rFonts w:ascii="Arial" w:cs="Arial" w:eastAsia="Arial" w:hAnsi="Arial"/>
                <w:sz w:val="17"/>
                <w:szCs w:val="17"/>
                <w:color w:val="auto"/>
              </w:rPr>
              <w:t>Abingworth Bioventures VII LP</w:t>
            </w:r>
            <w:r>
              <w:rPr>
                <w:rFonts w:ascii="Arial" w:cs="Arial" w:eastAsia="Arial" w:hAnsi="Arial"/>
                <w:sz w:val="28"/>
                <w:szCs w:val="28"/>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3,510,553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1,404,221</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Ebsworth</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104,284</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4,916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40" w:hanging="532"/>
        <w:spacing w:after="0"/>
        <w:tabs>
          <w:tab w:leader="none" w:pos="5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For further information, see "Principal Shareholders."</w:t>
      </w:r>
    </w:p>
    <w:p>
      <w:pPr>
        <w:spacing w:after="0" w:line="151" w:lineRule="exact"/>
        <w:rPr>
          <w:rFonts w:ascii="Arial" w:cs="Arial" w:eastAsia="Arial" w:hAnsi="Arial"/>
          <w:sz w:val="22"/>
          <w:szCs w:val="22"/>
          <w:color w:val="auto"/>
          <w:vertAlign w:val="superscript"/>
        </w:rPr>
      </w:pPr>
    </w:p>
    <w:p>
      <w:pPr>
        <w:ind w:left="540" w:right="220" w:hanging="532"/>
        <w:spacing w:after="0" w:line="193" w:lineRule="auto"/>
        <w:tabs>
          <w:tab w:leader="none" w:pos="5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Includes Vivo Ventures Fund VII, L.P., Vivo Ventures VII Affiliates Fund, L.P., Vivo Ventures Fund VI, L.P., and Vivo Ventures Fund VI Affiliates Fund, L.P., or collectively, Vivo Capital. Mahendra Shah, a member of our board of directors, is a Managing Director of Vivo Capital.</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Rishi Gupta, a member of our board of directors, is a Private Equity Partner at OrbiMed LLC.</w:t>
      </w:r>
    </w:p>
    <w:p>
      <w:pPr>
        <w:spacing w:after="0" w:line="7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Andrew Sinclair, a member of our board of directors, is a Partner and Portfolio Manager at Abingworth LLP.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connection with the July Placement, we entered into a registration rights agreement that provided certain shelf and demand registration rights to Abingworth Bioventures VII LP, or Abingworth, Growth Equity Opportunities Fund IV, LLC, OrbiMed Private Investments VI, LP, or OrbiMed, and Vivo Capital, with respect to our ordinary shares currently held by them and issuable to them upon the exercise of our warrants, which rights are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32"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At any time beginning not later than the later of (i) 180 days following the date of this prospectus or (ii) five business days after the expiration of the lock-up agreement entered into by our directors, officers, and securityholders in connection with this offering, or the Commencement Date, we are required to file a shelf registration covering the resale of all of the registrable securities under the registration rights agreement pursuant to</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Rule 415 under the Securities Act (or any successor or similar rule), to use commercially reasonable efforts to have the registration statement declared effective as promptly as practicable and to maintain an effective shelf registration until all of the registrable securities pursuant to the registration rights agreement shall have been sold under such shelf registration or cease to be registrable securities. These registration rights are subject to specified conditions and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3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any time after the Commencement Date, the holders of at least a majority of the registrable securities have the right to demand that we effect an underwritten public offering of the registrable securities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3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will pay all expenses relating to any registration under the registration rights agreement, other than selling commission, discounts or brokerage fees and stock transfer taxes, subject to specified conditions and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32"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The registration rights granted under the registration rights agreement shall terminate upon the earlier to occur of (i) the fifth anniversary of the closing of this offering and (ii) the date on which there are no registrable securities remaining pursuant to the registration rights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June 2016, we entered into relationship agreements with each of Vivo Capital, OrbiMed, Arix Bioscience plc and Arthurian Life Sciences</w:t>
      </w:r>
    </w:p>
    <w:p>
      <w:pPr>
        <w:spacing w:after="0" w:line="235" w:lineRule="auto"/>
        <w:rPr>
          <w:sz w:val="20"/>
          <w:szCs w:val="20"/>
          <w:color w:val="auto"/>
        </w:rPr>
      </w:pPr>
      <w:r>
        <w:rPr>
          <w:rFonts w:ascii="Arial" w:cs="Arial" w:eastAsia="Arial" w:hAnsi="Arial"/>
          <w:sz w:val="18"/>
          <w:szCs w:val="18"/>
          <w:color w:val="auto"/>
        </w:rPr>
        <w:t>SPV GP Limited, or Arix and Arthurian, and Abingworth, each of which hold 5% or more of our ordinary shares,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Arix and Arthurian, and Abingworth to our board of directors, who are Dr. Mahendra Shah, Mr. Rishi Gupta, Dr. Ken Cunningham and Dr. Andrew Sinclair, respectively. The relationship Agreement with Arix and Arthurian was terminated in January 2017. The obligations of the parties under the remaining respective relationship agreements will continue in effect after this offering, and the respective appointment rights under the remaining relationship agreements will automatically terminate upon (i) Vivo Capital, OrbiMed or Abingworth (or any of their associates), as applicable, ceasing to beneficially hold 6.5% of our issued ordinary shares, or (ii) our ordinary shares ceasing to be admitted to AIM. In addition, each of the relationship agreements will automatically terminate upon the first date which Vivo Capital, OrbiMed, or Abingworth, as applicable, cease to have certain rights and obligations under the relationship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Rights Letter</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June 2016, we entered into a management rights letter with Novo A/S, or Novo, which holds more than 5% of our ordinary shares, pursuant to which Novo may designate a non-voting observer to our board of directors. This agreement will terminate upon the earlier of the closing of this offering or when Novo ceases to hold 50% of our ordinary shares held by Novo upon the closing of the July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Arthurian Life Sciences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March 2014, we entered into a subscription and shareholders agreement, or the Arthurian Agreement, with Arthurian pursuant to which Arthurian purchased through the Wales Life Sciences Investment Fund LP, or WLSIF, 4,200,000 ordinary shares at a price per share of £1.1 for total aggregate proceeds of £4.6 million. Under the Arthurian Agreement, we agreed to locate and conduct some of our business in Wales and to engage Simbec-Orion Group, or Simbec-Orion, a contract research organization, to conduct three of our clinical studies.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Executive Officers &amp; Directors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entered into employment agreements with certain of our executive officers and service agreements with our non-employee directors. See "Management —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In connection with this offering, we will enter into indemnification agreements with our directors and executive officers. See "Management — Insurance and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Prior to the closing of this offering, we intend to enter into a related person transaction policy.</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204" w:lineRule="exact"/>
        <w:rPr>
          <w:sz w:val="20"/>
          <w:szCs w:val="20"/>
          <w:color w:val="auto"/>
        </w:rPr>
      </w:pPr>
    </w:p>
    <w:p>
      <w:pPr>
        <w:spacing w:after="0"/>
        <w:tabs>
          <w:tab w:leader="none" w:pos="1360" w:val="left"/>
          <w:tab w:leader="none" w:pos="626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2017, our issued share capital was</w:t>
      </w:r>
      <w:r>
        <w:rPr>
          <w:sz w:val="20"/>
          <w:szCs w:val="20"/>
          <w:color w:val="auto"/>
        </w:rPr>
        <w:tab/>
      </w:r>
      <w:r>
        <w:rPr>
          <w:rFonts w:ascii="Arial" w:cs="Arial" w:eastAsia="Arial" w:hAnsi="Arial"/>
          <w:sz w:val="16"/>
          <w:szCs w:val="16"/>
          <w:color w:val="auto"/>
        </w:rPr>
        <w:t>. The nominal value of our ordinary shares is £0.05 per share.</w:t>
      </w:r>
    </w:p>
    <w:p>
      <w:pPr>
        <w:spacing w:after="0"/>
        <w:tabs>
          <w:tab w:leader="none" w:pos="10280" w:val="left"/>
        </w:tabs>
        <w:rPr>
          <w:sz w:val="20"/>
          <w:szCs w:val="20"/>
          <w:color w:val="auto"/>
        </w:rPr>
      </w:pPr>
      <w:r>
        <w:rPr>
          <w:rFonts w:ascii="Arial" w:cs="Arial" w:eastAsia="Arial" w:hAnsi="Arial"/>
          <w:sz w:val="18"/>
          <w:szCs w:val="18"/>
          <w:color w:val="auto"/>
        </w:rPr>
        <w:t>Each issued ordinary share is fully paid. Upon the closing of this offering, our issued share capital will be</w:t>
      </w:r>
      <w:r>
        <w:rPr>
          <w:sz w:val="20"/>
          <w:szCs w:val="20"/>
          <w:color w:val="auto"/>
        </w:rPr>
        <w:tab/>
      </w:r>
      <w:r>
        <w:rPr>
          <w:rFonts w:ascii="Arial" w:cs="Arial" w:eastAsia="Arial" w:hAnsi="Arial"/>
          <w:sz w:val="14"/>
          <w:szCs w:val="14"/>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Articles, the following summarizes the rights of holders of our ordinary shares:</w:t>
      </w:r>
    </w:p>
    <w:p>
      <w:pPr>
        <w:spacing w:after="0" w:line="101"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28"/>
          <w:szCs w:val="28"/>
          <w:color w:val="auto"/>
          <w:vertAlign w:val="superscript"/>
        </w:rPr>
      </w:pPr>
      <w:r>
        <w:rPr>
          <w:rFonts w:ascii="Arial" w:cs="Arial" w:eastAsia="Arial" w:hAnsi="Arial"/>
          <w:sz w:val="17"/>
          <w:szCs w:val="17"/>
          <w:color w:val="auto"/>
        </w:rPr>
        <w:t>each holder of our ordinary shares is entitled to one vote per ordinary share on all matters to be voted on by shareholders generally;</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194"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Shares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209"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Companies Act 2006, we must enter an allotment of shares in our share register as soon as practicable and in any event within two months of the allotment. We will perform all procedures necessary to update the share register to reflect the ordinary shares being sold in this offering, including updating the share register with the number of ordinary shares to be issued to the depositary upon the closing of this offering. We also are required by the Companies Act 2006 to register a transfer of shares (or give the transferee notice of and reasons for refusal) as soon as practicable and in any event within two months of receiving notice of the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12" w:lineRule="exact"/>
        <w:rPr>
          <w:sz w:val="20"/>
          <w:szCs w:val="20"/>
          <w:color w:val="auto"/>
        </w:rPr>
      </w:pPr>
    </w:p>
    <w:p>
      <w:pPr>
        <w:jc w:val="center"/>
        <w:ind w:left="5560" w:right="1400" w:hanging="5012"/>
        <w:spacing w:after="0" w:line="343" w:lineRule="auto"/>
        <w:tabs>
          <w:tab w:leader="none" w:pos="1081" w:val="left"/>
        </w:tabs>
        <w:numPr>
          <w:ilvl w:val="0"/>
          <w:numId w:val="81"/>
        </w:numPr>
        <w:rPr>
          <w:rFonts w:ascii="Arial" w:cs="Arial" w:eastAsia="Arial" w:hAnsi="Arial"/>
          <w:sz w:val="29"/>
          <w:szCs w:val="29"/>
          <w:color w:val="auto"/>
          <w:vertAlign w:val="superscript"/>
        </w:rPr>
      </w:pPr>
      <w:r>
        <w:rPr>
          <w:rFonts w:ascii="Arial" w:cs="Arial" w:eastAsia="Arial" w:hAnsi="Arial"/>
          <w:sz w:val="18"/>
          <w:szCs w:val="18"/>
          <w:color w:val="auto"/>
        </w:rPr>
        <w:t>the name of any person, without sufficient cause, is wrongly entered in or omitted from our register of members; or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00" w:hanging="532"/>
        <w:spacing w:after="0" w:line="191" w:lineRule="auto"/>
        <w:tabs>
          <w:tab w:leader="none" w:pos="1080" w:val="left"/>
        </w:tabs>
        <w:numPr>
          <w:ilvl w:val="0"/>
          <w:numId w:val="82"/>
        </w:numPr>
        <w:rPr>
          <w:rFonts w:ascii="Arial" w:cs="Arial" w:eastAsia="Arial" w:hAnsi="Arial"/>
          <w:sz w:val="28"/>
          <w:szCs w:val="28"/>
          <w:color w:val="auto"/>
          <w:vertAlign w:val="superscript"/>
        </w:rPr>
      </w:pPr>
      <w:r>
        <w:rPr>
          <w:rFonts w:ascii="Arial" w:cs="Arial" w:eastAsia="Arial" w:hAnsi="Arial"/>
          <w:sz w:val="17"/>
          <w:szCs w:val="17"/>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July 22, 2016, our shareholders approved the exclusion of preemptive rights for a period of five years from the date of approval, which exclusion will need to be renewed upon expiration (i.e., at least every five years) to remain effective, but may be sought more frequently for additional five-year terms (or any shorter period). On February 8, 2017, our shareholders approved the exclusion of preemptive rights for the allotment of ordinary shares in connection with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February 15, 2017, there are options to purchase 2,804,000 ordinary shares outstanding with a weighted average exercise price of £1.90 per share. The options lapse after ten years from the date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of February 15, 2017, there are warrants to subscribe for 12,646,370 ordinary shares outstanding, exercisable at a weighted average exercise price of £1.7174 per share. In connection with the July Placement, we issued warrants to purchase up to 12,446,370 ordinary shares at an exercise price of £1.7238 per ordinary share. Each warrant is exercisable beginning upon the closing of this offering and will expire on the fifth anniversary of the closing of this offering. On August 6, 2014, we issued warrants to subscribe for 200,000 ordinary shares to our nominated advisor, which are exercisable at a weighted average exercise price of £1.315 per share and expire on August 5,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Reorganization</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On February 10, 2017, we effected a 50-for-one share consolidation in which we consolidated every 50 existing ordinary shares of nominal value £0.001 each in our issued share capital into one ordinary shares of nominal value £0.05 each.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objects of our company are unrestricted.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Rights</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30"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09" w:lineRule="exact"/>
        <w:rPr>
          <w:sz w:val="20"/>
          <w:szCs w:val="20"/>
          <w:color w:val="auto"/>
        </w:rPr>
      </w:pPr>
    </w:p>
    <w:p>
      <w:pPr>
        <w:ind w:left="1080" w:right="160" w:hanging="532"/>
        <w:spacing w:after="0" w:line="183"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195" w:lineRule="exact"/>
        <w:rPr>
          <w:rFonts w:ascii="Arial" w:cs="Arial" w:eastAsia="Arial" w:hAnsi="Arial"/>
          <w:sz w:val="29"/>
          <w:szCs w:val="29"/>
          <w:color w:val="auto"/>
          <w:vertAlign w:val="superscript"/>
        </w:rPr>
      </w:pPr>
    </w:p>
    <w:p>
      <w:pPr>
        <w:ind w:left="1080" w:right="380" w:hanging="532"/>
        <w:spacing w:after="0" w:line="197"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196" w:lineRule="exact"/>
        <w:rPr>
          <w:rFonts w:ascii="Arial" w:cs="Arial" w:eastAsia="Arial" w:hAnsi="Arial"/>
          <w:sz w:val="29"/>
          <w:szCs w:val="29"/>
          <w:color w:val="auto"/>
          <w:vertAlign w:val="superscript"/>
        </w:rPr>
      </w:pPr>
    </w:p>
    <w:p>
      <w:pPr>
        <w:ind w:left="1080" w:right="140" w:hanging="532"/>
        <w:spacing w:after="0" w:line="214" w:lineRule="auto"/>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75"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w:t>
      </w:r>
    </w:p>
    <w:p>
      <w:pPr>
        <w:spacing w:after="0" w:line="20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in this prospectus, a poll may be demanded by:</w:t>
      </w:r>
    </w:p>
    <w:p>
      <w:pPr>
        <w:spacing w:after="0" w:line="8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the chairman of the meeting;</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at least five shareholders present in person or by proxy and entitled to vote;</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195" w:lineRule="exact"/>
        <w:rPr>
          <w:rFonts w:ascii="Arial" w:cs="Arial" w:eastAsia="Arial" w:hAnsi="Arial"/>
          <w:sz w:val="29"/>
          <w:szCs w:val="29"/>
          <w:color w:val="auto"/>
          <w:vertAlign w:val="superscript"/>
        </w:rPr>
      </w:pPr>
    </w:p>
    <w:p>
      <w:pPr>
        <w:jc w:val="both"/>
        <w:ind w:left="1080" w:right="280" w:hanging="532"/>
        <w:spacing w:after="0" w:line="197" w:lineRule="auto"/>
        <w:tabs>
          <w:tab w:leader="none" w:pos="108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Voting</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2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amounts paid up on the shares during any part or parts of the period in respect of which the dividend is paid.</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209"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21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No shareholder shall be entitled to receive any dividend or other distribution in respect of any share held by him unless all calls or other sums payable by him in respect of that share have been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There is no specific provision in our articles of association that would have the effect of delaying, deferring or preventing a change of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Winding Up</w:t>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 of Rights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Alteration to Share Capital</w:t>
      </w:r>
    </w:p>
    <w:p>
      <w:pPr>
        <w:spacing w:after="0" w:line="23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"—Other U.K. law Considerations — Purchase of Own Shares".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Pre-emption Rights</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in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8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which is not a fully paid share;</w:t>
      </w:r>
    </w:p>
    <w:p>
      <w:pPr>
        <w:spacing w:after="0" w:line="194"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to a person known to be a minor, bankrupt or person who is mentally disordered or a patient for the purpose of any statute relating to mental health;</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to an entity which is not a natural or legal person;</w:t>
      </w:r>
    </w:p>
    <w:p>
      <w:pPr>
        <w:spacing w:after="0" w:line="194"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where the transfer is in respect of more than one class of share;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in the case of a transfer to joint holders, the number of joint holders to whom the share is to be transferred exceeds four.</w:t>
      </w:r>
    </w:p>
    <w:p>
      <w:pPr>
        <w:spacing w:after="0" w:line="208"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CREST</w:t>
      </w:r>
    </w:p>
    <w:p>
      <w:pPr>
        <w:spacing w:after="0" w:line="232"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General Meetings</w:t>
      </w:r>
    </w:p>
    <w:p>
      <w:pPr>
        <w:spacing w:after="0" w:line="2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in this prospectus.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General Meetings</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arrangements for the calling of general meetings are described in "— Differences in Corporate Law — Notice of General Meetings"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of General Meetings</w:t>
      </w:r>
    </w:p>
    <w:p>
      <w:pPr>
        <w:spacing w:after="0" w:line="23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Meetings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in the Articles relating to general meetings apply to every separate general meeting of the holders of a class of shares except that:</w:t>
      </w:r>
    </w:p>
    <w:p>
      <w:pPr>
        <w:sectPr>
          <w:pgSz w:w="11900" w:h="16838" w:orient="portrait"/>
          <w:cols w:equalWidth="0" w:num="1">
            <w:col w:w="11400"/>
          </w:cols>
          <w:pgMar w:left="240" w:top="143" w:right="259" w:bottom="1440" w:gutter="0" w:footer="0" w:header="0"/>
        </w:sect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quorum for such class meeting shall be two holders in person or by proxy representing not less than one-third in nominal value of the issued shares of the class (excluding any shares held in treasury);</w:t>
      </w:r>
    </w:p>
    <w:p>
      <w:pPr>
        <w:spacing w:after="0" w:line="1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at the class meeting, a holder of shares of the class present in person or by proxy may demand a poll and shall on a poll be entitled to one vote for every share of the class held by him; and</w:t>
      </w:r>
    </w:p>
    <w:p>
      <w:pPr>
        <w:spacing w:after="0" w:line="19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if at any adjourned meeting of such holders a quorum is not present at the meeting, one holder of shares of the class present in person or by proxy at an adjourned meeting constitutes a quorum.</w:t>
      </w:r>
    </w:p>
    <w:p>
      <w:pPr>
        <w:spacing w:after="0" w:line="572" w:lineRule="exact"/>
        <w:rPr>
          <w:sz w:val="20"/>
          <w:szCs w:val="20"/>
          <w:color w:val="auto"/>
        </w:rPr>
      </w:pPr>
    </w:p>
    <w:p>
      <w:pPr>
        <w:sectPr>
          <w:pgSz w:w="11900" w:h="16838" w:orient="portrait"/>
          <w:cols w:equalWidth="0" w:num="2">
            <w:col w:w="780" w:space="300"/>
            <w:col w:w="10320"/>
          </w:cols>
          <w:pgMar w:left="240" w:top="143"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Directors</w:t>
      </w:r>
    </w:p>
    <w:p>
      <w:pPr>
        <w:spacing w:after="0" w:line="230"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may not have less than two directors on the board of directors. We may, by ordinary resolution of the shareholders, vary the minimum and maximum number of directors from time to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w:t>
      </w:r>
    </w:p>
    <w:p>
      <w:pPr>
        <w:spacing w:after="0" w:line="230"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Subject to the provisions of the Articles,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w:t>
      </w:r>
    </w:p>
    <w:p>
      <w:pPr>
        <w:spacing w:after="0" w:line="20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Rotation of Directors</w:t>
      </w:r>
    </w:p>
    <w:p>
      <w:pPr>
        <w:spacing w:after="0" w:line="230"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At every annual general meeting, one-third of the directors or, if their number is not a multiple of three, then the number nearest to and not exceeding one-third, shall retire from office.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director who retires at the annual general meeting shall be eligible for re-election.</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unless at such meeting it is expressly resolved not to fill such vacated office or unless a resolution for the re-election of such director shall have been put to the meeting and lost.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Interests</w:t>
      </w:r>
    </w:p>
    <w:p>
      <w:pPr>
        <w:spacing w:after="0" w:line="23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83"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211" w:lineRule="exact"/>
        <w:rPr>
          <w:sz w:val="20"/>
          <w:szCs w:val="20"/>
          <w:color w:val="auto"/>
        </w:rPr>
      </w:pPr>
    </w:p>
    <w:p>
      <w:pPr>
        <w:ind w:left="1080" w:right="460" w:hanging="532"/>
        <w:spacing w:after="0" w:line="183"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195" w:lineRule="exact"/>
        <w:rPr>
          <w:rFonts w:ascii="Arial" w:cs="Arial" w:eastAsia="Arial" w:hAnsi="Arial"/>
          <w:sz w:val="29"/>
          <w:szCs w:val="29"/>
          <w:color w:val="auto"/>
          <w:vertAlign w:val="superscript"/>
        </w:rPr>
      </w:pPr>
    </w:p>
    <w:p>
      <w:pPr>
        <w:ind w:left="1080" w:right="80" w:hanging="532"/>
        <w:spacing w:after="0" w:line="197"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196" w:lineRule="exact"/>
        <w:rPr>
          <w:rFonts w:ascii="Arial" w:cs="Arial" w:eastAsia="Arial" w:hAnsi="Arial"/>
          <w:sz w:val="29"/>
          <w:szCs w:val="29"/>
          <w:color w:val="auto"/>
          <w:vertAlign w:val="superscript"/>
        </w:rPr>
      </w:pPr>
    </w:p>
    <w:p>
      <w:pPr>
        <w:ind w:left="1080" w:right="280" w:hanging="532"/>
        <w:spacing w:after="0" w:line="197"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196" w:lineRule="exact"/>
        <w:rPr>
          <w:rFonts w:ascii="Arial" w:cs="Arial" w:eastAsia="Arial" w:hAnsi="Arial"/>
          <w:sz w:val="29"/>
          <w:szCs w:val="29"/>
          <w:color w:val="auto"/>
          <w:vertAlign w:val="superscript"/>
        </w:rPr>
      </w:pPr>
    </w:p>
    <w:p>
      <w:pPr>
        <w:ind w:left="1080" w:right="20" w:hanging="532"/>
        <w:spacing w:after="0" w:line="205"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197" w:lineRule="exact"/>
        <w:rPr>
          <w:rFonts w:ascii="Arial" w:cs="Arial" w:eastAsia="Arial" w:hAnsi="Arial"/>
          <w:sz w:val="29"/>
          <w:szCs w:val="29"/>
          <w:color w:val="auto"/>
          <w:vertAlign w:val="superscript"/>
        </w:rPr>
      </w:pPr>
    </w:p>
    <w:p>
      <w:pPr>
        <w:ind w:left="1080" w:right="400" w:hanging="532"/>
        <w:spacing w:after="0" w:line="197"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196" w:lineRule="exact"/>
        <w:rPr>
          <w:rFonts w:ascii="Arial" w:cs="Arial" w:eastAsia="Arial" w:hAnsi="Arial"/>
          <w:sz w:val="29"/>
          <w:szCs w:val="29"/>
          <w:color w:val="auto"/>
          <w:vertAlign w:val="superscript"/>
        </w:rPr>
      </w:pPr>
    </w:p>
    <w:p>
      <w:pPr>
        <w:ind w:left="1080" w:right="60" w:hanging="532"/>
        <w:spacing w:after="0" w:line="205"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97" w:lineRule="exact"/>
        <w:rPr>
          <w:rFonts w:ascii="Arial" w:cs="Arial" w:eastAsia="Arial" w:hAnsi="Arial"/>
          <w:sz w:val="29"/>
          <w:szCs w:val="29"/>
          <w:color w:val="auto"/>
          <w:vertAlign w:val="superscript"/>
        </w:rPr>
      </w:pPr>
    </w:p>
    <w:p>
      <w:pPr>
        <w:jc w:val="both"/>
        <w:ind w:left="1080" w:right="40" w:hanging="532"/>
        <w:spacing w:after="0" w:line="197" w:lineRule="auto"/>
        <w:tabs>
          <w:tab w:leader="none" w:pos="1080" w:val="left"/>
        </w:tabs>
        <w:numPr>
          <w:ilvl w:val="0"/>
          <w:numId w:val="86"/>
        </w:numPr>
        <w:rPr>
          <w:rFonts w:ascii="Arial" w:cs="Arial" w:eastAsia="Arial" w:hAnsi="Arial"/>
          <w:sz w:val="29"/>
          <w:szCs w:val="29"/>
          <w:color w:val="auto"/>
          <w:vertAlign w:val="superscript"/>
        </w:rPr>
      </w:pPr>
      <w:r>
        <w:rPr>
          <w:rFonts w:ascii="Arial" w:cs="Arial" w:eastAsia="Arial" w:hAnsi="Arial"/>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Fees and Remuneration</w:t>
      </w:r>
    </w:p>
    <w:p>
      <w:pPr>
        <w:spacing w:after="0" w:line="230"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the Company's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211"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An executive director shall receive such remuneration as the board may determine, and either in addition to or in lieu of his remuneration as a director as detailed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Powers</w:t>
      </w:r>
    </w:p>
    <w:p>
      <w:pPr>
        <w:spacing w:after="0" w:line="230"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Indemnity</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 of Voting Rights</w:t>
      </w:r>
    </w:p>
    <w:p>
      <w:pPr>
        <w:spacing w:after="0" w:line="2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Rule 5 of the Disclosure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Purchases and Acquisitions</w:t>
      </w:r>
    </w:p>
    <w:p>
      <w:pPr>
        <w:spacing w:after="0" w:line="2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Out</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 in Shares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Under the Articles, if a person defaults in supplying us with the required particulars in relation to the shares in question, or default shares within the prescribed period, the directors may by notice direct that:</w:t>
      </w:r>
    </w:p>
    <w:p>
      <w:pPr>
        <w:spacing w:after="0" w:line="209" w:lineRule="exact"/>
        <w:rPr>
          <w:sz w:val="20"/>
          <w:szCs w:val="20"/>
          <w:color w:val="auto"/>
        </w:rPr>
      </w:pPr>
    </w:p>
    <w:p>
      <w:pPr>
        <w:ind w:left="1080" w:right="80" w:hanging="532"/>
        <w:spacing w:after="0" w:line="197"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96" w:lineRule="exact"/>
        <w:rPr>
          <w:rFonts w:ascii="Arial" w:cs="Arial" w:eastAsia="Arial" w:hAnsi="Arial"/>
          <w:sz w:val="29"/>
          <w:szCs w:val="29"/>
          <w:color w:val="auto"/>
          <w:vertAlign w:val="superscript"/>
        </w:rPr>
      </w:pPr>
    </w:p>
    <w:p>
      <w:pPr>
        <w:ind w:left="1080" w:right="240" w:hanging="532"/>
        <w:spacing w:after="0" w:line="205"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197" w:lineRule="exact"/>
        <w:rPr>
          <w:rFonts w:ascii="Arial" w:cs="Arial" w:eastAsia="Arial" w:hAnsi="Arial"/>
          <w:sz w:val="29"/>
          <w:szCs w:val="29"/>
          <w:color w:val="auto"/>
          <w:vertAlign w:val="superscript"/>
        </w:rPr>
      </w:pPr>
    </w:p>
    <w:p>
      <w:pPr>
        <w:ind w:left="1080" w:right="60" w:hanging="532"/>
        <w:spacing w:after="0" w:line="205" w:lineRule="auto"/>
        <w:tabs>
          <w:tab w:leader="none" w:pos="1080" w:val="left"/>
        </w:tabs>
        <w:numPr>
          <w:ilvl w:val="0"/>
          <w:numId w:val="87"/>
        </w:numPr>
        <w:rPr>
          <w:rFonts w:ascii="Arial" w:cs="Arial" w:eastAsia="Arial" w:hAnsi="Arial"/>
          <w:sz w:val="29"/>
          <w:szCs w:val="29"/>
          <w:color w:val="auto"/>
          <w:vertAlign w:val="superscript"/>
        </w:rPr>
      </w:pPr>
      <w:r>
        <w:rPr>
          <w:rFonts w:ascii="Arial" w:cs="Arial" w:eastAsia="Arial" w:hAnsi="Arial"/>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Own Shares</w:t>
      </w:r>
    </w:p>
    <w:p>
      <w:pPr>
        <w:spacing w:after="0" w:line="23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86"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specify the maximum number of shares authorized to be acquired;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and Dividends</w:t>
      </w:r>
    </w:p>
    <w:p>
      <w:pPr>
        <w:spacing w:after="0" w:line="230"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83" w:lineRule="exact"/>
        <w:rPr>
          <w:sz w:val="20"/>
          <w:szCs w:val="20"/>
          <w:color w:val="auto"/>
        </w:rPr>
      </w:pPr>
    </w:p>
    <w:p>
      <w:pPr>
        <w:jc w:val="both"/>
        <w:ind w:right="500"/>
        <w:spacing w:after="0" w:line="238"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08" w:lineRule="exact"/>
        <w:rPr>
          <w:sz w:val="20"/>
          <w:szCs w:val="20"/>
          <w:color w:val="auto"/>
        </w:rPr>
      </w:pPr>
    </w:p>
    <w:p>
      <w:pPr>
        <w:ind w:left="1080" w:right="260" w:hanging="532"/>
        <w:spacing w:after="0" w:line="183"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 Code on Takeovers and Mergers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09" w:lineRule="exact"/>
        <w:rPr>
          <w:sz w:val="20"/>
          <w:szCs w:val="20"/>
          <w:color w:val="auto"/>
        </w:rPr>
      </w:pPr>
    </w:p>
    <w:p>
      <w:pPr>
        <w:ind w:left="1080" w:right="480" w:hanging="532"/>
        <w:spacing w:after="0" w:line="183" w:lineRule="auto"/>
        <w:tabs>
          <w:tab w:leader="none" w:pos="10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spacing w:after="0" w:line="195" w:lineRule="exact"/>
        <w:rPr>
          <w:rFonts w:ascii="Arial" w:cs="Arial" w:eastAsia="Arial" w:hAnsi="Arial"/>
          <w:sz w:val="29"/>
          <w:szCs w:val="29"/>
          <w:color w:val="auto"/>
          <w:vertAlign w:val="superscript"/>
        </w:rPr>
      </w:pPr>
    </w:p>
    <w:p>
      <w:pPr>
        <w:ind w:left="1080" w:right="240" w:hanging="532"/>
        <w:spacing w:after="0" w:line="197" w:lineRule="auto"/>
        <w:tabs>
          <w:tab w:leader="none" w:pos="10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Controls</w:t>
      </w:r>
    </w:p>
    <w:p>
      <w:pPr>
        <w:spacing w:after="0" w:line="2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16"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000" w:type="dxa"/>
            <w:vAlign w:val="bottom"/>
          </w:tcPr>
          <w:p>
            <w:pPr>
              <w:spacing w:after="0" w:line="200" w:lineRule="exact"/>
              <w:rPr>
                <w:sz w:val="20"/>
                <w:szCs w:val="20"/>
                <w:color w:val="auto"/>
              </w:rPr>
            </w:pPr>
            <w:r>
              <w:rPr>
                <w:rFonts w:ascii="Arial" w:cs="Arial" w:eastAsia="Arial" w:hAnsi="Arial"/>
                <w:sz w:val="18"/>
                <w:szCs w:val="18"/>
                <w:color w:val="auto"/>
              </w:rPr>
              <w:t>Number of Directors</w:t>
            </w:r>
          </w:p>
        </w:tc>
        <w:tc>
          <w:tcPr>
            <w:tcW w:w="482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Under the Companies Act 2006, a public limited</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company must have at least two directors and the</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number of directors may be fixed by or in the manner</w:t>
            </w:r>
          </w:p>
        </w:tc>
      </w:tr>
      <w:tr>
        <w:trPr>
          <w:trHeight w:val="211"/>
        </w:trPr>
        <w:tc>
          <w:tcPr>
            <w:tcW w:w="2000" w:type="dxa"/>
            <w:vAlign w:val="bottom"/>
          </w:tcPr>
          <w:p>
            <w:pPr>
              <w:spacing w:after="0"/>
              <w:rPr>
                <w:sz w:val="18"/>
                <w:szCs w:val="18"/>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provided in a company's articles of association.</w:t>
            </w:r>
          </w:p>
        </w:tc>
      </w:tr>
      <w:tr>
        <w:trPr>
          <w:trHeight w:val="437"/>
        </w:trPr>
        <w:tc>
          <w:tcPr>
            <w:tcW w:w="2000" w:type="dxa"/>
            <w:vAlign w:val="bottom"/>
          </w:tcPr>
          <w:p>
            <w:pPr>
              <w:spacing w:after="0"/>
              <w:rPr>
                <w:sz w:val="20"/>
                <w:szCs w:val="20"/>
                <w:color w:val="auto"/>
              </w:rPr>
            </w:pPr>
            <w:r>
              <w:rPr>
                <w:rFonts w:ascii="Arial" w:cs="Arial" w:eastAsia="Arial" w:hAnsi="Arial"/>
                <w:sz w:val="18"/>
                <w:szCs w:val="18"/>
                <w:color w:val="auto"/>
              </w:rPr>
              <w:t>Removal of Directors</w:t>
            </w: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Under the Companies Act 2006, shareholders may</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remove a director without cause by an ordinary</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resolution (which is passed by a simple majority of those</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voting in person or by proxy at a general meeting)</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irrespective of any provisions of any service contract the</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 has with the company, provided 28 clear days'</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notice of the resolution has been given to the company</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and its shareholders. On receipt of notice of an intended</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resolution to remove a director, the company must</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forthwith send a copy of the notice to the director</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concerned. Certain other procedural requirements under</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9"/>
              </w:rPr>
              <w:t>the Companies Act 2006 must also be followed such as</w:t>
            </w:r>
          </w:p>
        </w:tc>
      </w:tr>
      <w:tr>
        <w:trPr>
          <w:trHeight w:val="203"/>
        </w:trPr>
        <w:tc>
          <w:tcPr>
            <w:tcW w:w="2000" w:type="dxa"/>
            <w:vAlign w:val="bottom"/>
          </w:tcPr>
          <w:p>
            <w:pPr>
              <w:spacing w:after="0"/>
              <w:rPr>
                <w:sz w:val="17"/>
                <w:szCs w:val="17"/>
                <w:color w:val="auto"/>
              </w:rPr>
            </w:pPr>
          </w:p>
        </w:tc>
        <w:tc>
          <w:tcPr>
            <w:tcW w:w="482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8"/>
              </w:rPr>
              <w:t>allowing the director to make representations against his</w:t>
            </w:r>
          </w:p>
        </w:tc>
      </w:tr>
      <w:tr>
        <w:trPr>
          <w:trHeight w:val="211"/>
        </w:trPr>
        <w:tc>
          <w:tcPr>
            <w:tcW w:w="2000" w:type="dxa"/>
            <w:vAlign w:val="bottom"/>
          </w:tcPr>
          <w:p>
            <w:pPr>
              <w:spacing w:after="0"/>
              <w:rPr>
                <w:sz w:val="18"/>
                <w:szCs w:val="18"/>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or her removal either at the meeting or in writing.</w:t>
            </w:r>
          </w:p>
        </w:tc>
      </w:tr>
      <w:tr>
        <w:trPr>
          <w:trHeight w:val="419"/>
        </w:trPr>
        <w:tc>
          <w:tcPr>
            <w:tcW w:w="2000" w:type="dxa"/>
            <w:vAlign w:val="bottom"/>
          </w:tcPr>
          <w:p>
            <w:pPr>
              <w:spacing w:after="0"/>
              <w:rPr>
                <w:sz w:val="24"/>
                <w:szCs w:val="24"/>
                <w:color w:val="auto"/>
              </w:rPr>
            </w:pPr>
          </w:p>
        </w:tc>
        <w:tc>
          <w:tcPr>
            <w:tcW w:w="4820" w:type="dxa"/>
            <w:vAlign w:val="bottom"/>
            <w:gridSpan w:val="2"/>
          </w:tcPr>
          <w:p>
            <w:pPr>
              <w:ind w:left="3560"/>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38"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w:t>
      </w:r>
    </w:p>
    <w:p>
      <w:pPr>
        <w:spacing w:after="0" w:line="1" w:lineRule="exact"/>
        <w:rPr>
          <w:sz w:val="20"/>
          <w:szCs w:val="20"/>
          <w:color w:val="auto"/>
        </w:rPr>
      </w:pPr>
    </w:p>
    <w:p>
      <w:pPr>
        <w:ind w:left="3" w:hanging="3"/>
        <w:spacing w:after="0" w:line="270" w:lineRule="auto"/>
        <w:tabs>
          <w:tab w:leader="none" w:pos="266"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ectPr>
          <w:pgSz w:w="11900" w:h="16838" w:orient="portrait"/>
          <w:cols w:equalWidth="0" w:num="2">
            <w:col w:w="6820" w:space="157"/>
            <w:col w:w="4423"/>
          </w:cols>
          <w:pgMar w:left="240" w:top="143" w:right="25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Vacancies on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213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Under English law, 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0" w:lineRule="exact"/>
        <w:rPr>
          <w:sz w:val="20"/>
          <w:szCs w:val="20"/>
          <w:color w:val="auto"/>
        </w:rPr>
      </w:pPr>
    </w:p>
    <w:p>
      <w:pPr>
        <w:sectPr>
          <w:pgSz w:w="11900" w:h="16838" w:orient="portrait"/>
          <w:cols w:equalWidth="0" w:num="3">
            <w:col w:w="2060" w:space="320"/>
            <w:col w:w="4320" w:space="280"/>
            <w:col w:w="4380"/>
          </w:cols>
          <w:pgMar w:left="240" w:top="143" w:right="29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Under the Companies Act 2006, a public limited company must hold an annual general meeting in each six-month period following the company's annual accounting reference date.</w:t>
      </w:r>
    </w:p>
    <w:p>
      <w:pPr>
        <w:spacing w:after="0" w:line="200" w:lineRule="exact"/>
        <w:rPr>
          <w:sz w:val="20"/>
          <w:szCs w:val="20"/>
          <w:color w:val="auto"/>
        </w:rPr>
      </w:pP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Companies Act 2006, a general meeting of the shareholders of a public limited company may be called by the directors.</w:t>
      </w:r>
    </w:p>
    <w:p>
      <w:pPr>
        <w:spacing w:after="0" w:line="200" w:lineRule="exact"/>
        <w:rPr>
          <w:sz w:val="20"/>
          <w:szCs w:val="20"/>
          <w:color w:val="auto"/>
        </w:rPr>
      </w:pPr>
    </w:p>
    <w:p>
      <w:pPr>
        <w:spacing w:after="0" w:line="23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Shareholders holding at least 5% of the paid-up capital of the company carrying voting rights at general meetings (excluding nay paid up capital held as treasury shares) can require the directors to call a general meeting and, if the directors fail to do so within a certain period, may themselves convene a general meeting.</w:t>
      </w:r>
    </w:p>
    <w:p>
      <w:pPr>
        <w:spacing w:after="0" w:line="18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130175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3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3">
            <w:col w:w="1900" w:space="480"/>
            <w:col w:w="4440" w:space="160"/>
            <w:col w:w="4380"/>
          </w:cols>
          <w:pgMar w:left="240" w:top="143" w:right="29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8890</wp:posOffset>
            </wp:positionV>
            <wp:extent cx="28213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2380" w:hanging="2362"/>
        <w:spacing w:after="0" w:line="266" w:lineRule="auto"/>
        <w:tabs>
          <w:tab w:leader="none" w:pos="236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Under the Companies Act 2006,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37" w:lineRule="exact"/>
        <w:rPr>
          <w:sz w:val="20"/>
          <w:szCs w:val="20"/>
          <w:color w:val="auto"/>
        </w:rPr>
      </w:pPr>
    </w:p>
    <w:p>
      <w:pPr>
        <w:sectPr>
          <w:pgSz w:w="11900" w:h="16838" w:orient="portrait"/>
          <w:cols w:equalWidth="0" w:num="2">
            <w:col w:w="6740" w:space="240"/>
            <w:col w:w="4440"/>
          </w:cols>
          <w:pgMar w:left="240" w:top="143" w:right="239" w:bottom="1440" w:gutter="0" w:footer="0" w:header="0"/>
        </w:sectPr>
      </w:pPr>
    </w:p>
    <w:p>
      <w:pPr>
        <w:spacing w:after="0" w:line="220"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Companies Act 2006, at any meeting of</w:t>
      </w:r>
    </w:p>
    <w:p>
      <w:pPr>
        <w:ind w:left="2380"/>
        <w:spacing w:after="0" w:line="238" w:lineRule="auto"/>
        <w:rPr>
          <w:sz w:val="20"/>
          <w:szCs w:val="20"/>
          <w:color w:val="auto"/>
        </w:rPr>
      </w:pPr>
      <w:r>
        <w:rPr>
          <w:rFonts w:ascii="Arial" w:cs="Arial" w:eastAsia="Arial" w:hAnsi="Arial"/>
          <w:sz w:val="18"/>
          <w:szCs w:val="18"/>
          <w:color w:val="auto"/>
        </w:rPr>
        <w:t>shareholders, a shareholder may designate another person to attend, speak and vote at the meeting on their behalf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6720" w:space="260"/>
            <w:col w:w="4440"/>
          </w:cols>
          <w:pgMar w:left="240" w:top="143" w:right="239" w:bottom="1440"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1940" w:type="dxa"/>
            <w:vAlign w:val="bottom"/>
          </w:tcPr>
          <w:p>
            <w:pPr>
              <w:spacing w:after="0" w:line="200" w:lineRule="exact"/>
              <w:rPr>
                <w:sz w:val="20"/>
                <w:szCs w:val="20"/>
                <w:color w:val="auto"/>
              </w:rPr>
            </w:pPr>
            <w:r>
              <w:rPr>
                <w:rFonts w:ascii="Arial" w:cs="Arial" w:eastAsia="Arial" w:hAnsi="Arial"/>
                <w:sz w:val="18"/>
                <w:szCs w:val="18"/>
                <w:color w:val="auto"/>
              </w:rPr>
              <w:t>Pre-emptive Rights</w:t>
            </w:r>
          </w:p>
        </w:tc>
        <w:tc>
          <w:tcPr>
            <w:tcW w:w="488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Under the Companies Act 2006, "equity securities",</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8"/>
              </w:rPr>
              <w:t>participate only up to a specified amount in a distribution</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allotted for cash must be offered first to the existing</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equity shareholders in the company in proportion to the</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has been passed by shareholders in a general meeting</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or the articles of association provide otherwise in each</w:t>
            </w:r>
          </w:p>
        </w:tc>
      </w:tr>
      <w:tr>
        <w:trPr>
          <w:trHeight w:val="203"/>
        </w:trPr>
        <w:tc>
          <w:tcPr>
            <w:tcW w:w="1940" w:type="dxa"/>
            <w:vAlign w:val="bottom"/>
          </w:tcPr>
          <w:p>
            <w:pPr>
              <w:spacing w:after="0"/>
              <w:rPr>
                <w:sz w:val="17"/>
                <w:szCs w:val="17"/>
                <w:color w:val="auto"/>
              </w:rPr>
            </w:pPr>
          </w:p>
        </w:tc>
        <w:tc>
          <w:tcPr>
            <w:tcW w:w="488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7"/>
              </w:rPr>
              <w:t>case in accordance with the provisions of the Companies</w:t>
            </w:r>
          </w:p>
        </w:tc>
      </w:tr>
      <w:tr>
        <w:trPr>
          <w:trHeight w:val="211"/>
        </w:trPr>
        <w:tc>
          <w:tcPr>
            <w:tcW w:w="1940" w:type="dxa"/>
            <w:vAlign w:val="bottom"/>
          </w:tcPr>
          <w:p>
            <w:pPr>
              <w:spacing w:after="0"/>
              <w:rPr>
                <w:sz w:val="18"/>
                <w:szCs w:val="18"/>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Act 2006.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26" w:lineRule="exact"/>
        <w:rPr>
          <w:sz w:val="20"/>
          <w:szCs w:val="20"/>
          <w:color w:val="auto"/>
        </w:rPr>
      </w:pPr>
    </w:p>
    <w:p>
      <w:pPr>
        <w:sectPr>
          <w:pgSz w:w="11900" w:h="16838" w:orient="portrait"/>
          <w:cols w:equalWidth="0" w:num="2">
            <w:col w:w="6820" w:space="160"/>
            <w:col w:w="4440"/>
          </w:cols>
          <w:pgMar w:left="240" w:top="142" w:right="239" w:bottom="1440" w:gutter="0" w:footer="0" w:header="0"/>
        </w:sectPr>
      </w:pPr>
    </w:p>
    <w:p>
      <w:pPr>
        <w:spacing w:after="0" w:line="30"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the Companies Act 2006, the directors of a</w:t>
      </w:r>
    </w:p>
    <w:p>
      <w:pPr>
        <w:ind w:left="2380"/>
        <w:spacing w:after="0" w:line="236" w:lineRule="auto"/>
        <w:rPr>
          <w:sz w:val="20"/>
          <w:szCs w:val="20"/>
          <w:color w:val="auto"/>
        </w:rPr>
      </w:pPr>
      <w:r>
        <w:rPr>
          <w:rFonts w:ascii="Arial" w:cs="Arial" w:eastAsia="Arial" w:hAnsi="Arial"/>
          <w:sz w:val="18"/>
          <w:szCs w:val="18"/>
          <w:color w:val="auto"/>
        </w:rPr>
        <w:t>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00" w:lineRule="exact"/>
        <w:rPr>
          <w:sz w:val="20"/>
          <w:szCs w:val="20"/>
          <w:color w:val="auto"/>
        </w:rPr>
      </w:pPr>
    </w:p>
    <w:p>
      <w:pPr>
        <w:sectPr>
          <w:pgSz w:w="11900" w:h="16838" w:orient="portrait"/>
          <w:cols w:equalWidth="0" w:num="2">
            <w:col w:w="6800" w:space="180"/>
            <w:col w:w="4440"/>
          </w:cols>
          <w:pgMar w:left="240" w:top="142" w:right="239" w:bottom="1440" w:gutter="0" w:footer="0" w:header="0"/>
          <w:type w:val="continuous"/>
        </w:sectPr>
      </w:pPr>
    </w:p>
    <w:p>
      <w:pPr>
        <w:spacing w:after="0" w:line="38"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Liability of Directors and</w:t>
      </w:r>
      <w:r>
        <w:rPr>
          <w:sz w:val="20"/>
          <w:szCs w:val="20"/>
          <w:color w:val="auto"/>
        </w:rPr>
        <w:tab/>
      </w:r>
      <w:r>
        <w:rPr>
          <w:rFonts w:ascii="Arial" w:cs="Arial" w:eastAsia="Arial" w:hAnsi="Arial"/>
          <w:sz w:val="16"/>
          <w:szCs w:val="16"/>
          <w:color w:val="auto"/>
        </w:rPr>
        <w:t>Under the Companies Act 2006, any provision, whether</w:t>
      </w:r>
    </w:p>
    <w:p>
      <w:pPr>
        <w:spacing w:after="0"/>
        <w:tabs>
          <w:tab w:leader="none" w:pos="2360" w:val="left"/>
        </w:tabs>
        <w:rPr>
          <w:sz w:val="20"/>
          <w:szCs w:val="20"/>
          <w:color w:val="auto"/>
        </w:rPr>
      </w:pPr>
      <w:r>
        <w:rPr>
          <w:rFonts w:ascii="Arial" w:cs="Arial" w:eastAsia="Arial" w:hAnsi="Arial"/>
          <w:sz w:val="16"/>
          <w:szCs w:val="16"/>
          <w:color w:val="auto"/>
        </w:rPr>
        <w:t>Officers</w:t>
      </w:r>
      <w:r>
        <w:rPr>
          <w:sz w:val="20"/>
          <w:szCs w:val="20"/>
          <w:color w:val="auto"/>
        </w:rPr>
        <w:tab/>
      </w:r>
      <w:r>
        <w:rPr>
          <w:rFonts w:ascii="Arial" w:cs="Arial" w:eastAsia="Arial" w:hAnsi="Arial"/>
          <w:sz w:val="16"/>
          <w:szCs w:val="16"/>
          <w:color w:val="auto"/>
        </w:rPr>
        <w:t>contained in a company's articles of association or any</w:t>
      </w:r>
    </w:p>
    <w:p>
      <w:pPr>
        <w:spacing w:after="0" w:line="19" w:lineRule="exact"/>
        <w:rPr>
          <w:sz w:val="20"/>
          <w:szCs w:val="20"/>
          <w:color w:val="auto"/>
        </w:rPr>
      </w:pPr>
    </w:p>
    <w:p>
      <w:pPr>
        <w:ind w:left="2380"/>
        <w:spacing w:after="0" w:line="236" w:lineRule="auto"/>
        <w:rPr>
          <w:sz w:val="20"/>
          <w:szCs w:val="20"/>
          <w:color w:val="auto"/>
        </w:rPr>
      </w:pPr>
      <w:r>
        <w:rPr>
          <w:rFonts w:ascii="Arial" w:cs="Arial" w:eastAsia="Arial" w:hAnsi="Arial"/>
          <w:sz w:val="18"/>
          <w:szCs w:val="18"/>
          <w:color w:val="auto"/>
        </w:rPr>
        <w:t>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ectPr>
          <w:pgSz w:w="11900" w:h="16838" w:orient="portrait"/>
          <w:cols w:equalWidth="0" w:num="2">
            <w:col w:w="6720" w:space="260"/>
            <w:col w:w="4440"/>
          </w:cols>
          <w:pgMar w:left="240" w:top="142" w:right="239" w:bottom="1440"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8890</wp:posOffset>
            </wp:positionV>
            <wp:extent cx="28213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2280" w:right="20"/>
        <w:spacing w:after="0" w:line="234" w:lineRule="auto"/>
        <w:rPr>
          <w:sz w:val="20"/>
          <w:szCs w:val="20"/>
          <w:color w:val="auto"/>
        </w:rPr>
      </w:pPr>
      <w:r>
        <w:rPr>
          <w:rFonts w:ascii="Arial" w:cs="Arial" w:eastAsia="Arial" w:hAnsi="Arial"/>
          <w:sz w:val="18"/>
          <w:szCs w:val="18"/>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w:t>
      </w:r>
    </w:p>
    <w:p>
      <w:pPr>
        <w:spacing w:after="0" w:line="2" w:lineRule="exact"/>
        <w:rPr>
          <w:sz w:val="20"/>
          <w:szCs w:val="20"/>
          <w:color w:val="auto"/>
        </w:rPr>
      </w:pPr>
    </w:p>
    <w:p>
      <w:pPr>
        <w:ind w:left="2540" w:hanging="263"/>
        <w:spacing w:after="0"/>
        <w:tabs>
          <w:tab w:leader="none" w:pos="2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purchase and maintain insurance against such</w:t>
      </w:r>
    </w:p>
    <w:p>
      <w:pPr>
        <w:ind w:left="2280"/>
        <w:spacing w:after="0" w:line="236" w:lineRule="auto"/>
        <w:rPr>
          <w:rFonts w:ascii="Arial" w:cs="Arial" w:eastAsia="Arial" w:hAnsi="Arial"/>
          <w:sz w:val="18"/>
          <w:szCs w:val="18"/>
          <w:color w:val="auto"/>
        </w:rPr>
      </w:pPr>
      <w:r>
        <w:rPr>
          <w:rFonts w:ascii="Arial" w:cs="Arial" w:eastAsia="Arial" w:hAnsi="Arial"/>
          <w:sz w:val="18"/>
          <w:szCs w:val="18"/>
          <w:color w:val="auto"/>
        </w:rPr>
        <w:t>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3"/>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323" w:right="380" w:hanging="323"/>
        <w:spacing w:after="0" w:line="183" w:lineRule="auto"/>
        <w:tabs>
          <w:tab w:leader="none" w:pos="323"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any breach of the director's duty of loyalty to the corporation or its stockholders;</w:t>
      </w:r>
    </w:p>
    <w:p>
      <w:pPr>
        <w:spacing w:after="0" w:line="384" w:lineRule="exact"/>
        <w:rPr>
          <w:rFonts w:ascii="Arial" w:cs="Arial" w:eastAsia="Arial" w:hAnsi="Arial"/>
          <w:sz w:val="29"/>
          <w:szCs w:val="29"/>
          <w:color w:val="auto"/>
          <w:vertAlign w:val="superscript"/>
        </w:rPr>
      </w:pPr>
    </w:p>
    <w:p>
      <w:pPr>
        <w:ind w:left="323" w:right="60" w:hanging="323"/>
        <w:spacing w:after="0" w:line="299" w:lineRule="auto"/>
        <w:tabs>
          <w:tab w:leader="none" w:pos="323" w:val="left"/>
        </w:tabs>
        <w:numPr>
          <w:ilvl w:val="0"/>
          <w:numId w:val="93"/>
        </w:numPr>
        <w:rPr>
          <w:rFonts w:ascii="Arial" w:cs="Arial" w:eastAsia="Arial" w:hAnsi="Arial"/>
          <w:sz w:val="14"/>
          <w:szCs w:val="14"/>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351" w:lineRule="exact"/>
        <w:rPr>
          <w:rFonts w:ascii="Arial" w:cs="Arial" w:eastAsia="Arial" w:hAnsi="Arial"/>
          <w:sz w:val="14"/>
          <w:szCs w:val="14"/>
          <w:color w:val="auto"/>
        </w:rPr>
      </w:pPr>
    </w:p>
    <w:p>
      <w:pPr>
        <w:ind w:left="323" w:right="360" w:hanging="323"/>
        <w:spacing w:after="0" w:line="191" w:lineRule="auto"/>
        <w:tabs>
          <w:tab w:leader="none" w:pos="323" w:val="left"/>
        </w:tabs>
        <w:numPr>
          <w:ilvl w:val="0"/>
          <w:numId w:val="93"/>
        </w:numPr>
        <w:rPr>
          <w:rFonts w:ascii="Arial" w:cs="Arial" w:eastAsia="Arial" w:hAnsi="Arial"/>
          <w:sz w:val="28"/>
          <w:szCs w:val="28"/>
          <w:color w:val="auto"/>
          <w:vertAlign w:val="superscript"/>
        </w:rPr>
      </w:pPr>
      <w:r>
        <w:rPr>
          <w:rFonts w:ascii="Arial" w:cs="Arial" w:eastAsia="Arial" w:hAnsi="Arial"/>
          <w:sz w:val="17"/>
          <w:szCs w:val="17"/>
          <w:color w:val="auto"/>
        </w:rPr>
        <w:t>intentional or negligent payment of unlawful dividends or stock purchases or redemptions; or</w:t>
      </w:r>
    </w:p>
    <w:p>
      <w:pPr>
        <w:spacing w:after="0" w:line="398" w:lineRule="exact"/>
        <w:rPr>
          <w:rFonts w:ascii="Arial" w:cs="Arial" w:eastAsia="Arial" w:hAnsi="Arial"/>
          <w:sz w:val="28"/>
          <w:szCs w:val="28"/>
          <w:color w:val="auto"/>
          <w:vertAlign w:val="superscript"/>
        </w:rPr>
      </w:pPr>
    </w:p>
    <w:p>
      <w:pPr>
        <w:ind w:left="323" w:right="220" w:hanging="323"/>
        <w:spacing w:after="0" w:line="183" w:lineRule="auto"/>
        <w:tabs>
          <w:tab w:leader="none" w:pos="323" w:val="left"/>
        </w:tabs>
        <w:numPr>
          <w:ilvl w:val="0"/>
          <w:numId w:val="93"/>
        </w:numPr>
        <w:rPr>
          <w:rFonts w:ascii="Arial" w:cs="Arial" w:eastAsia="Arial" w:hAnsi="Arial"/>
          <w:sz w:val="29"/>
          <w:szCs w:val="29"/>
          <w:color w:val="auto"/>
          <w:vertAlign w:val="superscript"/>
        </w:rPr>
      </w:pPr>
      <w:r>
        <w:rPr>
          <w:rFonts w:ascii="Arial" w:cs="Arial" w:eastAsia="Arial" w:hAnsi="Arial"/>
          <w:sz w:val="18"/>
          <w:szCs w:val="18"/>
          <w:color w:val="auto"/>
        </w:rPr>
        <w:t>any transaction from which the director derives an improper personal benefit.</w:t>
      </w:r>
    </w:p>
    <w:p>
      <w:pPr>
        <w:spacing w:after="0" w:line="835" w:lineRule="exact"/>
        <w:rPr>
          <w:sz w:val="20"/>
          <w:szCs w:val="20"/>
          <w:color w:val="auto"/>
        </w:rPr>
      </w:pPr>
    </w:p>
    <w:p>
      <w:pPr>
        <w:sectPr>
          <w:pgSz w:w="11900" w:h="16838" w:orient="portrait"/>
          <w:cols w:equalWidth="0" w:num="2">
            <w:col w:w="6660" w:space="317"/>
            <w:col w:w="4423"/>
          </w:cols>
          <w:pgMar w:left="240" w:top="143" w:right="259" w:bottom="1440" w:gutter="0" w:footer="0" w:header="0"/>
        </w:sectPr>
      </w:pPr>
    </w:p>
    <w:p>
      <w:pPr>
        <w:spacing w:after="0" w:line="3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Under English law, unless a poll is demanded by the</w:t>
      </w:r>
    </w:p>
    <w:p>
      <w:pPr>
        <w:ind w:left="2280"/>
        <w:spacing w:after="0" w:line="266" w:lineRule="auto"/>
        <w:rPr>
          <w:sz w:val="20"/>
          <w:szCs w:val="20"/>
          <w:color w:val="auto"/>
        </w:rPr>
      </w:pPr>
      <w:r>
        <w:rPr>
          <w:rFonts w:ascii="Arial" w:cs="Arial" w:eastAsia="Arial" w:hAnsi="Arial"/>
          <w:sz w:val="16"/>
          <w:szCs w:val="16"/>
          <w:color w:val="auto"/>
        </w:rPr>
        <w:t>shareholders of a company or is required by the chairman of the meeting or the company's articles of association, shareholders shall vote on all resolutions on a show of hands. Under the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720" w:space="260"/>
            <w:col w:w="4420"/>
          </w:cols>
          <w:pgMar w:left="240" w:top="143" w:right="25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1"/>
        <w:spacing w:after="0" w:line="299" w:lineRule="auto"/>
        <w:rPr>
          <w:sz w:val="20"/>
          <w:szCs w:val="20"/>
          <w:color w:val="auto"/>
        </w:rPr>
      </w:pPr>
      <w:r>
        <w:rPr>
          <w:rFonts w:ascii="Arial" w:cs="Arial" w:eastAsia="Arial" w:hAnsi="Arial"/>
          <w:sz w:val="16"/>
          <w:szCs w:val="16"/>
          <w:color w:val="auto"/>
        </w:rPr>
        <w:t>Shareholder Vote on Certain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left="-68"/>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9"/>
        <w:spacing w:after="0" w:line="234" w:lineRule="auto"/>
        <w:rPr>
          <w:sz w:val="20"/>
          <w:szCs w:val="20"/>
          <w:color w:val="auto"/>
        </w:rPr>
      </w:pPr>
      <w:r>
        <w:rPr>
          <w:rFonts w:ascii="Arial" w:cs="Arial" w:eastAsia="Arial" w:hAnsi="Arial"/>
          <w:sz w:val="18"/>
          <w:szCs w:val="18"/>
          <w:color w:val="auto"/>
        </w:rPr>
        <w:t>Under English law,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 Special resolutions require the affirmative vote of not less than 75% of the votes cast by shareholders present, in person or by proxy, at the meeting.</w:t>
      </w:r>
    </w:p>
    <w:p>
      <w:pPr>
        <w:spacing w:after="0" w:line="9" w:lineRule="exact"/>
        <w:rPr>
          <w:sz w:val="20"/>
          <w:szCs w:val="20"/>
          <w:color w:val="auto"/>
        </w:rPr>
      </w:pPr>
    </w:p>
    <w:p>
      <w:pPr>
        <w:ind w:left="9" w:right="100"/>
        <w:spacing w:after="0" w:line="271" w:lineRule="auto"/>
        <w:rPr>
          <w:sz w:val="20"/>
          <w:szCs w:val="20"/>
          <w:color w:val="auto"/>
        </w:rPr>
      </w:pPr>
      <w:r>
        <w:rPr>
          <w:rFonts w:ascii="Arial" w:cs="Arial" w:eastAsia="Arial" w:hAnsi="Arial"/>
          <w:sz w:val="16"/>
          <w:szCs w:val="16"/>
          <w:color w:val="auto"/>
        </w:rPr>
        <w:t>The Companies Act 2006 provides for schemes of arrangement, which are arrangements or compromises between a company and any class of shareholders or creditors and used in certain types of reconstructions, amalgamations, capital reorganizations or takeovers. These arrangements require:</w:t>
      </w:r>
    </w:p>
    <w:p>
      <w:pPr>
        <w:spacing w:after="0" w:line="158" w:lineRule="exact"/>
        <w:rPr>
          <w:sz w:val="20"/>
          <w:szCs w:val="20"/>
          <w:color w:val="auto"/>
        </w:rPr>
      </w:pPr>
    </w:p>
    <w:p>
      <w:pPr>
        <w:ind w:left="329" w:hanging="329"/>
        <w:spacing w:after="0" w:line="217" w:lineRule="auto"/>
        <w:tabs>
          <w:tab w:leader="none" w:pos="329" w:val="left"/>
        </w:tabs>
        <w:numPr>
          <w:ilvl w:val="0"/>
          <w:numId w:val="94"/>
        </w:numPr>
        <w:rPr>
          <w:rFonts w:ascii="Arial" w:cs="Arial" w:eastAsia="Arial" w:hAnsi="Arial"/>
          <w:sz w:val="29"/>
          <w:szCs w:val="29"/>
          <w:color w:val="auto"/>
          <w:vertAlign w:val="superscript"/>
        </w:rPr>
      </w:pPr>
      <w:r>
        <w:rPr>
          <w:rFonts w:ascii="Arial" w:cs="Arial" w:eastAsia="Arial" w:hAnsi="Arial"/>
          <w:sz w:val="18"/>
          <w:szCs w:val="18"/>
          <w:color w:val="auto"/>
        </w:rPr>
        <w:t>the approval at a shareholders' or creditors' meeting convened by order of the court, of a majority in number of shareholders or creditors representing 75% in value of the capital held by, or debt owed to, the class of shareholders or creditors, or class thereof present and voting, either in person or by proxy; and</w:t>
      </w:r>
    </w:p>
    <w:p>
      <w:pPr>
        <w:spacing w:after="0" w:line="385" w:lineRule="exact"/>
        <w:rPr>
          <w:rFonts w:ascii="Arial" w:cs="Arial" w:eastAsia="Arial" w:hAnsi="Arial"/>
          <w:sz w:val="29"/>
          <w:szCs w:val="29"/>
          <w:color w:val="auto"/>
          <w:vertAlign w:val="superscript"/>
        </w:rPr>
      </w:pPr>
    </w:p>
    <w:p>
      <w:pPr>
        <w:ind w:left="329" w:hanging="329"/>
        <w:spacing w:after="0"/>
        <w:tabs>
          <w:tab w:leader="none" w:pos="329" w:val="left"/>
        </w:tabs>
        <w:numPr>
          <w:ilvl w:val="0"/>
          <w:numId w:val="94"/>
        </w:numPr>
        <w:rPr>
          <w:rFonts w:ascii="Arial" w:cs="Arial" w:eastAsia="Arial" w:hAnsi="Arial"/>
          <w:sz w:val="14"/>
          <w:szCs w:val="14"/>
          <w:color w:val="auto"/>
        </w:rPr>
      </w:pPr>
      <w:r>
        <w:rPr>
          <w:rFonts w:ascii="Arial" w:cs="Arial" w:eastAsia="Arial" w:hAnsi="Arial"/>
          <w:sz w:val="18"/>
          <w:szCs w:val="18"/>
          <w:color w:val="auto"/>
        </w:rPr>
        <w:t>the approval of the court.</w:t>
      </w:r>
    </w:p>
    <w:p>
      <w:pPr>
        <w:spacing w:after="0" w:line="212" w:lineRule="exact"/>
        <w:rPr>
          <w:sz w:val="20"/>
          <w:szCs w:val="20"/>
          <w:color w:val="auto"/>
        </w:rPr>
      </w:pPr>
    </w:p>
    <w:p>
      <w:pPr>
        <w:ind w:left="318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130175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903"/>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 w:right="140"/>
        <w:spacing w:after="0" w:line="273"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33" w:lineRule="exact"/>
        <w:rPr>
          <w:sz w:val="20"/>
          <w:szCs w:val="20"/>
          <w:color w:val="auto"/>
        </w:rPr>
      </w:pPr>
    </w:p>
    <w:p>
      <w:pPr>
        <w:ind w:left="323" w:hanging="323"/>
        <w:spacing w:after="0"/>
        <w:tabs>
          <w:tab w:leader="none" w:pos="323"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the approval of the board of directors; and</w:t>
      </w:r>
    </w:p>
    <w:p>
      <w:pPr>
        <w:spacing w:after="0" w:line="383" w:lineRule="exact"/>
        <w:rPr>
          <w:rFonts w:ascii="Arial" w:cs="Arial" w:eastAsia="Arial" w:hAnsi="Arial"/>
          <w:sz w:val="29"/>
          <w:szCs w:val="29"/>
          <w:color w:val="auto"/>
          <w:vertAlign w:val="superscript"/>
        </w:rPr>
      </w:pPr>
    </w:p>
    <w:p>
      <w:pPr>
        <w:ind w:left="323" w:hanging="323"/>
        <w:spacing w:after="0" w:line="273" w:lineRule="auto"/>
        <w:tabs>
          <w:tab w:leader="none" w:pos="323" w:val="left"/>
        </w:tabs>
        <w:numPr>
          <w:ilvl w:val="0"/>
          <w:numId w:val="95"/>
        </w:numPr>
        <w:rPr>
          <w:rFonts w:ascii="Arial" w:cs="Arial" w:eastAsia="Arial" w:hAnsi="Arial"/>
          <w:sz w:val="14"/>
          <w:szCs w:val="14"/>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3">
            <w:col w:w="1651" w:space="720"/>
            <w:col w:w="4369" w:space="237"/>
            <w:col w:w="4423"/>
          </w:cols>
          <w:pgMar w:left="240" w:top="143"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2120" w:type="dxa"/>
            <w:vAlign w:val="bottom"/>
          </w:tcPr>
          <w:p>
            <w:pPr>
              <w:spacing w:after="0" w:line="200" w:lineRule="exact"/>
              <w:rPr>
                <w:sz w:val="20"/>
                <w:szCs w:val="20"/>
                <w:color w:val="auto"/>
              </w:rPr>
            </w:pPr>
            <w:r>
              <w:rPr>
                <w:rFonts w:ascii="Arial" w:cs="Arial" w:eastAsia="Arial" w:hAnsi="Arial"/>
                <w:sz w:val="18"/>
                <w:szCs w:val="18"/>
                <w:color w:val="auto"/>
              </w:rPr>
              <w:t>Standard of Conduct for</w:t>
            </w:r>
          </w:p>
        </w:tc>
        <w:tc>
          <w:tcPr>
            <w:tcW w:w="4700" w:type="dxa"/>
            <w:vAlign w:val="bottom"/>
            <w:gridSpan w:val="3"/>
          </w:tcPr>
          <w:p>
            <w:pPr>
              <w:ind w:left="260"/>
              <w:spacing w:after="0" w:line="200" w:lineRule="exact"/>
              <w:rPr>
                <w:sz w:val="20"/>
                <w:szCs w:val="20"/>
                <w:color w:val="auto"/>
              </w:rPr>
            </w:pPr>
            <w:r>
              <w:rPr>
                <w:rFonts w:ascii="Arial" w:cs="Arial" w:eastAsia="Arial" w:hAnsi="Arial"/>
                <w:sz w:val="18"/>
                <w:szCs w:val="18"/>
                <w:color w:val="auto"/>
                <w:w w:val="98"/>
              </w:rPr>
              <w:t>Under English law, a director owes various statutory and</w:t>
            </w: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Directors</w:t>
            </w:r>
          </w:p>
        </w:tc>
        <w:tc>
          <w:tcPr>
            <w:tcW w:w="4700" w:type="dxa"/>
            <w:vAlign w:val="bottom"/>
            <w:gridSpan w:val="3"/>
          </w:tcPr>
          <w:p>
            <w:pPr>
              <w:ind w:left="260"/>
              <w:spacing w:after="0"/>
              <w:rPr>
                <w:sz w:val="20"/>
                <w:szCs w:val="20"/>
                <w:color w:val="auto"/>
              </w:rPr>
            </w:pPr>
            <w:r>
              <w:rPr>
                <w:rFonts w:ascii="Arial" w:cs="Arial" w:eastAsia="Arial" w:hAnsi="Arial"/>
                <w:sz w:val="18"/>
                <w:szCs w:val="18"/>
                <w:color w:val="auto"/>
              </w:rPr>
              <w:t>fiduciary duties to the company, including:</w:t>
            </w:r>
          </w:p>
        </w:tc>
      </w:tr>
      <w:tr>
        <w:trPr>
          <w:trHeight w:val="383"/>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to act in the way he considers, in good faith, would</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be most likely to promote the success of the</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company for the benefit of its members as a whole;</w:t>
            </w:r>
          </w:p>
        </w:tc>
      </w:tr>
      <w:tr>
        <w:trPr>
          <w:trHeight w:val="586"/>
        </w:trPr>
        <w:tc>
          <w:tcPr>
            <w:tcW w:w="2120" w:type="dxa"/>
            <w:vAlign w:val="bottom"/>
          </w:tcPr>
          <w:p>
            <w:pPr>
              <w:spacing w:after="0"/>
              <w:rPr>
                <w:sz w:val="24"/>
                <w:szCs w:val="24"/>
                <w:color w:val="auto"/>
              </w:rPr>
            </w:pPr>
          </w:p>
        </w:tc>
        <w:tc>
          <w:tcPr>
            <w:tcW w:w="4700" w:type="dxa"/>
            <w:vAlign w:val="bottom"/>
            <w:gridSpan w:val="3"/>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to avoid a situation in which he has, or can have, a</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direct or indirect interest that conflicts, or possibly</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conflicts, with the interests of the company;</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to act in accordance with the company's constitution</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and only exercise his powers for the purposes for</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which they are conferred;</w:t>
            </w:r>
          </w:p>
        </w:tc>
      </w:tr>
      <w:tr>
        <w:trPr>
          <w:trHeight w:val="608"/>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to exercise independent judgment;</w:t>
            </w:r>
          </w:p>
        </w:tc>
      </w:tr>
      <w:tr>
        <w:trPr>
          <w:trHeight w:val="594"/>
        </w:trPr>
        <w:tc>
          <w:tcPr>
            <w:tcW w:w="2120" w:type="dxa"/>
            <w:vAlign w:val="bottom"/>
          </w:tcPr>
          <w:p>
            <w:pPr>
              <w:spacing w:after="0"/>
              <w:rPr>
                <w:sz w:val="24"/>
                <w:szCs w:val="24"/>
                <w:color w:val="auto"/>
              </w:rPr>
            </w:pPr>
          </w:p>
        </w:tc>
        <w:tc>
          <w:tcPr>
            <w:tcW w:w="4700" w:type="dxa"/>
            <w:vAlign w:val="bottom"/>
            <w:gridSpan w:val="3"/>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to exercise reasonable care, skill and diligence;</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not to accept benefits from a third party conferred by</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w w:val="99"/>
              </w:rPr>
              <w:t>reason of his being a director or doing, or not doing,</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anything as a director; and</w:t>
            </w:r>
          </w:p>
        </w:tc>
      </w:tr>
      <w:tr>
        <w:trPr>
          <w:trHeight w:val="599"/>
        </w:trPr>
        <w:tc>
          <w:tcPr>
            <w:tcW w:w="21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60" w:type="dxa"/>
            <w:vAlign w:val="bottom"/>
          </w:tcPr>
          <w:p>
            <w:pPr>
              <w:ind w:left="140"/>
              <w:spacing w:after="0"/>
              <w:rPr>
                <w:sz w:val="20"/>
                <w:szCs w:val="20"/>
                <w:color w:val="auto"/>
              </w:rPr>
            </w:pPr>
            <w:r>
              <w:rPr>
                <w:rFonts w:ascii="Arial" w:cs="Arial" w:eastAsia="Arial" w:hAnsi="Arial"/>
                <w:sz w:val="18"/>
                <w:szCs w:val="18"/>
                <w:color w:val="auto"/>
              </w:rPr>
              <w:t>a duty to declare any interest that he has, whether</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directly or indirectly, in a proposed or existing</w:t>
            </w:r>
          </w:p>
        </w:tc>
      </w:tr>
      <w:tr>
        <w:trPr>
          <w:trHeight w:val="211"/>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transaction or 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8213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37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820" w:space="160"/>
            <w:col w:w="4420"/>
          </w:cols>
          <w:pgMar w:left="240" w:top="143"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England and Wales</w:t>
            </w:r>
          </w:p>
        </w:tc>
      </w:tr>
      <w:tr>
        <w:trPr>
          <w:trHeight w:val="199"/>
        </w:trPr>
        <w:tc>
          <w:tcPr>
            <w:tcW w:w="1880" w:type="dxa"/>
            <w:vAlign w:val="bottom"/>
          </w:tcPr>
          <w:p>
            <w:pPr>
              <w:spacing w:after="0" w:line="200" w:lineRule="exact"/>
              <w:rPr>
                <w:sz w:val="20"/>
                <w:szCs w:val="20"/>
                <w:color w:val="auto"/>
              </w:rPr>
            </w:pPr>
            <w:r>
              <w:rPr>
                <w:rFonts w:ascii="Arial" w:cs="Arial" w:eastAsia="Arial" w:hAnsi="Arial"/>
                <w:sz w:val="18"/>
                <w:szCs w:val="18"/>
                <w:color w:val="auto"/>
              </w:rPr>
              <w:t>Stockholder Suits</w:t>
            </w:r>
          </w:p>
        </w:tc>
        <w:tc>
          <w:tcPr>
            <w:tcW w:w="49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Under English law, generally, the company, rather than</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its shareholders, is the proper claimant in an action in</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9"/>
              </w:rPr>
              <w:t>respect of a wrong done to the company or where there</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9"/>
              </w:rPr>
              <w:t>is an irregularity in the company's internal management.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7"/>
              </w:rPr>
              <w:t>Notwithstanding this general position, the Companies Act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8"/>
              </w:rPr>
              <w:t>2006 provides that (i) a court may allow a shareholder to</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bring a derivative claim (that is, an action in respect of</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and on behalf of the company) in respect of a cause of</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action arising from a director's negligence, default,</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breach of duty or breach of trust and (ii) a shareholder</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8"/>
              </w:rPr>
              <w:t>may bring a claim for a court order where the company's</w:t>
            </w:r>
          </w:p>
        </w:tc>
      </w:tr>
      <w:tr>
        <w:trPr>
          <w:trHeight w:val="203"/>
        </w:trPr>
        <w:tc>
          <w:tcPr>
            <w:tcW w:w="1880" w:type="dxa"/>
            <w:vAlign w:val="bottom"/>
          </w:tcPr>
          <w:p>
            <w:pPr>
              <w:spacing w:after="0"/>
              <w:rPr>
                <w:sz w:val="17"/>
                <w:szCs w:val="17"/>
                <w:color w:val="auto"/>
              </w:rPr>
            </w:pPr>
          </w:p>
        </w:tc>
        <w:tc>
          <w:tcPr>
            <w:tcW w:w="49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affairs have been or are being conducted in a manner</w:t>
            </w:r>
          </w:p>
        </w:tc>
      </w:tr>
      <w:tr>
        <w:trPr>
          <w:trHeight w:val="211"/>
        </w:trPr>
        <w:tc>
          <w:tcPr>
            <w:tcW w:w="1880" w:type="dxa"/>
            <w:vAlign w:val="bottom"/>
          </w:tcPr>
          <w:p>
            <w:pPr>
              <w:spacing w:after="0"/>
              <w:rPr>
                <w:sz w:val="18"/>
                <w:szCs w:val="18"/>
                <w:color w:val="auto"/>
              </w:rPr>
            </w:pPr>
          </w:p>
        </w:tc>
        <w:tc>
          <w:tcPr>
            <w:tcW w:w="4940" w:type="dxa"/>
            <w:vAlign w:val="bottom"/>
            <w:gridSpan w:val="2"/>
          </w:tcPr>
          <w:p>
            <w:pPr>
              <w:ind w:left="500"/>
              <w:spacing w:after="0"/>
              <w:rPr>
                <w:sz w:val="20"/>
                <w:szCs w:val="20"/>
                <w:color w:val="auto"/>
              </w:rPr>
            </w:pPr>
            <w:r>
              <w:rPr>
                <w:rFonts w:ascii="Arial" w:cs="Arial" w:eastAsia="Arial" w:hAnsi="Arial"/>
                <w:sz w:val="18"/>
                <w:szCs w:val="18"/>
                <w:color w:val="auto"/>
              </w:rPr>
              <w:t>that is unfairly prejudicial to some of its shareholders.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8213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1" w:lineRule="exact"/>
        <w:rPr>
          <w:sz w:val="20"/>
          <w:szCs w:val="20"/>
          <w:color w:val="auto"/>
        </w:rPr>
      </w:pPr>
    </w:p>
    <w:p>
      <w:pPr>
        <w:ind w:left="3" w:right="80"/>
        <w:spacing w:after="0" w:line="237"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82" w:lineRule="exact"/>
        <w:rPr>
          <w:sz w:val="20"/>
          <w:szCs w:val="20"/>
          <w:color w:val="auto"/>
        </w:rPr>
      </w:pPr>
    </w:p>
    <w:p>
      <w:pPr>
        <w:jc w:val="both"/>
        <w:ind w:left="323" w:right="140" w:hanging="323"/>
        <w:spacing w:after="0" w:line="205" w:lineRule="auto"/>
        <w:tabs>
          <w:tab w:leader="none" w:pos="323"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386" w:lineRule="exact"/>
        <w:rPr>
          <w:rFonts w:ascii="Arial" w:cs="Arial" w:eastAsia="Arial" w:hAnsi="Arial"/>
          <w:sz w:val="29"/>
          <w:szCs w:val="29"/>
          <w:color w:val="auto"/>
          <w:vertAlign w:val="superscript"/>
        </w:rPr>
      </w:pPr>
    </w:p>
    <w:p>
      <w:pPr>
        <w:ind w:left="323" w:right="40" w:hanging="323"/>
        <w:spacing w:after="0" w:line="237" w:lineRule="auto"/>
        <w:tabs>
          <w:tab w:leader="none" w:pos="323" w:val="left"/>
        </w:tabs>
        <w:numPr>
          <w:ilvl w:val="0"/>
          <w:numId w:val="96"/>
        </w:numPr>
        <w:rPr>
          <w:rFonts w:ascii="Arial" w:cs="Arial" w:eastAsia="Arial" w:hAnsi="Arial"/>
          <w:sz w:val="14"/>
          <w:szCs w:val="14"/>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00" w:lineRule="exact"/>
        <w:rPr>
          <w:sz w:val="20"/>
          <w:szCs w:val="20"/>
          <w:color w:val="auto"/>
        </w:rPr>
      </w:pPr>
    </w:p>
    <w:p>
      <w:pPr>
        <w:sectPr>
          <w:pgSz w:w="11900" w:h="16838" w:orient="portrait"/>
          <w:cols w:equalWidth="0" w:num="2">
            <w:col w:w="6820" w:space="157"/>
            <w:col w:w="4443"/>
          </w:cols>
          <w:pgMar w:left="240" w:top="143" w:right="239" w:bottom="1440" w:gutter="0" w:footer="0" w:header="0"/>
        </w:sectPr>
      </w:pPr>
    </w:p>
    <w:p>
      <w:pPr>
        <w:spacing w:after="0" w:line="75" w:lineRule="exact"/>
        <w:rPr>
          <w:sz w:val="20"/>
          <w:szCs w:val="20"/>
          <w:color w:val="auto"/>
        </w:rPr>
      </w:pPr>
    </w:p>
    <w:p>
      <w:pPr>
        <w:ind w:left="7300" w:hanging="323"/>
        <w:spacing w:after="0"/>
        <w:tabs>
          <w:tab w:leader="none" w:pos="7300" w:val="left"/>
        </w:tabs>
        <w:numPr>
          <w:ilvl w:val="0"/>
          <w:numId w:val="97"/>
        </w:numPr>
        <w:rPr>
          <w:rFonts w:ascii="Arial" w:cs="Arial" w:eastAsia="Arial" w:hAnsi="Arial"/>
          <w:sz w:val="29"/>
          <w:szCs w:val="29"/>
          <w:color w:val="auto"/>
          <w:vertAlign w:val="superscript"/>
        </w:rPr>
      </w:pPr>
      <w:r>
        <w:rPr>
          <w:rFonts w:ascii="Arial" w:cs="Arial" w:eastAsia="Arial" w:hAnsi="Arial"/>
          <w:sz w:val="18"/>
          <w:szCs w:val="18"/>
          <w:color w:val="auto"/>
        </w:rPr>
        <w:t>state the reasons for not making the effort.</w:t>
      </w:r>
    </w:p>
    <w:p>
      <w:pPr>
        <w:spacing w:after="0" w:line="2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Additionally, the plaintiff must remain a stockholder</w:t>
      </w:r>
    </w:p>
    <w:p>
      <w:pPr>
        <w:ind w:left="6980"/>
        <w:spacing w:after="0"/>
        <w:rPr>
          <w:sz w:val="20"/>
          <w:szCs w:val="20"/>
          <w:color w:val="auto"/>
        </w:rPr>
      </w:pPr>
      <w:r>
        <w:rPr>
          <w:rFonts w:ascii="Arial" w:cs="Arial" w:eastAsia="Arial" w:hAnsi="Arial"/>
          <w:sz w:val="16"/>
          <w:szCs w:val="16"/>
          <w:color w:val="auto"/>
        </w:rPr>
        <w:t>through the duration of the derivative suit. The action will</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not be dismissed or compromised without the approval of</w:t>
      </w:r>
    </w:p>
    <w:p>
      <w:pPr>
        <w:spacing w:after="0" w:line="1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637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Citibank, N.A., or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w:t>
      </w:r>
    </w:p>
    <w:p>
      <w:pPr>
        <w:ind w:right="120"/>
        <w:spacing w:after="0" w:line="239" w:lineRule="auto"/>
        <w:rPr>
          <w:sz w:val="20"/>
          <w:szCs w:val="20"/>
          <w:color w:val="auto"/>
        </w:rPr>
      </w:pPr>
      <w:r>
        <w:rPr>
          <w:rFonts w:ascii="Arial" w:cs="Arial" w:eastAsia="Arial" w:hAnsi="Arial"/>
          <w:sz w:val="18"/>
          <w:szCs w:val="18"/>
          <w:color w:val="auto"/>
        </w:rPr>
        <w:t>N.E., Washington, D.C. 20549 and from the SEC's website (www.sec.gov). Please refer to registration number 333- when retrieving such copy.</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Each ADS represents the right to receive, and to exercise the beneficial ownership interests in,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3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1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respective agents or affiliates shall be required to take any actions whatsoever on your behalf to satisfy such reporting requirements or obtain such regulatory approvals under applicable laws and regulations.</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1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9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20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23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1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9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23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07"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we fail to deliver satisfactory documents to the depositary;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8"/>
        </w:numPr>
        <w:rPr>
          <w:rFonts w:ascii="Arial" w:cs="Arial" w:eastAsia="Arial" w:hAnsi="Arial"/>
          <w:sz w:val="29"/>
          <w:szCs w:val="29"/>
          <w:color w:val="auto"/>
          <w:vertAlign w:val="superscript"/>
        </w:rPr>
      </w:pPr>
      <w:r>
        <w:rPr>
          <w:rFonts w:ascii="Arial" w:cs="Arial" w:eastAsia="Arial" w:hAnsi="Arial"/>
          <w:sz w:val="18"/>
          <w:szCs w:val="18"/>
          <w:color w:val="auto"/>
        </w:rPr>
        <w:t>it is not reasonably practicable to distribute the rights.</w:t>
      </w:r>
    </w:p>
    <w:p>
      <w:pPr>
        <w:spacing w:after="0" w:line="208" w:lineRule="exact"/>
        <w:rPr>
          <w:sz w:val="20"/>
          <w:szCs w:val="20"/>
          <w:color w:val="auto"/>
        </w:rPr>
      </w:pPr>
    </w:p>
    <w:p>
      <w:pPr>
        <w:jc w:val="both"/>
        <w:ind w:right="240"/>
        <w:spacing w:after="0" w:line="299"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232"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209" w:lineRule="exact"/>
        <w:rPr>
          <w:sz w:val="20"/>
          <w:szCs w:val="20"/>
          <w:color w:val="auto"/>
        </w:rPr>
      </w:pPr>
    </w:p>
    <w:p>
      <w:pPr>
        <w:ind w:right="900"/>
        <w:spacing w:after="0" w:line="299" w:lineRule="auto"/>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07"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we do not request that the property be distributed to you or if we ask that the property not be distributed to you; 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we do not deliver satisfactory documents to the depositary; or</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99"/>
        </w:numPr>
        <w:rPr>
          <w:rFonts w:ascii="Arial" w:cs="Arial" w:eastAsia="Arial" w:hAnsi="Arial"/>
          <w:sz w:val="29"/>
          <w:szCs w:val="29"/>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32"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Affecting Ordinary Shares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0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Upon completion of this offering, the ordinary shares being offered pursuant to this prospectus will be deposited by us with the custodian. Upon receipt of confirmation of such deposit, the depositary will issue ADSs to the underwriters named in this prospectus. After the completion of this offering, the ordinary shares that are being offered for sale pursuant to this prospectus will be deposited by us with the custodian. Upon receipt of confirmation of such deposit, the depositary will issue ADSs to the underwriters named in this prospectus.</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86"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the ordinary shares are duly authorized, validly issued, fully paid, non-assessable and legally obtained;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all preemptive (and similar) rights, if any, with respect to such ordinary shares have been validly waived or exercised;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you are duly authorized to deposit the ordinary shares;</w:t>
      </w:r>
    </w:p>
    <w:p>
      <w:pPr>
        <w:spacing w:after="0" w:line="194" w:lineRule="exact"/>
        <w:rPr>
          <w:rFonts w:ascii="Arial" w:cs="Arial" w:eastAsia="Arial" w:hAnsi="Arial"/>
          <w:sz w:val="29"/>
          <w:szCs w:val="29"/>
          <w:color w:val="auto"/>
          <w:vertAlign w:val="superscript"/>
        </w:rPr>
      </w:pPr>
    </w:p>
    <w:p>
      <w:pPr>
        <w:jc w:val="both"/>
        <w:ind w:left="1080" w:hanging="532"/>
        <w:spacing w:after="0" w:line="197" w:lineRule="auto"/>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0"/>
        </w:numPr>
        <w:rPr>
          <w:rFonts w:ascii="Arial" w:cs="Arial" w:eastAsia="Arial" w:hAnsi="Arial"/>
          <w:sz w:val="29"/>
          <w:szCs w:val="29"/>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86"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29"/>
          <w:szCs w:val="29"/>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1"/>
        </w:numPr>
        <w:rPr>
          <w:rFonts w:ascii="Arial" w:cs="Arial" w:eastAsia="Arial" w:hAnsi="Arial"/>
          <w:sz w:val="29"/>
          <w:szCs w:val="29"/>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1"/>
        </w:numPr>
        <w:rPr>
          <w:rFonts w:ascii="Arial" w:cs="Arial" w:eastAsia="Arial" w:hAnsi="Arial"/>
          <w:sz w:val="29"/>
          <w:szCs w:val="29"/>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194"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01"/>
        </w:numPr>
        <w:rPr>
          <w:rFonts w:ascii="Arial" w:cs="Arial" w:eastAsia="Arial" w:hAnsi="Arial"/>
          <w:sz w:val="29"/>
          <w:szCs w:val="29"/>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exceptas a result of:</w:t>
      </w:r>
    </w:p>
    <w:p>
      <w:pPr>
        <w:spacing w:after="0" w:line="212" w:lineRule="exact"/>
        <w:rPr>
          <w:sz w:val="20"/>
          <w:szCs w:val="20"/>
          <w:color w:val="auto"/>
        </w:rPr>
      </w:pPr>
    </w:p>
    <w:p>
      <w:pPr>
        <w:ind w:left="1080" w:right="20" w:hanging="532"/>
        <w:spacing w:after="0" w:line="183" w:lineRule="auto"/>
        <w:tabs>
          <w:tab w:leader="none" w:pos="108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obligations to pay fees, taxes and similar charges; and/or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2"/>
        </w:numPr>
        <w:rPr>
          <w:rFonts w:ascii="Arial" w:cs="Arial" w:eastAsia="Arial" w:hAnsi="Arial"/>
          <w:sz w:val="29"/>
          <w:szCs w:val="29"/>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in this prospectus.</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191" w:lineRule="exact"/>
        <w:rPr>
          <w:sz w:val="20"/>
          <w:szCs w:val="20"/>
          <w:color w:val="auto"/>
        </w:rPr>
      </w:pPr>
    </w:p>
    <w:p>
      <w:pPr>
        <w:ind w:left="1080" w:right="200" w:hanging="532"/>
        <w:spacing w:after="0" w:line="200" w:lineRule="auto"/>
        <w:tabs>
          <w:tab w:leader="none" w:pos="1080" w:val="left"/>
        </w:tabs>
        <w:numPr>
          <w:ilvl w:val="0"/>
          <w:numId w:val="103"/>
        </w:numPr>
        <w:rPr>
          <w:rFonts w:ascii="Arial" w:cs="Arial" w:eastAsia="Arial" w:hAnsi="Arial"/>
          <w:sz w:val="28"/>
          <w:szCs w:val="28"/>
          <w:color w:val="auto"/>
          <w:vertAlign w:val="superscript"/>
        </w:rPr>
      </w:pPr>
      <w:r>
        <w:rPr>
          <w:rFonts w:ascii="Arial" w:cs="Arial" w:eastAsia="Arial" w:hAnsi="Arial"/>
          <w:sz w:val="17"/>
          <w:szCs w:val="17"/>
          <w:i w:val="1"/>
          <w:iCs w:val="1"/>
          <w:color w:val="auto"/>
        </w:rPr>
        <w:t>In the event of voting by show of hands</w:t>
      </w:r>
      <w:r>
        <w:rPr>
          <w:rFonts w:ascii="Arial" w:cs="Arial" w:eastAsia="Arial" w:hAnsi="Arial"/>
          <w:sz w:val="17"/>
          <w:szCs w:val="17"/>
          <w:color w:val="auto"/>
        </w:rPr>
        <w:t>, the depositary will vote (or cause the custodian to vote) all ordinary held on deposit at that</w:t>
      </w:r>
      <w:r>
        <w:rPr>
          <w:rFonts w:ascii="Arial" w:cs="Arial" w:eastAsia="Arial" w:hAnsi="Arial"/>
          <w:sz w:val="17"/>
          <w:szCs w:val="17"/>
          <w:i w:val="1"/>
          <w:iCs w:val="1"/>
          <w:color w:val="auto"/>
        </w:rPr>
        <w:t xml:space="preserve"> </w:t>
      </w:r>
      <w:r>
        <w:rPr>
          <w:rFonts w:ascii="Arial" w:cs="Arial" w:eastAsia="Arial" w:hAnsi="Arial"/>
          <w:sz w:val="17"/>
          <w:szCs w:val="17"/>
          <w:color w:val="auto"/>
        </w:rPr>
        <w:t>time in accordance with the voting instructions received from a majority of holders of ADSs who provide timely voting instructions.</w:t>
      </w:r>
    </w:p>
    <w:p>
      <w:pPr>
        <w:spacing w:after="0" w:line="176" w:lineRule="exact"/>
        <w:rPr>
          <w:rFonts w:ascii="Arial" w:cs="Arial" w:eastAsia="Arial" w:hAnsi="Arial"/>
          <w:sz w:val="28"/>
          <w:szCs w:val="28"/>
          <w:color w:val="auto"/>
          <w:vertAlign w:val="superscript"/>
        </w:rPr>
      </w:pPr>
    </w:p>
    <w:p>
      <w:pPr>
        <w:ind w:left="1080" w:right="760" w:hanging="532"/>
        <w:spacing w:after="0" w:line="191" w:lineRule="auto"/>
        <w:tabs>
          <w:tab w:leader="none" w:pos="108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w:t>
      </w:r>
    </w:p>
    <w:p>
      <w:pPr>
        <w:spacing w:after="0" w:line="209"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be required to pay the following fees under the terms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340"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wp:posOffset>
            </wp:positionV>
            <wp:extent cx="27787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1" w:lineRule="exact"/>
        <w:rPr>
          <w:sz w:val="20"/>
          <w:szCs w:val="20"/>
          <w:color w:val="auto"/>
        </w:rPr>
      </w:pPr>
    </w:p>
    <w:p>
      <w:pPr>
        <w:ind w:left="1140" w:right="80"/>
        <w:spacing w:after="0" w:line="275" w:lineRule="auto"/>
        <w:rPr>
          <w:sz w:val="20"/>
          <w:szCs w:val="20"/>
          <w:color w:val="auto"/>
        </w:rPr>
      </w:pPr>
      <w:r>
        <w:rPr>
          <w:rFonts w:ascii="Arial" w:cs="Arial" w:eastAsia="Arial" w:hAnsi="Arial"/>
          <w:sz w:val="16"/>
          <w:szCs w:val="16"/>
          <w:color w:val="auto"/>
        </w:rPr>
        <w:t>Issuance of ADSs (e.g., an issuance of ADS upon a deposit of ordinary shares or upon a change in the ADS(s)-to-ordinary shares ratio), excluding ADS issuances as a result of distributions of ordinary shares</w:t>
      </w:r>
    </w:p>
    <w:p>
      <w:pPr>
        <w:spacing w:after="0" w:line="210" w:lineRule="exact"/>
        <w:rPr>
          <w:sz w:val="20"/>
          <w:szCs w:val="20"/>
          <w:color w:val="auto"/>
        </w:rPr>
      </w:pPr>
    </w:p>
    <w:p>
      <w:pPr>
        <w:jc w:val="both"/>
        <w:ind w:left="1140" w:right="160"/>
        <w:spacing w:after="0" w:line="238"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235" w:lineRule="exact"/>
        <w:rPr>
          <w:sz w:val="20"/>
          <w:szCs w:val="20"/>
          <w:color w:val="auto"/>
        </w:rPr>
      </w:pPr>
    </w:p>
    <w:p>
      <w:pPr>
        <w:ind w:left="1140"/>
        <w:spacing w:after="0" w:line="299" w:lineRule="auto"/>
        <w:rPr>
          <w:sz w:val="20"/>
          <w:szCs w:val="20"/>
          <w:color w:val="auto"/>
        </w:rPr>
      </w:pPr>
      <w:r>
        <w:rPr>
          <w:rFonts w:ascii="Arial" w:cs="Arial" w:eastAsia="Arial" w:hAnsi="Arial"/>
          <w:sz w:val="16"/>
          <w:szCs w:val="16"/>
          <w:color w:val="auto"/>
        </w:rPr>
        <w:t>Distribution of cash dividends or other cash distributions (e.g., upon a sale of rights and other entitlements)</w:t>
      </w:r>
    </w:p>
    <w:p>
      <w:pPr>
        <w:spacing w:after="0" w:line="190" w:lineRule="exact"/>
        <w:rPr>
          <w:sz w:val="20"/>
          <w:szCs w:val="20"/>
          <w:color w:val="auto"/>
        </w:rPr>
      </w:pPr>
    </w:p>
    <w:p>
      <w:pPr>
        <w:ind w:left="1140" w:right="80"/>
        <w:spacing w:after="0" w:line="238"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235" w:lineRule="exact"/>
        <w:rPr>
          <w:sz w:val="20"/>
          <w:szCs w:val="20"/>
          <w:color w:val="auto"/>
        </w:rPr>
      </w:pPr>
    </w:p>
    <w:p>
      <w:pPr>
        <w:ind w:left="1140" w:right="280"/>
        <w:spacing w:after="0" w:line="239"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ADS Services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27787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cancelled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200" w:lineRule="exact"/>
        <w:rPr>
          <w:sz w:val="20"/>
          <w:szCs w:val="20"/>
          <w:color w:val="auto"/>
        </w:rPr>
      </w:pPr>
    </w:p>
    <w:p>
      <w:pPr>
        <w:spacing w:after="0" w:line="241" w:lineRule="exact"/>
        <w:rPr>
          <w:sz w:val="20"/>
          <w:szCs w:val="20"/>
          <w:color w:val="auto"/>
        </w:rPr>
      </w:pPr>
    </w:p>
    <w:p>
      <w:pPr>
        <w:ind w:right="1600"/>
        <w:spacing w:after="0" w:line="239" w:lineRule="auto"/>
        <w:rPr>
          <w:sz w:val="20"/>
          <w:szCs w:val="20"/>
          <w:color w:val="auto"/>
        </w:rPr>
      </w:pPr>
      <w:r>
        <w:rPr>
          <w:rFonts w:ascii="Arial" w:cs="Arial" w:eastAsia="Arial" w:hAnsi="Arial"/>
          <w:sz w:val="18"/>
          <w:szCs w:val="18"/>
          <w:color w:val="auto"/>
        </w:rPr>
        <w:t>Up to $0.05 per ADS held on the applicable record date(s) established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62230</wp:posOffset>
            </wp:positionV>
            <wp:extent cx="72637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400"/>
            <w:col w:w="5520"/>
          </w:cols>
          <w:pgMar w:left="240" w:top="143" w:right="2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8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194" w:lineRule="exact"/>
        <w:rPr>
          <w:rFonts w:ascii="Arial" w:cs="Arial" w:eastAsia="Arial" w:hAnsi="Arial"/>
          <w:sz w:val="29"/>
          <w:szCs w:val="29"/>
          <w:color w:val="auto"/>
          <w:vertAlign w:val="superscript"/>
        </w:rPr>
      </w:pPr>
    </w:p>
    <w:p>
      <w:pPr>
        <w:ind w:left="1080" w:right="160" w:hanging="532"/>
        <w:spacing w:after="0" w:line="197"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certain cable, telex and facsimile transmission and delivery expenses;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194" w:lineRule="exact"/>
        <w:rPr>
          <w:rFonts w:ascii="Arial" w:cs="Arial" w:eastAsia="Arial" w:hAnsi="Arial"/>
          <w:sz w:val="29"/>
          <w:szCs w:val="29"/>
          <w:color w:val="auto"/>
          <w:vertAlign w:val="superscript"/>
        </w:rPr>
      </w:pPr>
    </w:p>
    <w:p>
      <w:pPr>
        <w:ind w:left="1080" w:right="680" w:hanging="532"/>
        <w:spacing w:after="0" w:line="183"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1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34"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w:t>
      </w:r>
    </w:p>
    <w:p>
      <w:pPr>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234"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12" w:lineRule="exact"/>
        <w:rPr>
          <w:sz w:val="20"/>
          <w:szCs w:val="20"/>
          <w:color w:val="auto"/>
        </w:rPr>
      </w:pPr>
    </w:p>
    <w:p>
      <w:pPr>
        <w:ind w:left="1080" w:right="200" w:hanging="532"/>
        <w:spacing w:after="0" w:line="183"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95"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95" w:lineRule="exact"/>
        <w:rPr>
          <w:rFonts w:ascii="Arial" w:cs="Arial" w:eastAsia="Arial" w:hAnsi="Arial"/>
          <w:sz w:val="29"/>
          <w:szCs w:val="29"/>
          <w:color w:val="auto"/>
          <w:vertAlign w:val="superscript"/>
        </w:rPr>
      </w:pPr>
    </w:p>
    <w:p>
      <w:pPr>
        <w:ind w:left="1080" w:hanging="532"/>
        <w:spacing w:after="0" w:line="211"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71"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94" w:lineRule="exact"/>
        <w:rPr>
          <w:rFonts w:ascii="Arial" w:cs="Arial" w:eastAsia="Arial" w:hAnsi="Arial"/>
          <w:sz w:val="29"/>
          <w:szCs w:val="29"/>
          <w:color w:val="auto"/>
          <w:vertAlign w:val="superscript"/>
        </w:rPr>
      </w:pPr>
    </w:p>
    <w:p>
      <w:pPr>
        <w:ind w:left="1080" w:right="40" w:hanging="532"/>
        <w:spacing w:after="0" w:line="211"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194"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95" w:lineRule="exact"/>
        <w:rPr>
          <w:rFonts w:ascii="Arial" w:cs="Arial" w:eastAsia="Arial" w:hAnsi="Arial"/>
          <w:sz w:val="29"/>
          <w:szCs w:val="29"/>
          <w:color w:val="auto"/>
          <w:vertAlign w:val="superscript"/>
        </w:rPr>
      </w:pPr>
    </w:p>
    <w:p>
      <w:pPr>
        <w:ind w:left="1080" w:right="160" w:hanging="532"/>
        <w:spacing w:after="0" w:line="197"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96" w:lineRule="exact"/>
        <w:rPr>
          <w:rFonts w:ascii="Arial" w:cs="Arial" w:eastAsia="Arial" w:hAnsi="Arial"/>
          <w:sz w:val="29"/>
          <w:szCs w:val="29"/>
          <w:color w:val="auto"/>
          <w:vertAlign w:val="superscript"/>
        </w:rPr>
      </w:pPr>
    </w:p>
    <w:p>
      <w:pPr>
        <w:ind w:left="1080" w:right="80" w:hanging="532"/>
        <w:spacing w:after="0" w:line="191" w:lineRule="auto"/>
        <w:tabs>
          <w:tab w:leader="none" w:pos="1080" w:val="left"/>
        </w:tabs>
        <w:numPr>
          <w:ilvl w:val="0"/>
          <w:numId w:val="105"/>
        </w:numPr>
        <w:rPr>
          <w:rFonts w:ascii="Arial" w:cs="Arial" w:eastAsia="Arial" w:hAnsi="Arial"/>
          <w:sz w:val="28"/>
          <w:szCs w:val="28"/>
          <w:color w:val="auto"/>
          <w:vertAlign w:val="superscript"/>
        </w:rPr>
      </w:pPr>
      <w:r>
        <w:rPr>
          <w:rFonts w:ascii="Arial" w:cs="Arial" w:eastAsia="Arial" w:hAnsi="Arial"/>
          <w:sz w:val="17"/>
          <w:szCs w:val="17"/>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95" w:lineRule="exact"/>
        <w:rPr>
          <w:rFonts w:ascii="Arial" w:cs="Arial" w:eastAsia="Arial" w:hAnsi="Arial"/>
          <w:sz w:val="28"/>
          <w:szCs w:val="28"/>
          <w:color w:val="auto"/>
          <w:vertAlign w:val="superscript"/>
        </w:rPr>
      </w:pPr>
    </w:p>
    <w:p>
      <w:pPr>
        <w:ind w:left="1080" w:right="160" w:hanging="532"/>
        <w:spacing w:after="0" w:line="183" w:lineRule="auto"/>
        <w:tabs>
          <w:tab w:leader="none" w:pos="1080" w:val="left"/>
        </w:tabs>
        <w:numPr>
          <w:ilvl w:val="0"/>
          <w:numId w:val="105"/>
        </w:numPr>
        <w:rPr>
          <w:rFonts w:ascii="Arial" w:cs="Arial" w:eastAsia="Arial" w:hAnsi="Arial"/>
          <w:sz w:val="29"/>
          <w:szCs w:val="29"/>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320" w:hanging="532"/>
        <w:spacing w:after="0" w:line="183" w:lineRule="auto"/>
        <w:tabs>
          <w:tab w:leader="none" w:pos="1080" w:val="left"/>
        </w:tabs>
        <w:numPr>
          <w:ilvl w:val="0"/>
          <w:numId w:val="106"/>
        </w:numPr>
        <w:rPr>
          <w:rFonts w:ascii="Arial" w:cs="Arial" w:eastAsia="Arial" w:hAnsi="Arial"/>
          <w:sz w:val="29"/>
          <w:szCs w:val="29"/>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6"/>
        </w:numPr>
        <w:rPr>
          <w:rFonts w:ascii="Arial" w:cs="Arial" w:eastAsia="Arial" w:hAnsi="Arial"/>
          <w:sz w:val="29"/>
          <w:szCs w:val="29"/>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Transactions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9"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234"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09" w:lineRule="exact"/>
        <w:rPr>
          <w:sz w:val="20"/>
          <w:szCs w:val="20"/>
          <w:color w:val="auto"/>
        </w:rPr>
      </w:pPr>
    </w:p>
    <w:p>
      <w:pPr>
        <w:ind w:left="1080" w:right="100" w:hanging="532"/>
        <w:spacing w:after="0" w:line="183" w:lineRule="auto"/>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7"/>
        </w:numPr>
        <w:rPr>
          <w:rFonts w:ascii="Arial" w:cs="Arial" w:eastAsia="Arial" w:hAnsi="Arial"/>
          <w:sz w:val="29"/>
          <w:szCs w:val="29"/>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Law/Waiver of Jury Trial</w:t>
      </w:r>
    </w:p>
    <w:p>
      <w:pPr>
        <w:spacing w:after="0" w:line="23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20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ARISING OUT OF THE DEPOSIT AGREEMENT OR THE ADRs AGAINST US AND/OR THE DEPOSITARY.</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70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Pr>
          <w:p>
            <w:pPr>
              <w:ind w:left="2020"/>
              <w:spacing w:after="0"/>
              <w:rPr>
                <w:sz w:val="20"/>
                <w:szCs w:val="20"/>
                <w:color w:val="auto"/>
              </w:rPr>
            </w:pPr>
            <w:r>
              <w:rPr>
                <w:rFonts w:ascii="Arial" w:cs="Arial" w:eastAsia="Arial" w:hAnsi="Arial"/>
                <w:sz w:val="18"/>
                <w:szCs w:val="18"/>
                <w:b w:val="1"/>
                <w:bCs w:val="1"/>
                <w:color w:val="auto"/>
              </w:rPr>
              <w:t>SHARES AND ADSs ELIGIBLE FOR FUTURE SALE</w:t>
            </w:r>
          </w:p>
        </w:tc>
        <w:tc>
          <w:tcPr>
            <w:tcW w:w="2160" w:type="dxa"/>
            <w:vAlign w:val="bottom"/>
          </w:tcPr>
          <w:p>
            <w:pPr>
              <w:spacing w:after="0"/>
              <w:rPr>
                <w:sz w:val="24"/>
                <w:szCs w:val="24"/>
                <w:color w:val="auto"/>
              </w:rPr>
            </w:pPr>
          </w:p>
        </w:tc>
      </w:tr>
      <w:tr>
        <w:trPr>
          <w:trHeight w:val="410"/>
        </w:trPr>
        <w:tc>
          <w:tcPr>
            <w:tcW w:w="8640" w:type="dxa"/>
            <w:vAlign w:val="bottom"/>
            <w:gridSpan w:val="3"/>
          </w:tcPr>
          <w:p>
            <w:pPr>
              <w:spacing w:after="0"/>
              <w:rPr>
                <w:sz w:val="20"/>
                <w:szCs w:val="20"/>
                <w:color w:val="auto"/>
              </w:rPr>
            </w:pPr>
            <w:r>
              <w:rPr>
                <w:rFonts w:ascii="Arial" w:cs="Arial" w:eastAsia="Arial" w:hAnsi="Arial"/>
                <w:sz w:val="18"/>
                <w:szCs w:val="18"/>
                <w:color w:val="auto"/>
              </w:rPr>
              <w:t>Prior to this offering, there has been no market for our ADSs. Upon completion of this offering, we will have</w:t>
            </w:r>
          </w:p>
        </w:tc>
        <w:tc>
          <w:tcPr>
            <w:tcW w:w="2160" w:type="dxa"/>
            <w:vAlign w:val="bottom"/>
          </w:tcPr>
          <w:p>
            <w:pPr>
              <w:ind w:left="360"/>
              <w:spacing w:after="0"/>
              <w:rPr>
                <w:sz w:val="20"/>
                <w:szCs w:val="20"/>
                <w:color w:val="auto"/>
              </w:rPr>
            </w:pPr>
            <w:r>
              <w:rPr>
                <w:rFonts w:ascii="Arial" w:cs="Arial" w:eastAsia="Arial" w:hAnsi="Arial"/>
                <w:sz w:val="18"/>
                <w:szCs w:val="18"/>
                <w:color w:val="auto"/>
              </w:rPr>
              <w:t>ADSs outstanding,</w:t>
            </w:r>
          </w:p>
        </w:tc>
      </w:tr>
      <w:tr>
        <w:trPr>
          <w:trHeight w:val="203"/>
        </w:trPr>
        <w:tc>
          <w:tcPr>
            <w:tcW w:w="1560" w:type="dxa"/>
            <w:vAlign w:val="bottom"/>
            <w:gridSpan w:val="2"/>
          </w:tcPr>
          <w:p>
            <w:pPr>
              <w:spacing w:after="0" w:line="202" w:lineRule="exact"/>
              <w:rPr>
                <w:sz w:val="20"/>
                <w:szCs w:val="20"/>
                <w:color w:val="auto"/>
              </w:rPr>
            </w:pPr>
            <w:r>
              <w:rPr>
                <w:rFonts w:ascii="Arial" w:cs="Arial" w:eastAsia="Arial" w:hAnsi="Arial"/>
                <w:sz w:val="18"/>
                <w:szCs w:val="18"/>
                <w:color w:val="auto"/>
              </w:rPr>
              <w:t>representing</w:t>
            </w:r>
          </w:p>
        </w:tc>
        <w:tc>
          <w:tcPr>
            <w:tcW w:w="92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7"/>
              </w:rPr>
              <w:t>ordinary shares. Some of our ADSs and ordinary shares are subject to contractual and legal restrictions on resale as</w:t>
            </w:r>
          </w:p>
        </w:tc>
      </w:tr>
    </w:tbl>
    <w:p>
      <w:pPr>
        <w:ind w:right="400"/>
        <w:spacing w:after="0" w:line="239" w:lineRule="auto"/>
        <w:rPr>
          <w:sz w:val="20"/>
          <w:szCs w:val="20"/>
          <w:color w:val="auto"/>
        </w:rPr>
      </w:pPr>
      <w:r>
        <w:rPr>
          <w:rFonts w:ascii="Arial" w:cs="Arial" w:eastAsia="Arial" w:hAnsi="Arial"/>
          <w:sz w:val="18"/>
          <w:szCs w:val="18"/>
          <w:color w:val="auto"/>
        </w:rPr>
        <w:t>described below. There may be sales of substantial amounts of our ADSs or ordinary shares in the public market after such restrictions lapse, which could adversely affect prevailing market prices of our ADSs.</w:t>
      </w:r>
    </w:p>
    <w:p>
      <w:pPr>
        <w:spacing w:after="0" w:line="209"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We expect ADSs, or ADSs if the underwriters exercise in full their option to purchase an additional ADSs, sold in this offering will be freely transferable without restriction, except for any shares purchased by one of our existing "affiliates," as that term is defined in</w:t>
      </w:r>
    </w:p>
    <w:p>
      <w:pPr>
        <w:spacing w:after="0" w:line="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Rule 144 under the Securities Act. We expect the remaining ADSs will be subject to the contractual 180-day lock-up period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general, a person who has beneficially owned our ordinary shares or ADSs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ordinary shares or ADSs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ectPr>
          <w:pgSz w:w="11900" w:h="16838" w:orient="portrait"/>
          <w:cols w:equalWidth="0" w:num="1">
            <w:col w:w="11360"/>
          </w:cols>
          <w:pgMar w:left="240" w:top="108" w:right="299" w:bottom="1440" w:gutter="0" w:footer="0" w:header="0"/>
        </w:sectPr>
      </w:pPr>
    </w:p>
    <w:p>
      <w:pPr>
        <w:spacing w:after="0" w:line="1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1% of the number of our ordinary shares then outstanding, which will equal approximately ordinary shares immediately after this offering, assuming no exercise of the underwriters' option to purchase additional ordinary shares; or</w:t>
      </w:r>
    </w:p>
    <w:p>
      <w:pPr>
        <w:spacing w:after="0" w:line="195" w:lineRule="exact"/>
        <w:rPr>
          <w:sz w:val="20"/>
          <w:szCs w:val="20"/>
          <w:color w:val="auto"/>
        </w:rPr>
      </w:pPr>
    </w:p>
    <w:p>
      <w:pPr>
        <w:sectPr>
          <w:pgSz w:w="11900" w:h="16838" w:orient="portrait"/>
          <w:cols w:equalWidth="0" w:num="2">
            <w:col w:w="620" w:space="460"/>
            <w:col w:w="10280"/>
          </w:cols>
          <w:pgMar w:left="240" w:top="108" w:right="299" w:bottom="1440" w:gutter="0" w:footer="0" w:header="0"/>
          <w:type w:val="continuous"/>
        </w:sectPr>
      </w:pPr>
    </w:p>
    <w:p>
      <w:pPr>
        <w:ind w:left="1080" w:right="740" w:hanging="532"/>
        <w:spacing w:after="0" w:line="183" w:lineRule="auto"/>
        <w:tabs>
          <w:tab w:leader="none" w:pos="1080" w:val="left"/>
        </w:tabs>
        <w:numPr>
          <w:ilvl w:val="0"/>
          <w:numId w:val="108"/>
        </w:numPr>
        <w:rPr>
          <w:rFonts w:ascii="Arial" w:cs="Arial" w:eastAsia="Arial" w:hAnsi="Arial"/>
          <w:sz w:val="29"/>
          <w:szCs w:val="29"/>
          <w:color w:val="auto"/>
          <w:vertAlign w:val="superscript"/>
        </w:rPr>
      </w:pPr>
      <w:r>
        <w:rPr>
          <w:rFonts w:ascii="Arial" w:cs="Arial" w:eastAsia="Arial" w:hAnsi="Arial"/>
          <w:sz w:val="18"/>
          <w:szCs w:val="18"/>
          <w:color w:val="auto"/>
        </w:rPr>
        <w:t>the average weekly trading volume of our ordinary shares in the form of ADSs on NASDAQ during the four calendar weeks preceding the filing of a notice on Form 144 with respect to the sale;</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general, under Rule 701, any of our employees, board members, executive officers, consultants or advisors who purchases ordinary shares from us in connection with a compensatory share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20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lock-up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type w:val="continuous"/>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entered into a registration rights agreement in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 — Registration Rights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of our board members and executive officers and certain other holders of our ordinary shares and other securities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our ADSs or ordinary shares or such other securities for a period of 180 days after the date of this prospectus, without the prior written consent of Jefferies LLC and Stifel, Nicolaus &amp; Company, Incorporated. See "Underwriting."</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62"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banks, insurance companies, and certain other financial institutions;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U.S. expatriates and certain former citizens or long-term residents of the United States;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dealers or traders in securities who use a mark-to-market method of tax accounting;</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brokers, dealers or traders in securities, commodities or currencies;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tax-exempt entities or government organizations;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regulated investment companies or real estate investment trusts;</w:t>
      </w:r>
    </w:p>
    <w:p>
      <w:pPr>
        <w:spacing w:after="0" w:line="194" w:lineRule="exact"/>
        <w:rPr>
          <w:rFonts w:ascii="Arial" w:cs="Arial" w:eastAsia="Arial" w:hAnsi="Arial"/>
          <w:sz w:val="29"/>
          <w:szCs w:val="29"/>
          <w:color w:val="auto"/>
          <w:vertAlign w:val="superscript"/>
        </w:rPr>
      </w:pPr>
    </w:p>
    <w:p>
      <w:pPr>
        <w:ind w:left="1080" w:right="860" w:hanging="532"/>
        <w:spacing w:after="0" w:line="183"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persons that own or are deemed to own ten percent or more of our voting shares; and</w:t>
      </w:r>
    </w:p>
    <w:p>
      <w:pPr>
        <w:spacing w:after="0" w:line="194" w:lineRule="exact"/>
        <w:rPr>
          <w:rFonts w:ascii="Arial" w:cs="Arial" w:eastAsia="Arial" w:hAnsi="Arial"/>
          <w:sz w:val="29"/>
          <w:szCs w:val="29"/>
          <w:color w:val="auto"/>
          <w:vertAlign w:val="superscript"/>
        </w:rPr>
      </w:pPr>
    </w:p>
    <w:p>
      <w:pPr>
        <w:ind w:left="1080" w:right="60" w:hanging="532"/>
        <w:spacing w:after="0" w:line="183" w:lineRule="auto"/>
        <w:tabs>
          <w:tab w:leader="none" w:pos="1080" w:val="left"/>
        </w:tabs>
        <w:numPr>
          <w:ilvl w:val="0"/>
          <w:numId w:val="109"/>
        </w:numPr>
        <w:rPr>
          <w:rFonts w:ascii="Arial" w:cs="Arial" w:eastAsia="Arial" w:hAnsi="Arial"/>
          <w:sz w:val="29"/>
          <w:szCs w:val="29"/>
          <w:color w:val="auto"/>
          <w:vertAlign w:val="superscript"/>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0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advisers as to the particular U.S. federal income tax consequences of holding and disposing of ordinary shares or ADSs.</w:t>
      </w:r>
    </w:p>
    <w:p>
      <w:pPr>
        <w:spacing w:after="0" w:line="20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178"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209"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11" w:lineRule="exact"/>
        <w:rPr>
          <w:rFonts w:ascii="Arial" w:cs="Arial" w:eastAsia="Arial" w:hAnsi="Arial"/>
          <w:sz w:val="18"/>
          <w:szCs w:val="18"/>
          <w:color w:val="auto"/>
        </w:rPr>
      </w:pPr>
    </w:p>
    <w:p>
      <w:pPr>
        <w:ind w:left="540" w:right="280" w:hanging="532"/>
        <w:spacing w:after="0" w:line="239"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the underlying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non-U.S. corporation will be classified as a PFIC for any taxable year in which, after applying certain look-through rules, either:</w:t>
      </w:r>
    </w:p>
    <w:p>
      <w:pPr>
        <w:spacing w:after="0" w:line="85"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at least 75% of its gross income is passive income (such as interest income); or</w:t>
      </w:r>
    </w:p>
    <w:p>
      <w:pPr>
        <w:spacing w:after="0" w:line="194"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112"/>
        </w:numPr>
        <w:rPr>
          <w:rFonts w:ascii="Arial" w:cs="Arial" w:eastAsia="Arial" w:hAnsi="Arial"/>
          <w:sz w:val="29"/>
          <w:szCs w:val="29"/>
          <w:color w:val="auto"/>
          <w:vertAlign w:val="superscript"/>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 above unless (1) we cease to be a PFIC and the U.S. Holder has made a "deemed sale" election under the PFIC rules, or (2) the U.S. Holder makes a QEF Election (defined below) with respect to taxable years in which we are a PFIC. If such election is made, you will be deemed to have sold the ordinary shares or ADSs you hold at their fair market value and any gain from such deemed sale would be subject to the rules described below. After the deemed sale election, so long as we do not become a PFIC in a subsequent taxable year, your ordinary shares or ADSs with respect to which such election was made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consequences of making a deemed sale election if we cease to be a PFIC and such election becomes available.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mark-to-market election as discussed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8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29"/>
          <w:szCs w:val="29"/>
          <w:color w:val="auto"/>
          <w:vertAlign w:val="superscript"/>
        </w:rPr>
      </w:pPr>
      <w:r>
        <w:rPr>
          <w:rFonts w:ascii="Arial" w:cs="Arial" w:eastAsia="Arial" w:hAnsi="Arial"/>
          <w:sz w:val="18"/>
          <w:szCs w:val="18"/>
          <w:color w:val="auto"/>
        </w:rPr>
        <w:t>the excess distribution or gain will be allocated ratably over your holding period for the ordinary shares or ADSs;</w:t>
      </w:r>
    </w:p>
    <w:p>
      <w:pPr>
        <w:spacing w:after="0" w:line="194"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113"/>
        </w:numPr>
        <w:rPr>
          <w:rFonts w:ascii="Arial" w:cs="Arial" w:eastAsia="Arial" w:hAnsi="Arial"/>
          <w:sz w:val="29"/>
          <w:szCs w:val="29"/>
          <w:color w:val="auto"/>
          <w:vertAlign w:val="superscript"/>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195" w:lineRule="exact"/>
        <w:rPr>
          <w:rFonts w:ascii="Arial" w:cs="Arial" w:eastAsia="Arial" w:hAnsi="Arial"/>
          <w:sz w:val="29"/>
          <w:szCs w:val="29"/>
          <w:color w:val="auto"/>
          <w:vertAlign w:val="superscript"/>
        </w:rPr>
      </w:pPr>
    </w:p>
    <w:p>
      <w:pPr>
        <w:ind w:left="1080" w:right="100" w:hanging="532"/>
        <w:spacing w:after="0" w:line="183" w:lineRule="auto"/>
        <w:tabs>
          <w:tab w:leader="none" w:pos="1080" w:val="left"/>
        </w:tabs>
        <w:numPr>
          <w:ilvl w:val="0"/>
          <w:numId w:val="113"/>
        </w:numPr>
        <w:rPr>
          <w:rFonts w:ascii="Arial" w:cs="Arial" w:eastAsia="Arial" w:hAnsi="Arial"/>
          <w:sz w:val="29"/>
          <w:szCs w:val="29"/>
          <w:color w:val="auto"/>
          <w:vertAlign w:val="superscript"/>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0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2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mark-to-market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mark-to-market election would be available to you if we are a PFIC (which we believe likely for the current year). Each U.S. Holder should consult its tax advisor as to the whether a mark-to-market election is available or advisable with respect to the ordinary shares or ADSs.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ordinary shares or ADSs cease to be marketable.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lower-tier PFIC are themselves "marketable." We believe that 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21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lower-tier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1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Subject to the discussion above under "Passive Foreign Investment Company Rules," distributions paid on ordinary shares or ADSs,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21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5"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3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backup withholding, the U.S. Holder provides a correct taxpayer identification number and certifies that it is not subject to backup withholding.</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paragraphs are intended as a general guide to current U.K. tax law and HM Revenue &amp; Customs published practice applying as at the date of this prospectus (both of which are subject to change at any time, possibly with retrospective effect) relating to the holding of ordinary shares or ADSs. They do not constitute legal or tax advice and do not purport to be a complete analysis of all U.K. tax considerations relating to the holding of ordinary Shares or ADSs. They relate only to persons who are absolute beneficial owners of ordinary shares or ADSs (and where the ordinary shares or ADSs are not held through an Individual Savings Account or a Self-Invested Personal Pension) and who are resident for tax purposes in (and only in) the U.K. ("U.K. Holders") (except to the extent that the position of non-U.K. resident persons is expressly referred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paragraphs may not relate to certain classes of U.K. Holders, such as (but not limited to):</w:t>
      </w:r>
    </w:p>
    <w:p>
      <w:pPr>
        <w:spacing w:after="0" w:line="8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persons who are connected with the Company;</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insurance companies;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charities;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collective investment schemes;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pension schemes;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brokers or dealers in securities or persons who hold ordinary shares or ADSs otherwise than as an investment;</w:t>
      </w:r>
    </w:p>
    <w:p>
      <w:pPr>
        <w:spacing w:after="0" w:line="194"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persons who have (or are deemed to have) acquired their ordinary shares or ADSs by virtue of an office or employment or who are or have been officers or employees of the Company or any of its affiliates;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14"/>
        </w:numPr>
        <w:rPr>
          <w:rFonts w:ascii="Arial" w:cs="Arial" w:eastAsia="Arial" w:hAnsi="Arial"/>
          <w:sz w:val="29"/>
          <w:szCs w:val="29"/>
          <w:color w:val="auto"/>
          <w:vertAlign w:val="superscript"/>
        </w:rPr>
      </w:pPr>
      <w:r>
        <w:rPr>
          <w:rFonts w:ascii="Arial" w:cs="Arial" w:eastAsia="Arial" w:hAnsi="Arial"/>
          <w:sz w:val="18"/>
          <w:szCs w:val="18"/>
          <w:color w:val="auto"/>
        </w:rPr>
        <w:t>individuals who are subject to U.K. taxation on a remittance basis.</w:t>
      </w:r>
    </w:p>
    <w:p>
      <w:pPr>
        <w:spacing w:after="0" w:line="208"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These paragraphs do not describe all of the circumstances in which holders of ordinary shares or ADSs may benefit from an exemption or relief from U.K. taxation. It is recommended that all holders of Ordinary Shares or ADSs obtain their own tax advice. In particular, non-U.K. resident or domiciled persons are advised to consider the potential impact of any relevant double tax agreements.</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Withholding Tax</w:t>
      </w:r>
    </w:p>
    <w:p>
      <w:pPr>
        <w:spacing w:after="0" w:line="23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holders of ordinary shares or ADSs.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An individual U.K. Holder may, depending on his or her particular circumstances, be subject to U.K. tax on dividends received from the Company. Dividend income is treated as the top slice of the total income chargeable to U.K. income tax. An individual holder of ordinary shares or ADSs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or ADSs are attributable (subject to certain exceptions for trading through independent agents, such as some brokers and investment managers).</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Until April 5, 2016, individuals resident for tax purposes in the U.K. were generally liable to U.K. income tax on the aggregate amount of a dividend and a tax credit equal to one-ninth of the dividend.</w:t>
      </w:r>
    </w:p>
    <w:p>
      <w:pPr>
        <w:spacing w:after="0" w:line="20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dividend tax credit system was abolished with effect from April 6, 2016. From April 6, 2016, all individual U.K. Holders will receive a tax-free allowance of £5,000 per annum. Dividend income in excess of this tax-free allowance will be charged at 7.5% for basic rate taxpayers, 32.5% for higher rate taxpayers, and 38.1% for additional rate taxpayers.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Corporation Tax</w:t>
      </w:r>
    </w:p>
    <w:p>
      <w:pPr>
        <w:spacing w:after="0" w:line="23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should be the case, although certain conditions are met (including anti-avoidance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Chargeable Gains</w:t>
      </w:r>
    </w:p>
    <w:p>
      <w:pPr>
        <w:spacing w:after="0" w:line="232" w:lineRule="exact"/>
        <w:rPr>
          <w:sz w:val="20"/>
          <w:szCs w:val="20"/>
          <w:color w:val="auto"/>
        </w:rPr>
      </w:pPr>
    </w:p>
    <w:p>
      <w:pPr>
        <w:jc w:val="both"/>
        <w:ind w:right="740"/>
        <w:spacing w:after="0" w:line="238" w:lineRule="auto"/>
        <w:rPr>
          <w:sz w:val="20"/>
          <w:szCs w:val="20"/>
          <w:color w:val="auto"/>
        </w:rPr>
      </w:pPr>
      <w:r>
        <w:rPr>
          <w:rFonts w:ascii="Arial" w:cs="Arial" w:eastAsia="Arial" w:hAnsi="Arial"/>
          <w:sz w:val="18"/>
          <w:szCs w:val="18"/>
          <w:color w:val="auto"/>
        </w:rPr>
        <w:t>A disposal of ordinary shares or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becomes liable to U.K. capital gains tax on the disposal of ordinary shares or ADSs, the applicable rate will be 20% (2016/17). For an individual U.K. Holder who is subject to U.K. income tax at the basic rate and liable to U.K. capital gains tax on such disposal, the applicable rate would be 10% (2016/17), save to the extent that any capital gains exceed the unused basic rate tax band. In that case, the rate applicable to the excess would be 20% (2016/17).</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a corporate U.K. Holder becomes liable to U.K. corporation tax on the disposal of ordinary shares or ADSs, the main rate of U.K. corporation tax (currently 20%) would apply. An indexation allowance may be available to such a holder to give an additional deduction based on the indexation of its base cost in the shares by reference to U.K. retail price inflation over its holding period. An indexation allowance can only reduce a gain on a future disposal, and cannot create a loss.</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 holder of ordinary shares or ADSs which is not resident for tax purposes in the U.K. should not normally be liable to U.K. capital gains tax or corporation tax on chargeable gains on a disposal of ordinary shares or ADSs. However, an individual holder of ordinary shares or ADSs who has ceased to be resident for tax purposes in the U.K. for a period of less than five years and who disposes of ordinary shares or ADSs during that period may be liable on his or her return to the U.K. to U.K. tax on any capital gain realized (subject to any available exemption or relief).</w:t>
      </w:r>
    </w:p>
    <w:p>
      <w:pPr>
        <w:spacing w:after="0" w:line="18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Any gains or losses in respect of currency fluctuations relating to the ordinary shares or ADSs would be brought into account on the disposal.</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discussion below relates to holders of ordinary shares or ADSs wherever resident.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Ordinary Shares</w:t>
      </w:r>
    </w:p>
    <w:p>
      <w:pPr>
        <w:spacing w:after="0" w:line="230"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Neither U.K. stamp duty nor SDRT should arise on transfers of ordinary shares on AIM (including instruments transferring ordinary shares or agreement to transfer ordinary shares) based on the following assumptions:</w:t>
      </w:r>
    </w:p>
    <w:p>
      <w:pPr>
        <w:spacing w:after="0" w:line="209" w:lineRule="exact"/>
        <w:rPr>
          <w:sz w:val="20"/>
          <w:szCs w:val="20"/>
          <w:color w:val="auto"/>
        </w:rPr>
      </w:pPr>
    </w:p>
    <w:p>
      <w:pPr>
        <w:ind w:left="1080" w:right="260" w:hanging="532"/>
        <w:spacing w:after="0" w:line="183" w:lineRule="auto"/>
        <w:tabs>
          <w:tab w:leader="none" w:pos="1080" w:val="left"/>
        </w:tabs>
        <w:numPr>
          <w:ilvl w:val="0"/>
          <w:numId w:val="115"/>
        </w:numPr>
        <w:rPr>
          <w:rFonts w:ascii="Arial" w:cs="Arial" w:eastAsia="Arial" w:hAnsi="Arial"/>
          <w:sz w:val="29"/>
          <w:szCs w:val="29"/>
          <w:color w:val="auto"/>
          <w:vertAlign w:val="superscript"/>
        </w:rPr>
      </w:pPr>
      <w:r>
        <w:rPr>
          <w:rFonts w:ascii="Arial" w:cs="Arial" w:eastAsia="Arial" w:hAnsi="Arial"/>
          <w:sz w:val="18"/>
          <w:szCs w:val="18"/>
          <w:color w:val="auto"/>
        </w:rPr>
        <w:t>that the ordinary shares are admitted to trading on AIM but are not listed on any market (with the term "listed" being construed in accordance with section 99A of the U.K. Finance Act 1986); and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15"/>
        </w:numPr>
        <w:rPr>
          <w:rFonts w:ascii="Arial" w:cs="Arial" w:eastAsia="Arial" w:hAnsi="Arial"/>
          <w:sz w:val="29"/>
          <w:szCs w:val="29"/>
          <w:color w:val="auto"/>
          <w:vertAlign w:val="superscript"/>
        </w:rPr>
      </w:pPr>
      <w:r>
        <w:rPr>
          <w:rFonts w:ascii="Arial" w:cs="Arial" w:eastAsia="Arial" w:hAnsi="Arial"/>
          <w:sz w:val="18"/>
          <w:szCs w:val="18"/>
          <w:color w:val="auto"/>
        </w:rPr>
        <w:t>that AIM continues to be accepted as a "recognised growth market" (as construed in accordance with section 99A of the U.K. Finance Act 1986).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either of the above assumptions does not apply, transfers of, or agreements to transfer, ordinary shares may give rise to U.K.</w:t>
      </w:r>
    </w:p>
    <w:p>
      <w:pPr>
        <w:spacing w:after="0"/>
        <w:rPr>
          <w:sz w:val="20"/>
          <w:szCs w:val="20"/>
          <w:color w:val="auto"/>
        </w:rPr>
      </w:pPr>
      <w:r>
        <w:rPr>
          <w:rFonts w:ascii="Arial" w:cs="Arial" w:eastAsia="Arial" w:hAnsi="Arial"/>
          <w:sz w:val="18"/>
          <w:szCs w:val="18"/>
          <w:color w:val="auto"/>
        </w:rPr>
        <w:t>stamp duty or SDRT in certain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ADSs</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of the value of the consideration.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 SDRT will be payable in respect of agreement to transfer an ADS.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70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300" w:type="dxa"/>
            <w:vAlign w:val="bottom"/>
          </w:tcPr>
          <w:p>
            <w:pPr>
              <w:spacing w:after="0"/>
              <w:rPr>
                <w:sz w:val="17"/>
                <w:szCs w:val="17"/>
                <w:color w:val="auto"/>
              </w:rPr>
            </w:pPr>
          </w:p>
        </w:tc>
      </w:tr>
      <w:tr>
        <w:trPr>
          <w:trHeight w:val="640"/>
        </w:trPr>
        <w:tc>
          <w:tcPr>
            <w:tcW w:w="1380" w:type="dxa"/>
            <w:vAlign w:val="bottom"/>
            <w:tcBorders>
              <w:top w:val="single" w:sz="8" w:color="0000EE"/>
            </w:tcBorders>
          </w:tcPr>
          <w:p>
            <w:pPr>
              <w:spacing w:after="0"/>
              <w:rPr>
                <w:sz w:val="24"/>
                <w:szCs w:val="24"/>
                <w:color w:val="auto"/>
              </w:rPr>
            </w:pPr>
          </w:p>
        </w:tc>
        <w:tc>
          <w:tcPr>
            <w:tcW w:w="568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4300" w:type="dxa"/>
            <w:vAlign w:val="bottom"/>
          </w:tcPr>
          <w:p>
            <w:pPr>
              <w:spacing w:after="0"/>
              <w:rPr>
                <w:sz w:val="24"/>
                <w:szCs w:val="24"/>
                <w:color w:val="auto"/>
              </w:rPr>
            </w:pPr>
          </w:p>
        </w:tc>
      </w:tr>
      <w:tr>
        <w:trPr>
          <w:trHeight w:val="410"/>
        </w:trPr>
        <w:tc>
          <w:tcPr>
            <w:tcW w:w="7060" w:type="dxa"/>
            <w:vAlign w:val="bottom"/>
            <w:gridSpan w:val="2"/>
          </w:tcPr>
          <w:p>
            <w:pPr>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4300" w:type="dxa"/>
            <w:vAlign w:val="bottom"/>
          </w:tcPr>
          <w:p>
            <w:pPr>
              <w:ind w:left="700"/>
              <w:spacing w:after="0"/>
              <w:rPr>
                <w:sz w:val="20"/>
                <w:szCs w:val="20"/>
                <w:color w:val="auto"/>
              </w:rPr>
            </w:pPr>
            <w:r>
              <w:rPr>
                <w:rFonts w:ascii="Arial" w:cs="Arial" w:eastAsia="Arial" w:hAnsi="Arial"/>
                <w:sz w:val="18"/>
                <w:szCs w:val="18"/>
                <w:color w:val="auto"/>
                <w:w w:val="96"/>
              </w:rPr>
              <w:t>, 2017, among us and Jefferies LLC and Stifel,</w:t>
            </w:r>
          </w:p>
        </w:tc>
      </w:tr>
    </w:tbl>
    <w:p>
      <w:pPr>
        <w:jc w:val="both"/>
        <w:ind w:right="180"/>
        <w:spacing w:after="0" w:line="238" w:lineRule="auto"/>
        <w:rPr>
          <w:sz w:val="20"/>
          <w:szCs w:val="20"/>
          <w:color w:val="auto"/>
        </w:rPr>
      </w:pPr>
      <w:r>
        <w:rPr>
          <w:rFonts w:ascii="Arial" w:cs="Arial" w:eastAsia="Arial" w:hAnsi="Arial"/>
          <w:sz w:val="18"/>
          <w:szCs w:val="18"/>
          <w:color w:val="auto"/>
        </w:rPr>
        <w:t>Nicolaus &amp; Company, Incorporated, as the representatives of the underwriters named below and the joint book-running managers of this offering, we have agreed to sell to the underwriters, and each of the underwriters has agreed, severally and not jointly, to purchase from us, the respective number of ADSs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7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rPr>
              <w:t>NUMBER OF</w:t>
            </w:r>
          </w:p>
        </w:tc>
      </w:tr>
      <w:tr>
        <w:trPr>
          <w:trHeight w:val="175"/>
        </w:trPr>
        <w:tc>
          <w:tcPr>
            <w:tcW w:w="7680" w:type="dxa"/>
            <w:vAlign w:val="bottom"/>
            <w:gridSpan w:val="3"/>
          </w:tcPr>
          <w:p>
            <w:pPr>
              <w:ind w:left="1140"/>
              <w:spacing w:after="0"/>
              <w:rPr>
                <w:sz w:val="20"/>
                <w:szCs w:val="20"/>
                <w:color w:val="auto"/>
              </w:rPr>
            </w:pPr>
            <w:r>
              <w:rPr>
                <w:rFonts w:ascii="Arial" w:cs="Arial" w:eastAsia="Arial" w:hAnsi="Arial"/>
                <w:sz w:val="14"/>
                <w:szCs w:val="14"/>
                <w:b w:val="1"/>
                <w:bCs w:val="1"/>
                <w:color w:val="auto"/>
              </w:rPr>
              <w:t>UNDERWRITER</w:t>
            </w:r>
          </w:p>
        </w:tc>
        <w:tc>
          <w:tcPr>
            <w:tcW w:w="780" w:type="dxa"/>
            <w:vAlign w:val="bottom"/>
          </w:tcPr>
          <w:p>
            <w:pPr>
              <w:spacing w:after="0"/>
              <w:rPr>
                <w:sz w:val="15"/>
                <w:szCs w:val="15"/>
                <w:color w:val="auto"/>
              </w:rPr>
            </w:pPr>
          </w:p>
        </w:tc>
        <w:tc>
          <w:tcPr>
            <w:tcW w:w="2980" w:type="dxa"/>
            <w:vAlign w:val="bottom"/>
            <w:gridSpan w:val="4"/>
          </w:tcPr>
          <w:p>
            <w:pPr>
              <w:jc w:val="center"/>
              <w:ind w:right="2120"/>
              <w:spacing w:after="0"/>
              <w:rPr>
                <w:sz w:val="20"/>
                <w:szCs w:val="20"/>
                <w:color w:val="auto"/>
              </w:rPr>
            </w:pPr>
            <w:r>
              <w:rPr>
                <w:rFonts w:ascii="Arial" w:cs="Arial" w:eastAsia="Arial" w:hAnsi="Arial"/>
                <w:sz w:val="14"/>
                <w:szCs w:val="14"/>
                <w:b w:val="1"/>
                <w:bCs w:val="1"/>
                <w:color w:val="auto"/>
              </w:rPr>
              <w:t>ADSs</w:t>
            </w:r>
          </w:p>
        </w:tc>
      </w:tr>
      <w:tr>
        <w:trPr>
          <w:trHeight w:val="196"/>
        </w:trPr>
        <w:tc>
          <w:tcPr>
            <w:tcW w:w="1160" w:type="dxa"/>
            <w:vAlign w:val="bottom"/>
          </w:tcPr>
          <w:p>
            <w:pPr>
              <w:spacing w:after="0"/>
              <w:rPr>
                <w:sz w:val="17"/>
                <w:szCs w:val="17"/>
                <w:color w:val="auto"/>
              </w:rPr>
            </w:pPr>
          </w:p>
        </w:tc>
        <w:tc>
          <w:tcPr>
            <w:tcW w:w="1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Jefferies LLC</w:t>
            </w:r>
          </w:p>
        </w:tc>
        <w:tc>
          <w:tcPr>
            <w:tcW w:w="5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6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Stifel, Nicolaus &amp; Company, Incorporated</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Wedbush Securities Inc.</w:t>
            </w: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68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SunTrust Robinson Humphrey, Inc.</w:t>
            </w: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5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our ADSs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our ADSs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ADSs, that you will be able to sell any of our ADSs held by you at a particular time or that the prices that you receive when you sell will be favorable.</w:t>
      </w:r>
    </w:p>
    <w:p>
      <w:pPr>
        <w:spacing w:after="0" w:line="211"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underwriters are offering our ADSs subject to their acceptance of our ADSs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advised us that they propose to offer our ADSs to the public at the initial public offering price set forth on the cover page of</w:t>
      </w:r>
    </w:p>
    <w:p>
      <w:pPr>
        <w:spacing w:after="0" w:line="19"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this prospectus and to certain dealers, which may include the underwriters, at that price less a concession not in excess of $ per ADS. The underwriters may allow, and certain dealers may reallow, a discount from the concession not in excess of $ per ADS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20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 additional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4"/>
          </w:tcPr>
          <w:p>
            <w:pPr>
              <w:ind w:left="580"/>
              <w:spacing w:after="0"/>
              <w:rPr>
                <w:sz w:val="20"/>
                <w:szCs w:val="20"/>
                <w:color w:val="auto"/>
              </w:rPr>
            </w:pPr>
            <w:r>
              <w:rPr>
                <w:rFonts w:ascii="Arial" w:cs="Arial" w:eastAsia="Arial" w:hAnsi="Arial"/>
                <w:sz w:val="14"/>
                <w:szCs w:val="14"/>
                <w:b w:val="1"/>
                <w:bCs w:val="1"/>
                <w:color w:val="auto"/>
              </w:rPr>
              <w:t>PER ADS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6"/>
          </w:tcPr>
          <w:p>
            <w:pPr>
              <w:ind w:left="680"/>
              <w:spacing w:after="0"/>
              <w:rPr>
                <w:sz w:val="20"/>
                <w:szCs w:val="20"/>
                <w:color w:val="auto"/>
              </w:rPr>
            </w:pPr>
            <w:r>
              <w:rPr>
                <w:rFonts w:ascii="Arial" w:cs="Arial" w:eastAsia="Arial" w:hAnsi="Arial"/>
                <w:sz w:val="14"/>
                <w:szCs w:val="14"/>
                <w:b w:val="1"/>
                <w:bCs w:val="1"/>
                <w:color w:val="auto"/>
              </w:rPr>
              <w:t>TOTAL</w:t>
            </w:r>
          </w:p>
        </w:tc>
      </w:tr>
      <w:tr>
        <w:trPr>
          <w:trHeight w:val="142"/>
        </w:trPr>
        <w:tc>
          <w:tcPr>
            <w:tcW w:w="1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9"/>
              </w:rPr>
              <w:t>Without</w:t>
            </w: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With</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8"/>
              </w:rPr>
              <w:t>With</w:t>
            </w:r>
          </w:p>
        </w:tc>
        <w:tc>
          <w:tcPr>
            <w:tcW w:w="1320" w:type="dxa"/>
            <w:vAlign w:val="bottom"/>
            <w:gridSpan w:val="2"/>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3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 to</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380" w:type="dxa"/>
            <w:vAlign w:val="bottom"/>
          </w:tcPr>
          <w:p>
            <w:pPr>
              <w:spacing w:after="0"/>
              <w:rPr>
                <w:sz w:val="14"/>
                <w:szCs w:val="14"/>
                <w:color w:val="auto"/>
              </w:rPr>
            </w:pPr>
          </w:p>
        </w:tc>
        <w:tc>
          <w:tcPr>
            <w:tcW w:w="214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3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380" w:type="dxa"/>
            <w:vAlign w:val="bottom"/>
          </w:tcPr>
          <w:p>
            <w:pPr>
              <w:spacing w:after="0"/>
              <w:rPr>
                <w:sz w:val="14"/>
                <w:szCs w:val="14"/>
                <w:color w:val="auto"/>
              </w:rPr>
            </w:pPr>
          </w:p>
        </w:tc>
        <w:tc>
          <w:tcPr>
            <w:tcW w:w="21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3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520" w:type="dxa"/>
            <w:vAlign w:val="bottom"/>
            <w:gridSpan w:val="5"/>
          </w:tcPr>
          <w:p>
            <w:pPr>
              <w:jc w:val="center"/>
              <w:ind w:right="10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11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ADSs</w:t>
            </w:r>
          </w:p>
        </w:tc>
        <w:tc>
          <w:tcPr>
            <w:tcW w:w="36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ADSs</w:t>
            </w:r>
          </w:p>
        </w:tc>
        <w:tc>
          <w:tcPr>
            <w:tcW w:w="380" w:type="dxa"/>
            <w:vAlign w:val="bottom"/>
          </w:tcPr>
          <w:p>
            <w:pPr>
              <w:spacing w:after="0"/>
              <w:rPr>
                <w:sz w:val="15"/>
                <w:szCs w:val="15"/>
                <w:color w:val="auto"/>
              </w:rPr>
            </w:pPr>
          </w:p>
        </w:tc>
        <w:tc>
          <w:tcPr>
            <w:tcW w:w="21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ADSs</w:t>
            </w:r>
          </w:p>
        </w:tc>
      </w:tr>
      <w:tr>
        <w:trPr>
          <w:trHeight w:val="196"/>
        </w:trPr>
        <w:tc>
          <w:tcPr>
            <w:tcW w:w="116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Underwriting discounts and commissions paid by us</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w:t>
      </w:r>
    </w:p>
    <w:p>
      <w:pPr>
        <w:spacing w:after="0" w:line="1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6"/>
          <w:szCs w:val="16"/>
          <w:color w:val="auto"/>
        </w:rPr>
        <w:t>. We have also agreed to reimburse the underwriters for certain expenses, including up to an aggregate of</w:t>
      </w:r>
    </w:p>
    <w:p>
      <w:pPr>
        <w:ind w:right="980" w:firstLine="8"/>
        <w:spacing w:after="0" w:line="239" w:lineRule="auto"/>
        <w:tabs>
          <w:tab w:leader="none" w:pos="8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connection with the clearance of this offering with the Financial Industry Regulatory Authority, or FINRA, as set forth in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this offering, there has not been a public market for our ADSs. Consequently, the initial public offering price for our ADSs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our ADSs will trade in the public market subsequent to the offering or that an active trading market for our ADSs will develop and continue after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have our ADSs approved for listing on The NASDAQ Global Market under the trading symbol "VRNA."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If you purchase ADSs offered in this prospectus, you may be required to pay stamp taxes and other charges under the laws and practices of the country of purchase, in addition to the offering price listed on the cover page of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ADSs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from time to time, in whole or</w:t>
      </w:r>
    </w:p>
    <w:p>
      <w:pPr>
        <w:spacing w:after="0" w:line="1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part, up to an aggregate of ADSs from us at the public offering price set forth on the cover page of this prospectus, less underwriting discounts and commissions. If the underwriters exercise this option, each underwriter will be obligated, subject to specified conditions, to purchase a number of additional ADSs proportionate to that underwriter's initial purchase commitment as indicated in the table above. This option may be exercised only if the underwriters sell more ADSs than the total number set forth on the cover page of this prospectus.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our board members and executive officers and certain other holders of our ordinary shares and other securities have agreed, subject to specified exceptions, not to directly or indirectly:</w:t>
      </w:r>
    </w:p>
    <w:p>
      <w:pPr>
        <w:spacing w:after="0" w:line="209" w:lineRule="exact"/>
        <w:rPr>
          <w:sz w:val="20"/>
          <w:szCs w:val="20"/>
          <w:color w:val="auto"/>
        </w:rPr>
      </w:pPr>
    </w:p>
    <w:p>
      <w:pPr>
        <w:ind w:left="1080" w:right="140" w:hanging="532"/>
        <w:spacing w:after="0" w:line="183"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195" w:lineRule="exact"/>
        <w:rPr>
          <w:rFonts w:ascii="Arial" w:cs="Arial" w:eastAsia="Arial" w:hAnsi="Arial"/>
          <w:sz w:val="29"/>
          <w:szCs w:val="29"/>
          <w:color w:val="auto"/>
          <w:vertAlign w:val="superscript"/>
        </w:rPr>
      </w:pPr>
    </w:p>
    <w:p>
      <w:pPr>
        <w:ind w:left="1080" w:right="720" w:hanging="532"/>
        <w:spacing w:after="0" w:line="197"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otherwise dispose of any ordinary shares or ADSs, options or warrants to acquire ordinary shares or ADSs, or securities exchangeable or exercisable for or convertible into ordinary shares or ADSs currently or hereafter owned either of record or beneficially; or</w:t>
      </w:r>
    </w:p>
    <w:p>
      <w:pPr>
        <w:spacing w:after="0" w:line="196" w:lineRule="exact"/>
        <w:rPr>
          <w:rFonts w:ascii="Arial" w:cs="Arial" w:eastAsia="Arial" w:hAnsi="Arial"/>
          <w:sz w:val="29"/>
          <w:szCs w:val="29"/>
          <w:color w:val="auto"/>
          <w:vertAlign w:val="superscript"/>
        </w:rPr>
      </w:pPr>
    </w:p>
    <w:p>
      <w:pPr>
        <w:ind w:left="1080" w:right="200" w:hanging="532"/>
        <w:spacing w:after="0" w:line="183" w:lineRule="auto"/>
        <w:tabs>
          <w:tab w:leader="none" w:pos="1080" w:val="left"/>
        </w:tabs>
        <w:numPr>
          <w:ilvl w:val="0"/>
          <w:numId w:val="117"/>
        </w:numPr>
        <w:rPr>
          <w:rFonts w:ascii="Arial" w:cs="Arial" w:eastAsia="Arial" w:hAnsi="Arial"/>
          <w:sz w:val="29"/>
          <w:szCs w:val="29"/>
          <w:color w:val="auto"/>
          <w:vertAlign w:val="superscript"/>
        </w:rPr>
      </w:pPr>
      <w:r>
        <w:rPr>
          <w:rFonts w:ascii="Arial" w:cs="Arial" w:eastAsia="Arial" w:hAnsi="Arial"/>
          <w:sz w:val="18"/>
          <w:szCs w:val="18"/>
          <w:color w:val="auto"/>
        </w:rPr>
        <w:t>publicly announce an intention to do any of the foregoing for a period of 180 days after the date of this prospectus without the prior written consent of the representatives.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restriction terminates after the close of trading of our ADSs and including the 180th day after the date of this prospectus.</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addition, we have instructed Citibank, N.A., as depositary, not to accept for deposit of any ordinary shares or issue any ADSs for 180 days after the date of this prospectus (other than in connection with this offering).</w:t>
      </w:r>
    </w:p>
    <w:p>
      <w:pPr>
        <w:spacing w:after="0" w:line="20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representatives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ADSs or ordinary shares prior to the expiration of the lock-up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3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ADSs at a level above that which might otherwise prevail in the open market. Establishing short sales positions may involve either "covered" short sales or "naked" short sales.</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ADSs in this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to purchase additional ADSs.</w:t>
      </w:r>
    </w:p>
    <w:p>
      <w:pPr>
        <w:spacing w:after="0" w:line="21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w:t>
      </w:r>
    </w:p>
    <w:p>
      <w:pPr>
        <w:spacing w:after="0" w:line="1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stabilizing bid is a bid for the purchase of ADSs on behalf of the underwriters for the purpose of fixing or maintaining the price of our ADSs. A syndicate covering transaction is the bid for or the purchase of ADSs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that might otherwise exist in the open market. A penalty bid is an arrangement permitting the underwriters to reclaim the selling concession otherwise accruing to a syndicate member in connection with the offering if our ADSs originally sold by such syndicate member are purchased in a syndicate covering transaction and therefore have not been effectively placed by such syndicate member.</w:t>
      </w:r>
    </w:p>
    <w:p>
      <w:pPr>
        <w:spacing w:after="0" w:line="208"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ADSs. The underwriters are not obligated to engage in these activities and, if commenced, any of the activities may be discontinued at any time.</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underwriters may also engage in passive market making transactions in our ADSs on The NASDAQ Global Market in accordance with Rule 103 of Regulation M during a period before the commencement of offers or sales of ADSs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our ADSs offered hereby. Any such short positions could adversely affect future</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trading prices of the ADSs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Resale Restrictions</w:t>
      </w:r>
    </w:p>
    <w:p>
      <w:pPr>
        <w:spacing w:after="0" w:line="230"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distribution of our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our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92"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Representations of Canadian Purchasers</w:t>
      </w:r>
    </w:p>
    <w:p>
      <w:pPr>
        <w:spacing w:after="0" w:line="229" w:lineRule="exact"/>
        <w:rPr>
          <w:rFonts w:ascii="Arial" w:cs="Arial" w:eastAsia="Arial" w:hAnsi="Arial"/>
          <w:sz w:val="18"/>
          <w:szCs w:val="18"/>
          <w:i w:val="1"/>
          <w:iCs w:val="1"/>
          <w:color w:val="auto"/>
        </w:rPr>
      </w:pPr>
    </w:p>
    <w:p>
      <w:pPr>
        <w:ind w:left="1080" w:right="340" w:hanging="532"/>
        <w:spacing w:after="0" w:line="183" w:lineRule="auto"/>
        <w:tabs>
          <w:tab w:leader="none" w:pos="1080" w:val="left"/>
        </w:tabs>
        <w:numPr>
          <w:ilvl w:val="1"/>
          <w:numId w:val="118"/>
        </w:numPr>
        <w:rPr>
          <w:rFonts w:ascii="Arial" w:cs="Arial" w:eastAsia="Arial" w:hAnsi="Arial"/>
          <w:sz w:val="29"/>
          <w:szCs w:val="29"/>
          <w:color w:val="auto"/>
          <w:vertAlign w:val="superscript"/>
        </w:rPr>
      </w:pPr>
      <w:r>
        <w:rPr>
          <w:rFonts w:ascii="Arial" w:cs="Arial" w:eastAsia="Arial" w:hAnsi="Arial"/>
          <w:sz w:val="18"/>
          <w:szCs w:val="18"/>
          <w:color w:val="auto"/>
        </w:rPr>
        <w:t>By purchasing our ADSs in Canada and accepting delivery of a purchase confirmation, a purchaser is representing to us and the dealer from whom the purchase confirmation is received that:</w:t>
      </w:r>
    </w:p>
    <w:p>
      <w:pPr>
        <w:spacing w:after="0" w:line="195" w:lineRule="exact"/>
        <w:rPr>
          <w:rFonts w:ascii="Arial" w:cs="Arial" w:eastAsia="Arial" w:hAnsi="Arial"/>
          <w:sz w:val="29"/>
          <w:szCs w:val="29"/>
          <w:color w:val="auto"/>
          <w:vertAlign w:val="superscript"/>
        </w:rPr>
      </w:pPr>
    </w:p>
    <w:p>
      <w:pPr>
        <w:ind w:left="1080" w:right="340" w:hanging="532"/>
        <w:spacing w:after="0" w:line="197" w:lineRule="auto"/>
        <w:tabs>
          <w:tab w:leader="none" w:pos="1080" w:val="left"/>
        </w:tabs>
        <w:numPr>
          <w:ilvl w:val="1"/>
          <w:numId w:val="118"/>
        </w:numPr>
        <w:rPr>
          <w:rFonts w:ascii="Arial" w:cs="Arial" w:eastAsia="Arial" w:hAnsi="Arial"/>
          <w:sz w:val="29"/>
          <w:szCs w:val="29"/>
          <w:color w:val="auto"/>
          <w:vertAlign w:val="superscript"/>
        </w:rPr>
      </w:pPr>
      <w:r>
        <w:rPr>
          <w:rFonts w:ascii="Arial" w:cs="Arial" w:eastAsia="Arial" w:hAnsi="Arial"/>
          <w:sz w:val="18"/>
          <w:szCs w:val="18"/>
          <w:color w:val="auto"/>
        </w:rPr>
        <w:t>the purchaser is entitled under applicable provincial securities laws to purchase our ADSs without the benefit of a prospectus qualified under those securities laws as it is an "accredited investor" as defined under National Instrument 45-106 — Prospectus Exemptions,</w:t>
      </w:r>
    </w:p>
    <w:p>
      <w:pPr>
        <w:spacing w:after="0" w:line="196"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1"/>
          <w:numId w:val="118"/>
        </w:numPr>
        <w:rPr>
          <w:rFonts w:ascii="Arial" w:cs="Arial" w:eastAsia="Arial" w:hAnsi="Arial"/>
          <w:sz w:val="29"/>
          <w:szCs w:val="29"/>
          <w:color w:val="auto"/>
          <w:vertAlign w:val="superscript"/>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1"/>
          <w:numId w:val="118"/>
        </w:numPr>
        <w:rPr>
          <w:rFonts w:ascii="Arial" w:cs="Arial" w:eastAsia="Arial" w:hAnsi="Arial"/>
          <w:sz w:val="29"/>
          <w:szCs w:val="29"/>
          <w:color w:val="auto"/>
          <w:vertAlign w:val="superscript"/>
        </w:rPr>
      </w:pPr>
      <w:r>
        <w:rPr>
          <w:rFonts w:ascii="Arial" w:cs="Arial" w:eastAsia="Arial" w:hAnsi="Arial"/>
          <w:sz w:val="18"/>
          <w:szCs w:val="18"/>
          <w:color w:val="auto"/>
        </w:rPr>
        <w:t>where required by law, the purchaser is purchasing as principal and not as agent,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18"/>
        </w:numPr>
        <w:rPr>
          <w:rFonts w:ascii="Arial" w:cs="Arial" w:eastAsia="Arial" w:hAnsi="Arial"/>
          <w:sz w:val="29"/>
          <w:szCs w:val="29"/>
          <w:color w:val="auto"/>
          <w:vertAlign w:val="superscript"/>
        </w:rPr>
      </w:pPr>
      <w:r>
        <w:rPr>
          <w:rFonts w:ascii="Arial" w:cs="Arial" w:eastAsia="Arial" w:hAnsi="Arial"/>
          <w:sz w:val="18"/>
          <w:szCs w:val="18"/>
          <w:color w:val="auto"/>
        </w:rPr>
        <w:t>the purchaser has reviewed the text above under Resale Restrictions.</w:t>
      </w:r>
    </w:p>
    <w:p>
      <w:pPr>
        <w:spacing w:after="0" w:line="190"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Conflicts of Interest</w:t>
      </w:r>
    </w:p>
    <w:p>
      <w:pPr>
        <w:spacing w:after="0" w:line="230"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Canadian purchasers are hereby notified that each of the underwriters is relying on the exemption set out in section 3A.3 or 3A.4, if applicable, of National Instrument 33-105 — Underwriting Conflicts from having to provide certain conflict of interest disclosure in this document.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Statutory Rights of Action</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Enforcement of Legal Rights</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Taxation and Eligibility for Investment</w:t>
      </w:r>
    </w:p>
    <w:p>
      <w:pPr>
        <w:spacing w:after="0" w:line="230" w:lineRule="exact"/>
        <w:rPr>
          <w:sz w:val="20"/>
          <w:szCs w:val="20"/>
          <w:color w:val="auto"/>
        </w:rPr>
      </w:pPr>
    </w:p>
    <w:p>
      <w:pPr>
        <w:jc w:val="both"/>
        <w:ind w:right="220"/>
        <w:spacing w:after="0" w:line="299" w:lineRule="auto"/>
        <w:rPr>
          <w:sz w:val="20"/>
          <w:szCs w:val="20"/>
          <w:color w:val="auto"/>
        </w:rPr>
      </w:pPr>
      <w:r>
        <w:rPr>
          <w:rFonts w:ascii="Arial" w:cs="Arial" w:eastAsia="Arial" w:hAnsi="Arial"/>
          <w:sz w:val="16"/>
          <w:szCs w:val="16"/>
          <w:color w:val="auto"/>
        </w:rPr>
        <w:t>Canadian purchasers of our ADSs should consult their own legal and tax advisors with respect to the tax consequences of an investment in our ADSs in their particular circumstances and about the eligibility of our ADSs for investment by the purchaser under relevant Canadian legislation.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208"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"sophisticated investor" under section 708(8)(a) or (b) of the Corporations Act;</w:t>
      </w:r>
    </w:p>
    <w:p>
      <w:pPr>
        <w:spacing w:after="0" w:line="212" w:lineRule="exact"/>
        <w:rPr>
          <w:sz w:val="20"/>
          <w:szCs w:val="20"/>
          <w:color w:val="auto"/>
        </w:rPr>
      </w:pPr>
    </w:p>
    <w:p>
      <w:pPr>
        <w:ind w:left="1080" w:right="340"/>
        <w:spacing w:after="0" w:line="238" w:lineRule="auto"/>
        <w:rPr>
          <w:sz w:val="20"/>
          <w:szCs w:val="20"/>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person associated with the Company under Section 708(12) of the Corporations Act; or</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"professional investor" within the meaning of section 708(11)(a) or (b) of the Corporations Act.</w:t>
      </w:r>
    </w:p>
    <w:p>
      <w:pPr>
        <w:spacing w:after="0" w:line="212" w:lineRule="exact"/>
        <w:rPr>
          <w:sz w:val="20"/>
          <w:szCs w:val="20"/>
          <w:color w:val="auto"/>
        </w:rPr>
      </w:pPr>
    </w:p>
    <w:p>
      <w:pPr>
        <w:ind w:left="540" w:right="320"/>
        <w:spacing w:after="0" w:line="239"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223" w:lineRule="exact"/>
        <w:rPr>
          <w:sz w:val="20"/>
          <w:szCs w:val="20"/>
          <w:color w:val="auto"/>
        </w:rPr>
      </w:pPr>
    </w:p>
    <w:p>
      <w:pPr>
        <w:jc w:val="both"/>
        <w:ind w:left="540" w:right="340" w:hanging="532"/>
        <w:spacing w:after="0" w:line="238"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each referred as a "Relevant Member State", an offer to the public of any ADSs which are the subject of the offering contemplated by this prospectus may not be made in that Relevant Member State except that an offer to the public in that Relevant Member State of any ADSs may be made at any time under the following exemptions under the Prospectus Directive, if they have been implemented in that Relevant Member State:</w:t>
      </w:r>
    </w:p>
    <w:p>
      <w:pPr>
        <w:spacing w:after="0" w:line="20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98" w:lineRule="exact"/>
        <w:rPr>
          <w:rFonts w:ascii="Arial" w:cs="Arial" w:eastAsia="Arial" w:hAnsi="Arial"/>
          <w:sz w:val="18"/>
          <w:szCs w:val="18"/>
          <w:color w:val="auto"/>
        </w:rPr>
      </w:pPr>
    </w:p>
    <w:p>
      <w:pPr>
        <w:ind w:left="1080" w:right="40" w:hanging="532"/>
        <w:spacing w:after="0" w:line="281"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77" w:lineRule="exact"/>
        <w:rPr>
          <w:rFonts w:ascii="Arial" w:cs="Arial" w:eastAsia="Arial" w:hAnsi="Arial"/>
          <w:sz w:val="16"/>
          <w:szCs w:val="16"/>
          <w:color w:val="auto"/>
        </w:rPr>
      </w:pPr>
    </w:p>
    <w:p>
      <w:pPr>
        <w:ind w:left="1080" w:right="40" w:hanging="532"/>
        <w:spacing w:after="0" w:line="23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of the underwriters to publish a prospectus pursuant to Article 3 of the Prospectus Directive or supplement a prospectus pursuant to Article 16 of the Prospectus Directive.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For the purposes of this provision, the expression an "offer ADSs to the public" in relation to our ADSs in any Relevant Member State means the communication in any form and by any means of sufficient information on the terms of the offer and our ADSs to be offered so as to enable an investor to decide to purchase or subscribe to our ADSs,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may not be circulated or distributed in the PRC and our ADSs may not be offered or sold, and will not offer or sell to any person for re-offering or resale directly or indirectly to any resident of the PRC except pursuant to applicable laws and regulations of the PRC. For the purpose of this paragraph, PRC does not include Taiwan and the special administrative regions of Hong Kong and Macau.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3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our ADSs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2" w:lineRule="exact"/>
        <w:rPr>
          <w:sz w:val="20"/>
          <w:szCs w:val="20"/>
          <w:color w:val="auto"/>
        </w:rPr>
      </w:pPr>
    </w:p>
    <w:p>
      <w:pPr>
        <w:ind w:left="1080" w:right="320" w:hanging="532"/>
        <w:spacing w:after="0" w:line="299"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2" w:lineRule="exact"/>
        <w:rPr>
          <w:rFonts w:ascii="Arial" w:cs="Arial" w:eastAsia="Arial" w:hAnsi="Arial"/>
          <w:sz w:val="16"/>
          <w:szCs w:val="16"/>
          <w:color w:val="auto"/>
        </w:rPr>
      </w:pPr>
    </w:p>
    <w:p>
      <w:pPr>
        <w:ind w:left="1080" w:right="20" w:hanging="532"/>
        <w:spacing w:after="0" w:line="23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1620" w:right="160" w:hanging="532"/>
        <w:spacing w:after="0" w:line="239" w:lineRule="auto"/>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5"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98" w:lineRule="exact"/>
        <w:rPr>
          <w:rFonts w:ascii="Arial" w:cs="Arial" w:eastAsia="Arial" w:hAnsi="Arial"/>
          <w:sz w:val="18"/>
          <w:szCs w:val="18"/>
          <w:color w:val="auto"/>
        </w:rPr>
      </w:pPr>
    </w:p>
    <w:p>
      <w:pPr>
        <w:ind w:left="1620" w:right="1400" w:hanging="532"/>
        <w:spacing w:after="0" w:line="239" w:lineRule="auto"/>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3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Switzerland. Neither this prospectus nor any other offering or marketing material relating to the securities or the offering may be publicly distributed or otherwise made publicly available in Switzerland.</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3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also are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 OF THE OFFERING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our expenses in connection with this offering, other than underwriting discounts and commissions,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637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p>
      <w:pPr>
        <w:spacing w:after="0" w:line="340"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17780</wp:posOffset>
            </wp:positionV>
            <wp:extent cx="579755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Securities and Exchange Commission registration fee</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The NASDAQ Global Market listing fee</w:t>
      </w:r>
    </w:p>
    <w:p>
      <w:pPr>
        <w:ind w:left="1140"/>
        <w:spacing w:after="0" w:line="235" w:lineRule="auto"/>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wp:posOffset>
            </wp:positionV>
            <wp:extent cx="579755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Legal fees and expenses</w:t>
      </w:r>
    </w:p>
    <w:p>
      <w:pPr>
        <w:ind w:left="114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97550"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Miscellaneous costs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6376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311"/>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 w:lineRule="exact"/>
        <w:rPr>
          <w:sz w:val="20"/>
          <w:szCs w:val="20"/>
          <w:color w:val="auto"/>
        </w:rPr>
      </w:pPr>
    </w:p>
    <w:p>
      <w:pPr>
        <w:ind w:left="1071" w:hanging="1071"/>
        <w:spacing w:after="0"/>
        <w:tabs>
          <w:tab w:leader="none" w:pos="10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107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1071" w:hanging="1071"/>
        <w:spacing w:after="0"/>
        <w:tabs>
          <w:tab w:leader="none" w:pos="10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728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49" w:space="720"/>
            <w:col w:w="2131"/>
          </w:cols>
          <w:pgMar w:left="240" w:top="143" w:right="559" w:bottom="1440" w:gutter="0" w:footer="0" w:header="0"/>
          <w:type w:val="continuous"/>
        </w:sectPr>
      </w:pPr>
    </w:p>
    <w:p>
      <w:pPr>
        <w:spacing w:after="0" w:line="175"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amounts in the table are estimates except the SEC registration fee, The NASDAQ Global Market listing fee and the FINRA filing fee. We will pay all of the expenses of this offering.</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type w:val="continuous"/>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validity of our ADSs and certain other matters of English law and U.S. federal law will be passed upon for us by Latham &amp; Watkins LLP. Legal counsel to the underwriters in connection with this offering are White &amp; Case LLP with respect to English law and Cooley LLP, New York, New York, with respect to U.S. federal law.</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AUDITORS</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At the annual general meeting on June 11, 2015, UHY Hacker Young, our auditor for the financial year ended December 31, 2014, did not offer themselves for re-election, and our shareholders appointed PricewaterhouseCoopers LLP as our auditor for the year ending December 31, 2015 as proposed by our board of directors. Accordingly UHY Hacker Young was not re-elected for another term as our independent registered public accounting firm.</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report of UHY Hacker Young for the financial year ended December 31, 2014 did not contain any adverse opinion or disclaimer of opinion and was not qualified or modified as to uncertainty, audit scope or accounting principles. There was no disagreement whatsoever relating to the year ended December 31, 2014 with UHY Hacker Young on any matter of accounting principles or practices, financial statement disclosure, or auditing scope or procedure, which disagreement, if not resolved to the satisfaction of the former auditor, would have caused them to make reference to the subject matter of the disagreement in connection with their report, or any "reportable event" as described in Item 16F(a)(1)(v) of Form 20-F. The report of UHY Hacker Young for the financial year ended December 31, 2014 is not included in this prospectus.</w:t>
      </w:r>
    </w:p>
    <w:p>
      <w:pPr>
        <w:spacing w:after="0" w:line="21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have provided a copy of the above statements to UHY Hacker Young and requested that UHY Hacker Young furnish us with a letter addressed to the SEC stating whether or not they agree with the above disclosure. A copy of that letter, dated December 20, 2016, is filed as an exhibit to the registration statement of which this prospectus forms a part.</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financial statements as of December 31, 2015 and 2016 and for the years ended December 31, 2015 and 2016 included in this prospectus have been so included in reliance on the report of PricewaterhouseCoopers LLP, an independent registered public accounting firm, given on the authority of said firm as experts in accounting and auditing.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12" w:lineRule="exact"/>
        <w:rPr>
          <w:sz w:val="20"/>
          <w:szCs w:val="20"/>
          <w:color w:val="auto"/>
        </w:rPr>
      </w:pPr>
    </w:p>
    <w:p>
      <w:pPr>
        <w:ind w:left="1080" w:right="460" w:hanging="532"/>
        <w:spacing w:after="0" w:line="183" w:lineRule="auto"/>
        <w:tabs>
          <w:tab w:leader="none" w:pos="1080" w:val="left"/>
        </w:tabs>
        <w:numPr>
          <w:ilvl w:val="0"/>
          <w:numId w:val="126"/>
        </w:numPr>
        <w:rPr>
          <w:rFonts w:ascii="Arial" w:cs="Arial" w:eastAsia="Arial" w:hAnsi="Arial"/>
          <w:sz w:val="29"/>
          <w:szCs w:val="29"/>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195" w:lineRule="exact"/>
        <w:rPr>
          <w:rFonts w:ascii="Arial" w:cs="Arial" w:eastAsia="Arial" w:hAnsi="Arial"/>
          <w:sz w:val="29"/>
          <w:szCs w:val="29"/>
          <w:color w:val="auto"/>
          <w:vertAlign w:val="superscript"/>
        </w:rPr>
      </w:pPr>
    </w:p>
    <w:p>
      <w:pPr>
        <w:ind w:left="1080" w:right="140" w:hanging="532"/>
        <w:spacing w:after="0" w:line="183" w:lineRule="auto"/>
        <w:tabs>
          <w:tab w:leader="none" w:pos="1080" w:val="left"/>
        </w:tabs>
        <w:numPr>
          <w:ilvl w:val="0"/>
          <w:numId w:val="126"/>
        </w:numPr>
        <w:rPr>
          <w:rFonts w:ascii="Arial" w:cs="Arial" w:eastAsia="Arial" w:hAnsi="Arial"/>
          <w:sz w:val="29"/>
          <w:szCs w:val="29"/>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United States courts in civil and commercial matters (although the U.S.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Latham &amp; Watkins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208" w:lineRule="exact"/>
        <w:rPr>
          <w:sz w:val="20"/>
          <w:szCs w:val="20"/>
          <w:color w:val="auto"/>
        </w:rPr>
      </w:pPr>
    </w:p>
    <w:p>
      <w:pPr>
        <w:ind w:left="1080" w:hanging="532"/>
        <w:spacing w:after="0" w:line="183" w:lineRule="auto"/>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195" w:lineRule="exact"/>
        <w:rPr>
          <w:rFonts w:ascii="Arial" w:cs="Arial" w:eastAsia="Arial" w:hAnsi="Arial"/>
          <w:sz w:val="29"/>
          <w:szCs w:val="29"/>
          <w:color w:val="auto"/>
          <w:vertAlign w:val="superscript"/>
        </w:rPr>
      </w:pPr>
    </w:p>
    <w:p>
      <w:pPr>
        <w:ind w:left="1080" w:right="520" w:hanging="532"/>
        <w:spacing w:after="0" w:line="183" w:lineRule="auto"/>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195" w:lineRule="exact"/>
        <w:rPr>
          <w:rFonts w:ascii="Arial" w:cs="Arial" w:eastAsia="Arial" w:hAnsi="Arial"/>
          <w:sz w:val="29"/>
          <w:szCs w:val="29"/>
          <w:color w:val="auto"/>
          <w:vertAlign w:val="superscript"/>
        </w:rPr>
      </w:pPr>
    </w:p>
    <w:p>
      <w:pPr>
        <w:ind w:left="1080" w:right="240" w:hanging="532"/>
        <w:spacing w:after="0" w:line="183" w:lineRule="auto"/>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195"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 judgment was not procured by fraud;</w:t>
      </w:r>
    </w:p>
    <w:p>
      <w:pPr>
        <w:spacing w:after="0" w:line="194" w:lineRule="exact"/>
        <w:rPr>
          <w:rFonts w:ascii="Arial" w:cs="Arial" w:eastAsia="Arial" w:hAnsi="Arial"/>
          <w:sz w:val="29"/>
          <w:szCs w:val="29"/>
          <w:color w:val="auto"/>
          <w:vertAlign w:val="superscript"/>
        </w:rPr>
      </w:pPr>
    </w:p>
    <w:p>
      <w:pPr>
        <w:ind w:left="1080" w:right="320" w:hanging="532"/>
        <w:spacing w:after="0" w:line="183" w:lineRule="auto"/>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194" w:lineRule="exact"/>
        <w:rPr>
          <w:rFonts w:ascii="Arial" w:cs="Arial" w:eastAsia="Arial" w:hAnsi="Arial"/>
          <w:sz w:val="29"/>
          <w:szCs w:val="29"/>
          <w:color w:val="auto"/>
          <w:vertAlign w:val="superscript"/>
        </w:rPr>
      </w:pPr>
    </w:p>
    <w:p>
      <w:pPr>
        <w:ind w:left="1080" w:right="160" w:hanging="532"/>
        <w:spacing w:after="0" w:line="197" w:lineRule="auto"/>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96" w:lineRule="exact"/>
        <w:rPr>
          <w:rFonts w:ascii="Arial" w:cs="Arial" w:eastAsia="Arial" w:hAnsi="Arial"/>
          <w:sz w:val="29"/>
          <w:szCs w:val="29"/>
          <w:color w:val="auto"/>
          <w:vertAlign w:val="superscript"/>
        </w:rPr>
      </w:pPr>
    </w:p>
    <w:p>
      <w:pPr>
        <w:ind w:left="1080" w:right="580" w:hanging="532"/>
        <w:spacing w:after="0" w:line="183" w:lineRule="auto"/>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27"/>
        </w:numPr>
        <w:rPr>
          <w:rFonts w:ascii="Arial" w:cs="Arial" w:eastAsia="Arial" w:hAnsi="Arial"/>
          <w:sz w:val="29"/>
          <w:szCs w:val="29"/>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43" w:right="71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8720" w:type="dxa"/>
            <w:vAlign w:val="bottom"/>
            <w:gridSpan w:val="7"/>
          </w:tcPr>
          <w:p>
            <w:pPr>
              <w:jc w:val="center"/>
              <w:ind w:left="352"/>
              <w:spacing w:after="0"/>
              <w:rPr>
                <w:sz w:val="20"/>
                <w:szCs w:val="20"/>
                <w:color w:val="auto"/>
              </w:rPr>
            </w:pPr>
            <w:r>
              <w:rPr>
                <w:rFonts w:ascii="Arial" w:cs="Arial" w:eastAsia="Arial" w:hAnsi="Arial"/>
                <w:sz w:val="18"/>
                <w:szCs w:val="18"/>
                <w:b w:val="1"/>
                <w:bCs w:val="1"/>
                <w:color w:val="auto"/>
                <w:w w:val="96"/>
              </w:rPr>
              <w:t>INDEX TO CONSOLIDATED FINANCIAL STATEMENTS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8"/>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80" w:type="dxa"/>
            <w:vAlign w:val="bottom"/>
            <w:gridSpan w:val="5"/>
          </w:tcPr>
          <w:p>
            <w:pPr>
              <w:jc w:val="center"/>
              <w:ind w:right="2620"/>
              <w:spacing w:after="0"/>
              <w:rPr>
                <w:sz w:val="20"/>
                <w:szCs w:val="20"/>
                <w:color w:val="auto"/>
              </w:rPr>
            </w:pPr>
            <w:r>
              <w:rPr>
                <w:rFonts w:ascii="Arial" w:cs="Arial" w:eastAsia="Arial" w:hAnsi="Arial"/>
                <w:sz w:val="18"/>
                <w:szCs w:val="18"/>
                <w:b w:val="1"/>
                <w:bCs w:val="1"/>
                <w:color w:val="auto"/>
                <w:w w:val="97"/>
              </w:rPr>
              <w:t>Consolidated financial statements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8720" w:type="dxa"/>
            <w:vAlign w:val="bottom"/>
            <w:gridSpan w:val="7"/>
          </w:tcPr>
          <w:p>
            <w:pPr>
              <w:jc w:val="center"/>
              <w:ind w:left="332"/>
              <w:spacing w:after="0"/>
              <w:rPr>
                <w:sz w:val="20"/>
                <w:szCs w:val="20"/>
                <w:color w:val="auto"/>
              </w:rPr>
            </w:pPr>
            <w:r>
              <w:rPr>
                <w:rFonts w:ascii="Arial" w:cs="Arial" w:eastAsia="Arial" w:hAnsi="Arial"/>
                <w:sz w:val="18"/>
                <w:szCs w:val="18"/>
                <w:b w:val="1"/>
                <w:bCs w:val="1"/>
                <w:color w:val="auto"/>
                <w:w w:val="97"/>
              </w:rPr>
              <w:t>as of and for the years ended December 31, 2015 and 2016</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45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92">
              <w:r>
                <w:rPr>
                  <w:rFonts w:ascii="Arial" w:cs="Arial" w:eastAsia="Arial" w:hAnsi="Arial"/>
                  <w:sz w:val="18"/>
                  <w:szCs w:val="18"/>
                  <w:color w:val="0000EE"/>
                  <w:w w:val="97"/>
                </w:rPr>
                <w:t>Report of Independent Registered Public Accounting Firm</w:t>
              </w:r>
            </w:hyperlink>
          </w:p>
        </w:tc>
        <w:tc>
          <w:tcPr>
            <w:tcW w:w="422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92">
              <w:r>
                <w:rPr>
                  <w:rFonts w:ascii="Arial" w:cs="Arial" w:eastAsia="Arial" w:hAnsi="Arial"/>
                  <w:sz w:val="18"/>
                  <w:szCs w:val="18"/>
                  <w:color w:val="0000EE"/>
                  <w:w w:val="88"/>
                </w:rPr>
                <w:t>F-2</w:t>
              </w:r>
            </w:hyperlink>
          </w:p>
        </w:tc>
        <w:tc>
          <w:tcPr>
            <w:tcW w:w="132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8720" w:type="dxa"/>
            <w:vAlign w:val="bottom"/>
            <w:gridSpan w:val="7"/>
          </w:tcPr>
          <w:p>
            <w:pPr>
              <w:spacing w:after="0" w:line="182"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Statement of Comprehensive Income</w:t>
              </w:r>
            </w:hyperlink>
          </w:p>
        </w:tc>
        <w:tc>
          <w:tcPr>
            <w:tcW w:w="1580" w:type="dxa"/>
            <w:vAlign w:val="bottom"/>
            <w:gridSpan w:val="3"/>
          </w:tcPr>
          <w:p>
            <w:pPr>
              <w:spacing w:after="0" w:line="182" w:lineRule="exact"/>
              <w:rPr>
                <w:rFonts w:ascii="Arial" w:cs="Arial" w:eastAsia="Arial" w:hAnsi="Arial"/>
                <w:sz w:val="18"/>
                <w:szCs w:val="18"/>
                <w:color w:val="0000EE"/>
              </w:rPr>
            </w:pPr>
            <w:hyperlink w:anchor="page193">
              <w:r>
                <w:rPr>
                  <w:rFonts w:ascii="Arial" w:cs="Arial" w:eastAsia="Arial" w:hAnsi="Arial"/>
                  <w:sz w:val="18"/>
                  <w:szCs w:val="18"/>
                  <w:color w:val="0000EE"/>
                </w:rPr>
                <w:t>F-3</w:t>
              </w:r>
            </w:hyperlink>
          </w:p>
        </w:tc>
      </w:tr>
      <w:tr>
        <w:trPr>
          <w:trHeight w:val="183"/>
        </w:trPr>
        <w:tc>
          <w:tcPr>
            <w:tcW w:w="1140" w:type="dxa"/>
            <w:vAlign w:val="bottom"/>
          </w:tcPr>
          <w:p>
            <w:pPr>
              <w:spacing w:after="0"/>
              <w:rPr>
                <w:sz w:val="15"/>
                <w:szCs w:val="15"/>
                <w:color w:val="auto"/>
              </w:rPr>
            </w:pPr>
          </w:p>
        </w:tc>
        <w:tc>
          <w:tcPr>
            <w:tcW w:w="39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Statement of Financial Position</w:t>
              </w:r>
            </w:hyperlink>
          </w:p>
        </w:tc>
        <w:tc>
          <w:tcPr>
            <w:tcW w:w="4740" w:type="dxa"/>
            <w:vAlign w:val="bottom"/>
            <w:gridSpan w:val="2"/>
          </w:tcPr>
          <w:p>
            <w:pPr>
              <w:spacing w:after="0"/>
              <w:rPr>
                <w:sz w:val="15"/>
                <w:szCs w:val="15"/>
                <w:color w:val="auto"/>
              </w:rPr>
            </w:pPr>
          </w:p>
        </w:tc>
        <w:tc>
          <w:tcPr>
            <w:tcW w:w="260" w:type="dxa"/>
            <w:vAlign w:val="bottom"/>
            <w:tcBorders>
              <w:top w:val="single" w:sz="8" w:color="0000EE"/>
            </w:tcBorders>
          </w:tcPr>
          <w:p>
            <w:pPr>
              <w:spacing w:after="0" w:line="182" w:lineRule="exact"/>
              <w:rPr>
                <w:rFonts w:ascii="Arial" w:cs="Arial" w:eastAsia="Arial" w:hAnsi="Arial"/>
                <w:sz w:val="18"/>
                <w:szCs w:val="18"/>
                <w:color w:val="0000EE"/>
                <w:w w:val="88"/>
              </w:rPr>
            </w:pPr>
            <w:hyperlink w:anchor="page194">
              <w:r>
                <w:rPr>
                  <w:rFonts w:ascii="Arial" w:cs="Arial" w:eastAsia="Arial" w:hAnsi="Arial"/>
                  <w:sz w:val="18"/>
                  <w:szCs w:val="18"/>
                  <w:color w:val="0000EE"/>
                  <w:w w:val="88"/>
                </w:rPr>
                <w:t>F-4</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Statement of Cash Flows</w:t>
              </w:r>
            </w:hyperlink>
          </w:p>
        </w:tc>
        <w:tc>
          <w:tcPr>
            <w:tcW w:w="5220" w:type="dxa"/>
            <w:vAlign w:val="bottom"/>
            <w:gridSpan w:val="4"/>
          </w:tcPr>
          <w:p>
            <w:pPr>
              <w:spacing w:after="0"/>
              <w:rPr>
                <w:sz w:val="15"/>
                <w:szCs w:val="15"/>
                <w:color w:val="auto"/>
              </w:rPr>
            </w:pPr>
          </w:p>
        </w:tc>
        <w:tc>
          <w:tcPr>
            <w:tcW w:w="260" w:type="dxa"/>
            <w:vAlign w:val="bottom"/>
            <w:tcBorders>
              <w:top w:val="single" w:sz="8" w:color="0000EE"/>
            </w:tcBorders>
          </w:tcPr>
          <w:p>
            <w:pPr>
              <w:spacing w:after="0" w:line="182"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F-5</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96">
              <w:r>
                <w:rPr>
                  <w:rFonts w:ascii="Arial" w:cs="Arial" w:eastAsia="Arial" w:hAnsi="Arial"/>
                  <w:sz w:val="18"/>
                  <w:szCs w:val="18"/>
                  <w:color w:val="0000EE"/>
                  <w:w w:val="97"/>
                </w:rPr>
                <w:t>Consolidated Statement of Changes in Equity</w:t>
              </w:r>
            </w:hyperlink>
          </w:p>
        </w:tc>
        <w:tc>
          <w:tcPr>
            <w:tcW w:w="5160" w:type="dxa"/>
            <w:vAlign w:val="bottom"/>
            <w:gridSpan w:val="3"/>
          </w:tcPr>
          <w:p>
            <w:pPr>
              <w:spacing w:after="0"/>
              <w:rPr>
                <w:sz w:val="15"/>
                <w:szCs w:val="15"/>
                <w:color w:val="auto"/>
              </w:rPr>
            </w:pPr>
          </w:p>
        </w:tc>
        <w:tc>
          <w:tcPr>
            <w:tcW w:w="260" w:type="dxa"/>
            <w:vAlign w:val="bottom"/>
            <w:tcBorders>
              <w:bottom w:val="single" w:sz="8" w:color="0000EE"/>
            </w:tcBorders>
          </w:tcPr>
          <w:p>
            <w:pPr>
              <w:spacing w:after="0" w:line="182" w:lineRule="exact"/>
              <w:rPr>
                <w:rFonts w:ascii="Arial" w:cs="Arial" w:eastAsia="Arial" w:hAnsi="Arial"/>
                <w:sz w:val="18"/>
                <w:szCs w:val="18"/>
                <w:color w:val="0000EE"/>
                <w:w w:val="88"/>
              </w:rPr>
            </w:pPr>
            <w:hyperlink w:anchor="page196">
              <w:r>
                <w:rPr>
                  <w:rFonts w:ascii="Arial" w:cs="Arial" w:eastAsia="Arial" w:hAnsi="Arial"/>
                  <w:sz w:val="18"/>
                  <w:szCs w:val="18"/>
                  <w:color w:val="0000EE"/>
                  <w:w w:val="88"/>
                </w:rPr>
                <w:t>F-6</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720" w:type="dxa"/>
            <w:vAlign w:val="bottom"/>
            <w:gridSpan w:val="7"/>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Notes to the Financial Statements</w:t>
              </w:r>
            </w:hyperlink>
          </w:p>
        </w:tc>
        <w:tc>
          <w:tcPr>
            <w:tcW w:w="1580" w:type="dxa"/>
            <w:vAlign w:val="bottom"/>
            <w:gridSpan w:val="3"/>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F-7</w:t>
              </w:r>
            </w:hyperlink>
          </w:p>
        </w:tc>
      </w:tr>
      <w:tr>
        <w:trPr>
          <w:trHeight w:val="115"/>
        </w:trPr>
        <w:tc>
          <w:tcPr>
            <w:tcW w:w="1140" w:type="dxa"/>
            <w:vAlign w:val="bottom"/>
            <w:tcBorders>
              <w:bottom w:val="single" w:sz="8" w:color="auto"/>
            </w:tcBorders>
          </w:tcPr>
          <w:p>
            <w:pPr>
              <w:spacing w:after="0"/>
              <w:rPr>
                <w:sz w:val="10"/>
                <w:szCs w:val="10"/>
                <w:color w:val="auto"/>
              </w:rPr>
            </w:pPr>
          </w:p>
        </w:tc>
        <w:tc>
          <w:tcPr>
            <w:tcW w:w="2640" w:type="dxa"/>
            <w:vAlign w:val="bottom"/>
            <w:tcBorders>
              <w:top w:val="single" w:sz="8" w:color="0000EE"/>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424"/>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gridSpan w:val="2"/>
          </w:tcPr>
          <w:p>
            <w:pPr>
              <w:jc w:val="center"/>
              <w:ind w:right="3560"/>
              <w:spacing w:after="0"/>
              <w:rPr>
                <w:sz w:val="20"/>
                <w:szCs w:val="20"/>
                <w:color w:val="auto"/>
              </w:rPr>
            </w:pPr>
            <w:r>
              <w:rPr>
                <w:rFonts w:ascii="Arial" w:cs="Arial" w:eastAsia="Arial" w:hAnsi="Arial"/>
                <w:sz w:val="18"/>
                <w:szCs w:val="18"/>
                <w:color w:val="auto"/>
                <w:w w:val="96"/>
              </w:rPr>
              <w:t>F-1</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40" w:type="dxa"/>
            <w:vAlign w:val="bottom"/>
            <w:tcBorders>
              <w:bottom w:val="single" w:sz="8" w:color="808080"/>
            </w:tcBorders>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2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Verona Pharma Plc:</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our opinion, the accompanying consolidated statement of financial position and the related consolidated statements of comprehensive income (loss), of changes in equity and of cash flows, present fairly, in all material respects, the financial position of Verona Pharma Plc and its subsidiaries as at December 31, 2016 and December 31, 2015, and the results of their operations and their cash flows for each of the two years in the period ended December 31, 2016 in conformity with International Financial Reporting Standards as issued by the International Accounting Standards Board.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draw attention to note 23 of the consolidated financial statements which describes the share consolidation the Company effected on February 8, 2017. Management have reflected this share consolidation in the accompanying financial statements to give retroactive effect to the loss per share amounts.</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discussed in Note 2.2 to the consolidated financial statements, the company restated its comparative financial statements to correct an error in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 2017</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Restated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23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Notes</w:t>
            </w:r>
          </w:p>
        </w:tc>
        <w:tc>
          <w:tcPr>
            <w:tcW w:w="116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000" w:type="dxa"/>
            <w:vAlign w:val="bottom"/>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top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0" w:type="dxa"/>
            <w:vAlign w:val="bottom"/>
            <w:tcBorders>
              <w:top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46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(7,268,847)</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(4,521,820)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General and administrative costs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(1,705,944)</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(2,498,349)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w:t>
            </w:r>
          </w:p>
        </w:tc>
        <w:tc>
          <w:tcPr>
            <w:tcW w:w="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(8,974,791)</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(7,020,169)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income</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44,791</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1,841,282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(72,291)</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(793,690)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Loss before taxation</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(9,002,291)</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(5,972,577)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 — credit</w:t>
            </w:r>
          </w:p>
        </w:tc>
        <w:tc>
          <w:tcPr>
            <w:tcW w:w="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1,509,448</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954,184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160" w:type="dxa"/>
            <w:vAlign w:val="bottom"/>
          </w:tcPr>
          <w:p>
            <w:pPr>
              <w:spacing w:after="0" w:line="196" w:lineRule="exact"/>
              <w:rPr>
                <w:sz w:val="20"/>
                <w:szCs w:val="20"/>
                <w:color w:val="auto"/>
              </w:rPr>
            </w:pPr>
            <w:r>
              <w:rPr>
                <w:rFonts w:ascii="Arial" w:cs="Arial" w:eastAsia="Arial" w:hAnsi="Arial"/>
                <w:sz w:val="18"/>
                <w:szCs w:val="18"/>
                <w:b w:val="1"/>
                <w:bCs w:val="1"/>
                <w:color w:val="auto"/>
              </w:rPr>
              <w:t>Loss for the year</w:t>
            </w:r>
          </w:p>
        </w:tc>
        <w:tc>
          <w:tcPr>
            <w:tcW w:w="460" w:type="dxa"/>
            <w:vAlign w:val="bottom"/>
          </w:tcPr>
          <w:p>
            <w:pPr>
              <w:spacing w:after="0"/>
              <w:rPr>
                <w:sz w:val="17"/>
                <w:szCs w:val="17"/>
                <w:color w:val="auto"/>
              </w:rPr>
            </w:pPr>
          </w:p>
        </w:tc>
        <w:tc>
          <w:tcPr>
            <w:tcW w:w="134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(7,492,843)</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(5,018,393)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comprehensive income: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Exchange differences on translating foreign operations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3,784</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42,559</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comprehensive loss attributable to owners of the Company</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(7,489,059)</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(4,975,834)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per ordinary share — basic and diluted (pence)</w:t>
            </w: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2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340" w:type="dxa"/>
            <w:vAlign w:val="bottom"/>
            <w:gridSpan w:val="3"/>
          </w:tcPr>
          <w:p>
            <w:pPr>
              <w:jc w:val="right"/>
              <w:ind w:right="120"/>
              <w:spacing w:after="0" w:line="195" w:lineRule="exact"/>
              <w:rPr>
                <w:sz w:val="20"/>
                <w:szCs w:val="20"/>
                <w:color w:val="auto"/>
              </w:rPr>
            </w:pPr>
            <w:r>
              <w:rPr>
                <w:rFonts w:ascii="Arial" w:cs="Arial" w:eastAsia="Arial" w:hAnsi="Arial"/>
                <w:sz w:val="18"/>
                <w:szCs w:val="18"/>
                <w:color w:val="auto"/>
              </w:rPr>
              <w:t>(37.10)</w:t>
            </w:r>
          </w:p>
        </w:tc>
        <w:tc>
          <w:tcPr>
            <w:tcW w:w="116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(14.98)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6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Restated</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24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12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top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0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140" w:type="dxa"/>
            <w:vAlign w:val="bottom"/>
            <w:gridSpan w:val="2"/>
          </w:tcPr>
          <w:p>
            <w:pPr>
              <w:ind w:left="1140"/>
              <w:spacing w:after="0"/>
              <w:rPr>
                <w:sz w:val="20"/>
                <w:szCs w:val="20"/>
                <w:color w:val="auto"/>
              </w:rPr>
            </w:pPr>
            <w:r>
              <w:rPr>
                <w:rFonts w:ascii="Arial" w:cs="Arial" w:eastAsia="Arial" w:hAnsi="Arial"/>
                <w:sz w:val="18"/>
                <w:szCs w:val="18"/>
                <w:b w:val="1"/>
                <w:bCs w:val="1"/>
                <w:color w:val="auto"/>
              </w:rPr>
              <w:t>Non-current assets: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13,838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Intangible assets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1,813,756</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1,876,684</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2,267,919</w:t>
            </w:r>
          </w:p>
        </w:tc>
        <w:tc>
          <w:tcPr>
            <w:tcW w:w="1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2,331,522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Prepayments and other receivables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513,300</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2,958,587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w:t>
            </w:r>
          </w:p>
        </w:tc>
        <w:tc>
          <w:tcPr>
            <w:tcW w:w="4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1,534,788</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1,067,460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39,785,098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5,572,475</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43,811,145</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80" w:type="dxa"/>
            <w:vAlign w:val="bottom"/>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8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7,840,394</w:t>
            </w:r>
          </w:p>
        </w:tc>
        <w:tc>
          <w:tcPr>
            <w:tcW w:w="1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46,142,667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59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EQUITY AND LIABILITIES</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7140" w:type="dxa"/>
            <w:vAlign w:val="bottom"/>
            <w:gridSpan w:val="2"/>
          </w:tcPr>
          <w:p>
            <w:pPr>
              <w:ind w:left="11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2,568,053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 premium</w:t>
            </w:r>
          </w:p>
        </w:tc>
        <w:tc>
          <w:tcPr>
            <w:tcW w:w="48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58,526,502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reserve</w:t>
            </w:r>
          </w:p>
        </w:tc>
        <w:tc>
          <w:tcPr>
            <w:tcW w:w="4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1,525,897</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2,101,790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Accumulated loss</w:t>
            </w:r>
          </w:p>
        </w:tc>
        <w:tc>
          <w:tcPr>
            <w:tcW w:w="480" w:type="dxa"/>
            <w:vAlign w:val="bottom"/>
          </w:tcPr>
          <w:p>
            <w:pPr>
              <w:spacing w:after="0"/>
              <w:rPr>
                <w:sz w:val="17"/>
                <w:szCs w:val="17"/>
                <w:color w:val="auto"/>
              </w:rPr>
            </w:pPr>
          </w:p>
        </w:tc>
        <w:tc>
          <w:tcPr>
            <w:tcW w:w="14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(23,752,204)</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(28,728,038)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59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equity</w:t>
            </w:r>
          </w:p>
        </w:tc>
        <w:tc>
          <w:tcPr>
            <w:tcW w:w="4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5,433,714</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34,468,307</w:t>
            </w: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1,798,682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2,823,489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Tax payable—U.S. Operations</w:t>
            </w:r>
          </w:p>
        </w:tc>
        <w:tc>
          <w:tcPr>
            <w:tcW w:w="48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14,057</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126,063</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financial instrument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7,922,603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1,812,739</w:t>
            </w:r>
          </w:p>
        </w:tc>
        <w:tc>
          <w:tcPr>
            <w:tcW w:w="1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10,872,155</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59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Non-current liabilities:</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593,941</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802,205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59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Total non-current liabilities</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802,205</w:t>
            </w: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80" w:type="dxa"/>
            <w:vAlign w:val="bottom"/>
          </w:tcPr>
          <w:p>
            <w:pPr>
              <w:spacing w:after="0" w:line="196" w:lineRule="exact"/>
              <w:rPr>
                <w:sz w:val="20"/>
                <w:szCs w:val="20"/>
                <w:color w:val="auto"/>
              </w:rPr>
            </w:pPr>
            <w:r>
              <w:rPr>
                <w:rFonts w:ascii="Arial" w:cs="Arial" w:eastAsia="Arial" w:hAnsi="Arial"/>
                <w:sz w:val="18"/>
                <w:szCs w:val="18"/>
                <w:b w:val="1"/>
                <w:bCs w:val="1"/>
                <w:color w:val="auto"/>
              </w:rPr>
              <w:t>Total equity and liabilities</w:t>
            </w:r>
          </w:p>
        </w:tc>
        <w:tc>
          <w:tcPr>
            <w:tcW w:w="48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7,840,394</w:t>
            </w:r>
          </w:p>
        </w:tc>
        <w:tc>
          <w:tcPr>
            <w:tcW w:w="1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46,142,667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59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financial statements on pages F-3 to F-37 were approved by the Company's board of directors on February 27, 2017 and signed on its behalf by Dr. Jan-Anders Karlsson, Chief Executive Officer of the Company.</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Restated</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23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236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02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used in operating activities: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Loss before taxation</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(9,002,291)</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(5,972,577)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(44,791)</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(1,841,282)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Finance expense</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72,291</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793,690</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charge</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398,943</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575,893</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Decrease / (increase) in prepayments and other receivables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57,633</w:t>
            </w:r>
          </w:p>
        </w:tc>
        <w:tc>
          <w:tcPr>
            <w:tcW w:w="16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(1,808,832)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trade and other payables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1,274,370</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1,067,595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9,689</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10,051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disposal of property, plant and equipment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2,625</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Loss on disposal of intangible assets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134,532</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43,428</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51,571</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0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Cash used in operating activities</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(7,056,196)</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(7,121,258)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inflow from taxation</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699,519</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1,533,287</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740" w:type="dxa"/>
            <w:vAlign w:val="bottom"/>
          </w:tcPr>
          <w:p>
            <w:pPr>
              <w:spacing w:after="0" w:line="196" w:lineRule="exact"/>
              <w:rPr>
                <w:sz w:val="20"/>
                <w:szCs w:val="20"/>
                <w:color w:val="auto"/>
              </w:rPr>
            </w:pPr>
            <w:r>
              <w:rPr>
                <w:rFonts w:ascii="Arial" w:cs="Arial" w:eastAsia="Arial" w:hAnsi="Arial"/>
                <w:sz w:val="18"/>
                <w:szCs w:val="18"/>
                <w:b w:val="1"/>
                <w:bCs w:val="1"/>
                <w:color w:val="auto"/>
              </w:rPr>
              <w:t>Net cash used in operating activities</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(6,356,677)</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(5,587,971)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investing activities:</w:t>
            </w: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Interest received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50,592</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86,542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plant and equipment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(1,193)</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(13,351)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Payment for patents and computer software</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(141,878)</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(114,506)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(92,479)</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(41,315)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7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 from financing activities:</w:t>
            </w: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proceeds from issue of shares and warrants</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44,750,364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Transaction costs on issue of shares and warrants</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(2,910,461)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upcoming Global Offering</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(636,455)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740" w:type="dxa"/>
            <w:vAlign w:val="bottom"/>
          </w:tcPr>
          <w:p>
            <w:pPr>
              <w:spacing w:after="0" w:line="196" w:lineRule="exact"/>
              <w:rPr>
                <w:sz w:val="20"/>
                <w:szCs w:val="20"/>
                <w:color w:val="auto"/>
              </w:rPr>
            </w:pPr>
            <w:r>
              <w:rPr>
                <w:rFonts w:ascii="Arial" w:cs="Arial" w:eastAsia="Arial" w:hAnsi="Arial"/>
                <w:sz w:val="18"/>
                <w:szCs w:val="18"/>
                <w:b w:val="1"/>
                <w:bCs w:val="1"/>
                <w:color w:val="auto"/>
              </w:rPr>
              <w:t>Net cash generated from financing activities</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41,203,448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(decrease) / increase in cash and cash equivalents</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(6,449,156)</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35,574,162</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Cash and cash equivalents at the beginning of the year</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9,969,759</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3,524,387</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on cash and cash equivalents</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3,784</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686,549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740" w:type="dxa"/>
            <w:vAlign w:val="bottom"/>
          </w:tcPr>
          <w:p>
            <w:pPr>
              <w:spacing w:after="0" w:line="196" w:lineRule="exact"/>
              <w:rPr>
                <w:sz w:val="20"/>
                <w:szCs w:val="20"/>
                <w:color w:val="auto"/>
              </w:rPr>
            </w:pPr>
            <w:r>
              <w:rPr>
                <w:rFonts w:ascii="Arial" w:cs="Arial" w:eastAsia="Arial" w:hAnsi="Arial"/>
                <w:sz w:val="18"/>
                <w:szCs w:val="18"/>
                <w:b w:val="1"/>
                <w:bCs w:val="1"/>
                <w:color w:val="auto"/>
              </w:rPr>
              <w:t>Cash and cash equivalents at the end of the period</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3,524,387</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39,785,098</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30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Premium</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230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31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at January 1, 2015</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(Restated)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1,126,954</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(16,263,145)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12,523,830</w:t>
            </w:r>
          </w:p>
        </w:tc>
        <w:tc>
          <w:tcPr>
            <w:tcW w:w="16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for the year</w:t>
            </w: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(7,492,843)</w:t>
            </w: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(7,492,843)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comprehensive income for the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year:</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Exchange differences on translating</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tcPr>
          <w:p>
            <w:pPr>
              <w:ind w:left="160"/>
              <w:spacing w:after="0" w:line="200" w:lineRule="exact"/>
              <w:rPr>
                <w:sz w:val="20"/>
                <w:szCs w:val="20"/>
                <w:color w:val="auto"/>
              </w:rPr>
            </w:pPr>
            <w:r>
              <w:rPr>
                <w:rFonts w:ascii="Arial" w:cs="Arial" w:eastAsia="Arial" w:hAnsi="Arial"/>
                <w:sz w:val="18"/>
                <w:szCs w:val="18"/>
                <w:color w:val="auto"/>
              </w:rPr>
              <w:t>foreign operations</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3,784</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comprehensive loss for the</w:t>
            </w: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period</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(7,489,059)</w:t>
            </w:r>
          </w:p>
        </w:tc>
        <w:tc>
          <w:tcPr>
            <w:tcW w:w="12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(7,489,059)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Share-based payments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398,943</w:t>
            </w:r>
          </w:p>
        </w:tc>
        <w:tc>
          <w:tcPr>
            <w:tcW w:w="16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398,943</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December 31, 2015</w:t>
            </w: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(Restated)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1,009,923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26,650,098</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1,525,897</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(23,752,204)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5,433,714</w:t>
            </w:r>
          </w:p>
        </w:tc>
        <w:tc>
          <w:tcPr>
            <w:tcW w:w="16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Balance at January 1, 2016</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gridSpan w:val="2"/>
            <w:vMerge w:val="continue"/>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1,009,923</w:t>
            </w:r>
          </w:p>
        </w:tc>
        <w:tc>
          <w:tcPr>
            <w:tcW w:w="1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26,650,098</w:t>
            </w:r>
          </w:p>
        </w:tc>
        <w:tc>
          <w:tcPr>
            <w:tcW w:w="1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1,525,897</w:t>
            </w:r>
          </w:p>
        </w:tc>
        <w:tc>
          <w:tcPr>
            <w:tcW w:w="160" w:type="dxa"/>
            <w:vAlign w:val="bottom"/>
          </w:tcPr>
          <w:p>
            <w:pPr>
              <w:spacing w:after="0"/>
              <w:rPr>
                <w:sz w:val="15"/>
                <w:szCs w:val="15"/>
                <w:color w:val="auto"/>
              </w:rPr>
            </w:pPr>
          </w:p>
        </w:tc>
        <w:tc>
          <w:tcPr>
            <w:tcW w:w="132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(23,752,204)</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5,433,714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for the year</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(5,018,393)</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(5,018,393)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Other comprehensive income for the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tcPr>
          <w:p>
            <w:pPr>
              <w:ind w:left="160"/>
              <w:spacing w:after="0" w:line="200" w:lineRule="exact"/>
              <w:rPr>
                <w:sz w:val="20"/>
                <w:szCs w:val="20"/>
                <w:color w:val="auto"/>
              </w:rPr>
            </w:pPr>
            <w:r>
              <w:rPr>
                <w:rFonts w:ascii="Arial" w:cs="Arial" w:eastAsia="Arial" w:hAnsi="Arial"/>
                <w:sz w:val="18"/>
                <w:szCs w:val="18"/>
                <w:color w:val="auto"/>
              </w:rPr>
              <w:t>year:</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Exchange differences on translating</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foreign operations</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42,559</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42,559</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60" w:type="dxa"/>
            <w:vAlign w:val="bottom"/>
            <w:gridSpan w:val="2"/>
          </w:tcPr>
          <w:p>
            <w:pPr>
              <w:ind w:left="1140"/>
              <w:spacing w:after="0" w:line="200" w:lineRule="exact"/>
              <w:rPr>
                <w:sz w:val="20"/>
                <w:szCs w:val="20"/>
                <w:color w:val="auto"/>
              </w:rPr>
            </w:pPr>
            <w:r>
              <w:rPr>
                <w:rFonts w:ascii="Arial" w:cs="Arial" w:eastAsia="Arial" w:hAnsi="Arial"/>
                <w:sz w:val="18"/>
                <w:szCs w:val="18"/>
                <w:color w:val="auto"/>
              </w:rPr>
              <w:t>Total comprehensive loss for the</w:t>
            </w: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tcPr>
          <w:p>
            <w:pPr>
              <w:ind w:left="160"/>
              <w:spacing w:after="0" w:line="200" w:lineRule="exact"/>
              <w:rPr>
                <w:sz w:val="20"/>
                <w:szCs w:val="20"/>
                <w:color w:val="auto"/>
              </w:rPr>
            </w:pPr>
            <w:r>
              <w:rPr>
                <w:rFonts w:ascii="Arial" w:cs="Arial" w:eastAsia="Arial" w:hAnsi="Arial"/>
                <w:sz w:val="18"/>
                <w:szCs w:val="18"/>
                <w:color w:val="auto"/>
              </w:rPr>
              <w:t>period</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(4,975,834)</w:t>
            </w:r>
          </w:p>
        </w:tc>
        <w:tc>
          <w:tcPr>
            <w:tcW w:w="12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(4,975,834)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share capital issued</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1,555,796</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34,151,439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35,707,235</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Transaction costs on share capital</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tcPr>
          <w:p>
            <w:pPr>
              <w:ind w:left="160"/>
              <w:spacing w:after="0" w:line="200" w:lineRule="exact"/>
              <w:rPr>
                <w:sz w:val="20"/>
                <w:szCs w:val="20"/>
                <w:color w:val="auto"/>
              </w:rPr>
            </w:pPr>
            <w:r>
              <w:rPr>
                <w:rFonts w:ascii="Arial" w:cs="Arial" w:eastAsia="Arial" w:hAnsi="Arial"/>
                <w:sz w:val="18"/>
                <w:szCs w:val="18"/>
                <w:color w:val="auto"/>
              </w:rPr>
              <w:t>issued</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(2,325,035)</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(2,325,035)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Share options exercised during the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1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period</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2,334</w:t>
            </w:r>
          </w:p>
        </w:tc>
        <w:tc>
          <w:tcPr>
            <w:tcW w:w="12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52,334</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Share-based payments</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575,893</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575,893</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2016</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2,568,053</w:t>
            </w: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58,526,502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2,101,790</w:t>
            </w:r>
          </w:p>
        </w:tc>
        <w:tc>
          <w:tcPr>
            <w:tcW w:w="14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(28,728,038)</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34,468,307</w:t>
            </w:r>
          </w:p>
        </w:tc>
        <w:tc>
          <w:tcPr>
            <w:tcW w:w="16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currency translation reserve for 2015 and 2016 was not considered material and as such was not presented in a separate reserve but was included in the total accumulated losses reserve.</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34" w:lineRule="exact"/>
        <w:rPr>
          <w:sz w:val="20"/>
          <w:szCs w:val="20"/>
          <w:color w:val="auto"/>
        </w:rPr>
      </w:pPr>
    </w:p>
    <w:p>
      <w:pPr>
        <w:ind w:right="820"/>
        <w:spacing w:after="0" w:line="299" w:lineRule="auto"/>
        <w:rPr>
          <w:sz w:val="20"/>
          <w:szCs w:val="20"/>
          <w:color w:val="auto"/>
        </w:rPr>
      </w:pPr>
      <w:r>
        <w:rPr>
          <w:rFonts w:ascii="Arial" w:cs="Arial" w:eastAsia="Arial" w:hAnsi="Arial"/>
          <w:sz w:val="16"/>
          <w:szCs w:val="16"/>
          <w:color w:val="auto"/>
        </w:rPr>
        <w:t>Verona Pharma plc (the "Company") and its subsidiaries (together, the "Group") are a clinical-stage biopharmaceutical group focused on developing and commercializing innovative therapeutics for the treatment of respiratory diseases with significant unmet medical needs.</w:t>
      </w:r>
    </w:p>
    <w:p>
      <w:pPr>
        <w:spacing w:after="0" w:line="16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is a public limited company, which is listed on the Alternative Investment Market of the London Stock Exchange and incorporated and domiciled in the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February 8, 2017, our shareholders approved a 50-for-1 consolidation of its shares. Earnings per share information in these consolidated financial statements has been retrospectively adjusted, to reflect the consolidation as if it had occurred at the beginning of the earliest period presented. Prior to the consolidation the total number of issued shares as at December 31, 2016 would read as 2,568,053,160 shares and after the consolidation this number would read as 51,361,063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principal accounting policies, all of which have been applied consistently throughout the year, is set out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23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The consolidated financial statements have been prepared under the historical cost convention, with the exception of derivative financial instruments which have been measured at fair value.</w:t>
      </w:r>
    </w:p>
    <w:p>
      <w:pPr>
        <w:spacing w:after="0" w:line="208"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34"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color w:val="auto"/>
        </w:rPr>
        <w:t>During the year ended December 31, 2016, the Group had a loss of £5,018 thousand (2015: £7,493 thousand). As of December 31, 2016, the Group had net assets of £34,468 thousand (2015: £5,434 thousand) of which £39,785 thousand (2015: £3,524 thousand) was cash and cash equivalents.</w:t>
      </w:r>
    </w:p>
    <w:p>
      <w:pPr>
        <w:spacing w:after="0" w:line="20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operation of the Group is currently being financed from funds that the Company raised from share placings. On July 29, 2016, the Company raised gross proceeds of £44.7 million from a placing, subscription and open offer (the "July Placement"). These funds are expected to be used primarily to support the development of RPL554 in chronic obstructive pulmonary disease ("COPD") as well as corporate and general administrative expenditures.</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Directors believe that the Group has sufficient funds to complete the current clinical trials, to cover corporate and general administration costs and for it to comply with all commitments for at least 12 months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from the end of the reporting period and, accordingly, are satisfied that the going concern basis remains appropriate for the preparation of these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Group applies the acquisition method to account for business combinations regardless of whether equity instruments or other assets are acquired. The consideration transferred for the acquisition of a subsidiary is the fair value of the assets transferred, the liabilities incurred to the former owners of the acquiree and the equity interests issued by the Group. The consideration transferred includes the fair value of any asset or liability resulting from a contingent consideration arrangement and the fair value of any pre-existing equity interest in the subsidiary. The excess of the cost of acquisition over the fair value of the Group's share of the identifiable net assets acquired is recorded as goodwill. Goodwill arising on acquisitions is capitalized and is subject to an impairment review, both annually and when there are indications that the carrying value may not be recoverable.</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3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These consolidated financial statements include the accounts of Verona Pharma plc and its wholly owned subsidiaries Verona Pharma, Inc. and Rhinopharma. The acquisition method of accounting was used to account for the acquisition of Rhinopharma.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balances and unrealized gains on transactions between Group companies are eliminated.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Verona Pharma Inc. and Rhinopharma adopt the same accounting policies as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Correction of errors in 2015 comparative figures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Rhinopharma Limited</w:t>
      </w:r>
    </w:p>
    <w:p>
      <w:pPr>
        <w:spacing w:after="0" w:line="23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On September 19, 2006, the Group acquired Rhinopharma for a total consideration of £1,520 thousand payable in ordinary shares. Net assets of £51 thousand were recorded as part of the acquisition, resulting in excess consideration of £1,469 thousand, which was classified in its entirety as goodwill in the statement of financial position.</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2016, the Company identified an error relating to the accounting for this acquisition. After further due diligence it has been identified that the excess consideration should have been recorded as an in-process research and development intangible ("IP R&amp;D") and a corresponding deferred tax liability should have been recorded in relation to this intangible. In addition, there was a financial liability in relation to an assumed contingent obligation that Rhinopharma held with Vernalis plc ("Vernalis") that was not identified and fair valued at the date of the acquisition. The intangible asset and the financial liability should have been recognized at fair value on the acquisition date. The impact of these as of the time of the acquisition was as follows:</w:t>
      </w:r>
    </w:p>
    <w:p>
      <w:pPr>
        <w:spacing w:after="0" w:line="210" w:lineRule="exact"/>
        <w:rPr>
          <w:sz w:val="20"/>
          <w:szCs w:val="20"/>
          <w:color w:val="auto"/>
        </w:rPr>
      </w:pPr>
    </w:p>
    <w:p>
      <w:pPr>
        <w:jc w:val="right"/>
        <w:ind w:left="5580" w:right="5540" w:hanging="5032"/>
        <w:spacing w:after="0" w:line="377" w:lineRule="auto"/>
        <w:tabs>
          <w:tab w:leader="none" w:pos="1086" w:val="left"/>
        </w:tabs>
        <w:numPr>
          <w:ilvl w:val="0"/>
          <w:numId w:val="128"/>
        </w:numPr>
        <w:rPr>
          <w:rFonts w:ascii="Arial" w:cs="Arial" w:eastAsia="Arial" w:hAnsi="Arial"/>
          <w:sz w:val="28"/>
          <w:szCs w:val="28"/>
          <w:color w:val="auto"/>
          <w:vertAlign w:val="superscript"/>
        </w:rPr>
      </w:pPr>
      <w:r>
        <w:rPr>
          <w:rFonts w:ascii="Arial" w:cs="Arial" w:eastAsia="Arial" w:hAnsi="Arial"/>
          <w:sz w:val="17"/>
          <w:szCs w:val="17"/>
          <w:color w:val="auto"/>
        </w:rPr>
        <w:t>Reclassification from goodwill to IP R&amp;D of £1,469 thousand;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ind w:left="200" w:hanging="192"/>
        <w:spacing w:after="0"/>
        <w:tabs>
          <w:tab w:leader="none" w:pos="2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(Continued)</w:t>
      </w:r>
    </w:p>
    <w:p>
      <w:pPr>
        <w:spacing w:after="0" w:line="11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9"/>
        </w:numPr>
        <w:rPr>
          <w:rFonts w:ascii="Arial" w:cs="Arial" w:eastAsia="Arial" w:hAnsi="Arial"/>
          <w:sz w:val="29"/>
          <w:szCs w:val="29"/>
          <w:color w:val="auto"/>
          <w:vertAlign w:val="superscript"/>
        </w:rPr>
      </w:pPr>
      <w:r>
        <w:rPr>
          <w:rFonts w:ascii="Arial" w:cs="Arial" w:eastAsia="Arial" w:hAnsi="Arial"/>
          <w:sz w:val="18"/>
          <w:szCs w:val="18"/>
          <w:color w:val="auto"/>
        </w:rPr>
        <w:t>Recognition of a deferred tax liability of £441 thousand;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1"/>
          <w:numId w:val="129"/>
        </w:numPr>
        <w:rPr>
          <w:rFonts w:ascii="Arial" w:cs="Arial" w:eastAsia="Arial" w:hAnsi="Arial"/>
          <w:sz w:val="29"/>
          <w:szCs w:val="29"/>
          <w:color w:val="auto"/>
          <w:vertAlign w:val="superscript"/>
        </w:rPr>
      </w:pPr>
      <w:r>
        <w:rPr>
          <w:rFonts w:ascii="Arial" w:cs="Arial" w:eastAsia="Arial" w:hAnsi="Arial"/>
          <w:sz w:val="18"/>
          <w:szCs w:val="18"/>
          <w:color w:val="auto"/>
        </w:rPr>
        <w:t>Recognition of goodwill of £441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assumed contingent obligation was deemed to be insignificant at the acquisition date and therefore not recognized.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business combination the following should have been applied:</w:t>
      </w:r>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Goodwill and IP R&amp;D are not amortized as explained in the accounting policy in note 2.8 and should be annually tested for impairment. The cash generating unit ("CGU") has been tested for impairment annually and no impairment has been recorded.</w:t>
      </w:r>
    </w:p>
    <w:p>
      <w:pPr>
        <w:spacing w:after="0" w:line="209" w:lineRule="exact"/>
        <w:rPr>
          <w:sz w:val="20"/>
          <w:szCs w:val="20"/>
          <w:color w:val="auto"/>
        </w:rPr>
      </w:pPr>
    </w:p>
    <w:p>
      <w:pPr>
        <w:ind w:right="940"/>
        <w:spacing w:after="0" w:line="299" w:lineRule="auto"/>
        <w:rPr>
          <w:sz w:val="20"/>
          <w:szCs w:val="20"/>
          <w:color w:val="auto"/>
        </w:rPr>
      </w:pPr>
      <w:r>
        <w:rPr>
          <w:rFonts w:ascii="Arial" w:cs="Arial" w:eastAsia="Arial" w:hAnsi="Arial"/>
          <w:sz w:val="16"/>
          <w:szCs w:val="16"/>
          <w:color w:val="auto"/>
        </w:rPr>
        <w:t>The assumed contingent obligation is subsequently carried at amortized cost using the effective interest method. Further, since 2006, a corresponding deferred tax asset has been recognized in relation to Verona Pharma plc losses which offset the deferred tax liability.</w:t>
      </w:r>
    </w:p>
    <w:p>
      <w:pPr>
        <w:spacing w:after="0" w:line="16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financial statements have been restated retrospectively for these errors. The entries to the 2015 opening Consolidated Statement of Financial Position as of January 1, 2015 are:</w:t>
      </w:r>
    </w:p>
    <w:p>
      <w:pPr>
        <w:spacing w:after="0" w:line="86"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an IP R&amp;D asset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£522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0"/>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of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entries to the Consolidated Statement of Financial Position on December 31, 2015 as a result of the errors identified, are:</w:t>
      </w:r>
    </w:p>
    <w:p>
      <w:pPr>
        <w:spacing w:after="0" w:line="89"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an IP R&amp;D asset of £1,469 thousand;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an assumed contingent obligation of £594 thousand;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a decrease in goodwill of £1,028 thousand;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31"/>
        </w:numPr>
        <w:rPr>
          <w:rFonts w:ascii="Arial" w:cs="Arial" w:eastAsia="Arial" w:hAnsi="Arial"/>
          <w:sz w:val="29"/>
          <w:szCs w:val="29"/>
          <w:color w:val="auto"/>
          <w:vertAlign w:val="superscript"/>
        </w:rPr>
      </w:pPr>
      <w:r>
        <w:rPr>
          <w:rFonts w:ascii="Arial" w:cs="Arial" w:eastAsia="Arial" w:hAnsi="Arial"/>
          <w:sz w:val="18"/>
          <w:szCs w:val="18"/>
          <w:color w:val="auto"/>
        </w:rPr>
        <w:t>a reduction in accumulated loss of £81 thousand.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net impact on the Consolidated Statement of Comprehensive Income for 2015 is:</w:t>
      </w:r>
    </w:p>
    <w:p>
      <w:pPr>
        <w:spacing w:after="0" w:line="212" w:lineRule="exact"/>
        <w:rPr>
          <w:sz w:val="20"/>
          <w:szCs w:val="20"/>
          <w:color w:val="auto"/>
        </w:rPr>
      </w:pPr>
    </w:p>
    <w:p>
      <w:pPr>
        <w:ind w:left="1080" w:right="260" w:hanging="532"/>
        <w:spacing w:after="0" w:line="183" w:lineRule="auto"/>
        <w:tabs>
          <w:tab w:leader="none" w:pos="1080" w:val="left"/>
        </w:tabs>
        <w:numPr>
          <w:ilvl w:val="0"/>
          <w:numId w:val="132"/>
        </w:numPr>
        <w:rPr>
          <w:rFonts w:ascii="Arial" w:cs="Arial" w:eastAsia="Arial" w:hAnsi="Arial"/>
          <w:sz w:val="29"/>
          <w:szCs w:val="29"/>
          <w:color w:val="auto"/>
          <w:vertAlign w:val="superscript"/>
        </w:rPr>
      </w:pPr>
      <w:r>
        <w:rPr>
          <w:rFonts w:ascii="Arial" w:cs="Arial" w:eastAsia="Arial" w:hAnsi="Arial"/>
          <w:sz w:val="18"/>
          <w:szCs w:val="18"/>
          <w:color w:val="auto"/>
        </w:rPr>
        <w:t>a £72 thousand finance expense in respect of the movement in the value of the assumed contingent obligation. Further details are set out in note 20 to these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a summary of the restatements performed: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restatement</w:t>
            </w:r>
          </w:p>
        </w:tc>
        <w:tc>
          <w:tcPr>
            <w:tcW w:w="1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Correction</w:t>
            </w:r>
          </w:p>
        </w:tc>
        <w:tc>
          <w:tcPr>
            <w:tcW w:w="21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4560" w:type="dxa"/>
            <w:vAlign w:val="bottom"/>
            <w:gridSpan w:val="3"/>
          </w:tcPr>
          <w:p>
            <w:pPr>
              <w:ind w:left="1140"/>
              <w:spacing w:after="0"/>
              <w:rPr>
                <w:sz w:val="20"/>
                <w:szCs w:val="20"/>
                <w:color w:val="auto"/>
              </w:rPr>
            </w:pPr>
            <w:r>
              <w:rPr>
                <w:rFonts w:ascii="Arial" w:cs="Arial" w:eastAsia="Arial" w:hAnsi="Arial"/>
                <w:sz w:val="14"/>
                <w:szCs w:val="14"/>
                <w:b w:val="1"/>
                <w:bCs w:val="1"/>
                <w:color w:val="auto"/>
              </w:rPr>
              <w:t>Financial statement element</w:t>
            </w:r>
          </w:p>
        </w:tc>
        <w:tc>
          <w:tcPr>
            <w:tcW w:w="3640" w:type="dxa"/>
            <w:vAlign w:val="bottom"/>
            <w:gridSpan w:val="2"/>
          </w:tcPr>
          <w:p>
            <w:pPr>
              <w:jc w:val="center"/>
              <w:ind w:left="2676"/>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Intangibles — IP R&amp;D</w:t>
            </w:r>
          </w:p>
        </w:tc>
        <w:tc>
          <w:tcPr>
            <w:tcW w:w="148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Assumed contingent obligation</w:t>
            </w:r>
          </w:p>
        </w:tc>
        <w:tc>
          <w:tcPr>
            <w:tcW w:w="27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(522)</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(522)</w:t>
            </w: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4560" w:type="dxa"/>
            <w:vAlign w:val="bottom"/>
            <w:gridSpan w:val="3"/>
          </w:tcPr>
          <w:p>
            <w:pPr>
              <w:ind w:left="1140"/>
              <w:spacing w:after="0"/>
              <w:rPr>
                <w:sz w:val="20"/>
                <w:szCs w:val="20"/>
                <w:color w:val="auto"/>
              </w:rPr>
            </w:pPr>
            <w:r>
              <w:rPr>
                <w:rFonts w:ascii="Arial" w:cs="Arial" w:eastAsia="Arial" w:hAnsi="Arial"/>
                <w:sz w:val="18"/>
                <w:szCs w:val="18"/>
                <w:color w:val="auto"/>
              </w:rPr>
              <w:t>Accumulated loss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15,733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9"/>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40" w:type="dxa"/>
            <w:vAlign w:val="bottom"/>
            <w:gridSpan w:val="2"/>
          </w:tcPr>
          <w:p>
            <w:pPr>
              <w:jc w:val="right"/>
              <w:ind w:right="2280"/>
              <w:spacing w:after="0"/>
              <w:rPr>
                <w:sz w:val="20"/>
                <w:szCs w:val="20"/>
                <w:color w:val="auto"/>
              </w:rPr>
            </w:pPr>
            <w:r>
              <w:rPr>
                <w:rFonts w:ascii="Arial" w:cs="Arial" w:eastAsia="Arial" w:hAnsi="Arial"/>
                <w:sz w:val="18"/>
                <w:szCs w:val="18"/>
                <w:color w:val="auto"/>
              </w:rPr>
              <w:t>F-9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Post</w:t>
            </w: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restatement</w:t>
            </w:r>
          </w:p>
        </w:tc>
        <w:tc>
          <w:tcPr>
            <w:tcW w:w="1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Correction</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restatement</w:t>
            </w:r>
          </w:p>
        </w:tc>
      </w:tr>
      <w:tr>
        <w:trPr>
          <w:trHeight w:val="175"/>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Financial statement element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£'000</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Intangibles — IP R&amp;D</w:t>
            </w:r>
          </w:p>
        </w:tc>
        <w:tc>
          <w:tcPr>
            <w:tcW w:w="42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7"/>
                <w:szCs w:val="17"/>
                <w:color w:val="auto"/>
              </w:rPr>
            </w:pPr>
          </w:p>
        </w:tc>
      </w:tr>
      <w:tr>
        <w:trPr>
          <w:trHeight w:val="203"/>
        </w:trPr>
        <w:tc>
          <w:tcPr>
            <w:tcW w:w="6200" w:type="dxa"/>
            <w:vAlign w:val="bottom"/>
            <w:gridSpan w:val="3"/>
          </w:tcPr>
          <w:p>
            <w:pPr>
              <w:spacing w:after="0" w:line="202" w:lineRule="exact"/>
              <w:rPr>
                <w:sz w:val="20"/>
                <w:szCs w:val="20"/>
                <w:color w:val="auto"/>
              </w:rPr>
            </w:pPr>
            <w:r>
              <w:rPr>
                <w:rFonts w:ascii="Arial" w:cs="Arial" w:eastAsia="Arial" w:hAnsi="Arial"/>
                <w:sz w:val="18"/>
                <w:szCs w:val="18"/>
                <w:color w:val="auto"/>
              </w:rPr>
              <w:t>Assumed contingent obligation</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(594)</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(594)</w:t>
            </w:r>
          </w:p>
        </w:tc>
      </w:tr>
      <w:tr>
        <w:trPr>
          <w:trHeight w:val="203"/>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7"/>
                <w:szCs w:val="17"/>
                <w:color w:val="auto"/>
              </w:rPr>
            </w:pPr>
          </w:p>
        </w:tc>
      </w:tr>
      <w:tr>
        <w:trPr>
          <w:trHeight w:val="203"/>
        </w:trPr>
        <w:tc>
          <w:tcPr>
            <w:tcW w:w="6200" w:type="dxa"/>
            <w:vAlign w:val="bottom"/>
            <w:gridSpan w:val="3"/>
          </w:tcPr>
          <w:p>
            <w:pPr>
              <w:spacing w:after="0" w:line="202" w:lineRule="exact"/>
              <w:rPr>
                <w:sz w:val="20"/>
                <w:szCs w:val="20"/>
                <w:color w:val="auto"/>
              </w:rPr>
            </w:pPr>
            <w:r>
              <w:rPr>
                <w:rFonts w:ascii="Arial" w:cs="Arial" w:eastAsia="Arial" w:hAnsi="Arial"/>
                <w:sz w:val="18"/>
                <w:szCs w:val="18"/>
                <w:color w:val="auto"/>
              </w:rPr>
              <w:t>Accumulated loss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23,096</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23,177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expense</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five reclassifications have been made to the December 31, 2015 primary statements as follows:</w:t>
      </w:r>
    </w:p>
    <w:p>
      <w:pPr>
        <w:spacing w:after="0" w:line="212" w:lineRule="exact"/>
        <w:rPr>
          <w:sz w:val="20"/>
          <w:szCs w:val="20"/>
          <w:color w:val="auto"/>
        </w:rPr>
      </w:pPr>
    </w:p>
    <w:p>
      <w:pPr>
        <w:ind w:left="1080" w:right="320" w:hanging="532"/>
        <w:spacing w:after="0" w:line="183"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Taxation recoverable amounting to £1,535 thousand has been reclassified from prepayments and other receivables to current tax receivable.</w:t>
      </w:r>
    </w:p>
    <w:p>
      <w:pPr>
        <w:spacing w:after="0" w:line="195" w:lineRule="exact"/>
        <w:rPr>
          <w:rFonts w:ascii="Arial" w:cs="Arial" w:eastAsia="Arial" w:hAnsi="Arial"/>
          <w:sz w:val="29"/>
          <w:szCs w:val="29"/>
          <w:color w:val="auto"/>
          <w:vertAlign w:val="superscript"/>
        </w:rPr>
      </w:pPr>
    </w:p>
    <w:p>
      <w:pPr>
        <w:ind w:left="1080" w:right="480" w:hanging="532"/>
        <w:spacing w:after="0" w:line="183"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Computer software with a net book value of £1 thousand has been reclassified from property, plant and equipment to intangible assets</w:t>
      </w:r>
    </w:p>
    <w:p>
      <w:pPr>
        <w:spacing w:after="0" w:line="195" w:lineRule="exact"/>
        <w:rPr>
          <w:rFonts w:ascii="Arial" w:cs="Arial" w:eastAsia="Arial" w:hAnsi="Arial"/>
          <w:sz w:val="29"/>
          <w:szCs w:val="29"/>
          <w:color w:val="auto"/>
          <w:vertAlign w:val="superscript"/>
        </w:rPr>
      </w:pPr>
    </w:p>
    <w:p>
      <w:pPr>
        <w:ind w:left="1080" w:right="560" w:hanging="532"/>
        <w:spacing w:after="0" w:line="183"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Exchange differences arising on translating foreign operations have been reclassified from research and development to other comprehensive gains due to an error in the prior period amounting to £4 thousand.</w:t>
      </w:r>
    </w:p>
    <w:p>
      <w:pPr>
        <w:spacing w:after="0" w:line="195"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Transfers of previously expensed share-based payment charges upon lapse of options between the share-based payment reserve and the total accumulated losses have been reclassified amounting to £503 thousand.</w:t>
      </w:r>
    </w:p>
    <w:p>
      <w:pPr>
        <w:spacing w:after="0" w:line="195"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133"/>
        </w:numPr>
        <w:rPr>
          <w:rFonts w:ascii="Arial" w:cs="Arial" w:eastAsia="Arial" w:hAnsi="Arial"/>
          <w:sz w:val="29"/>
          <w:szCs w:val="29"/>
          <w:color w:val="auto"/>
          <w:vertAlign w:val="superscript"/>
        </w:rPr>
      </w:pPr>
      <w:r>
        <w:rPr>
          <w:rFonts w:ascii="Arial" w:cs="Arial" w:eastAsia="Arial" w:hAnsi="Arial"/>
          <w:sz w:val="18"/>
          <w:szCs w:val="18"/>
          <w:color w:val="auto"/>
        </w:rPr>
        <w:t>U.S. taxation payable amounting to £14 thousand has been reclassified from trade and other payables to tax payable — U.S. operations.</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following table sets forth a reconciliation of accumulated loss before restatements and reclassifications to the accumulated loss following the restatements and reclassifications.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15,733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15,814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Impact of reclassification from the share based payment reserve</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300" w:type="dxa"/>
            <w:vAlign w:val="bottom"/>
            <w:vMerge w:val="restart"/>
          </w:tcPr>
          <w:p>
            <w:pPr>
              <w:ind w:left="4380"/>
              <w:spacing w:after="0"/>
              <w:rPr>
                <w:sz w:val="20"/>
                <w:szCs w:val="20"/>
                <w:color w:val="auto"/>
              </w:rPr>
            </w:pPr>
            <w:r>
              <w:rPr>
                <w:rFonts w:ascii="Arial" w:cs="Arial" w:eastAsia="Arial" w:hAnsi="Arial"/>
                <w:sz w:val="18"/>
                <w:szCs w:val="18"/>
                <w:color w:val="auto"/>
              </w:rPr>
              <w:t>F-10</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83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before restatements/reclassification</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23,096</w:t>
            </w:r>
          </w:p>
        </w:tc>
        <w:tc>
          <w:tcPr>
            <w:tcW w:w="160" w:type="dxa"/>
            <w:vAlign w:val="bottom"/>
            <w:shd w:val="clear" w:color="auto" w:fill="CCEEFF"/>
          </w:tcPr>
          <w:p>
            <w:pPr>
              <w:spacing w:after="0"/>
              <w:rPr>
                <w:sz w:val="17"/>
                <w:szCs w:val="17"/>
                <w:color w:val="auto"/>
              </w:rPr>
            </w:pPr>
          </w:p>
        </w:tc>
      </w:tr>
      <w:tr>
        <w:trPr>
          <w:trHeight w:val="203"/>
        </w:trPr>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Impact of business combination restatement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loss following restatement above</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23,177</w:t>
            </w:r>
          </w:p>
        </w:tc>
        <w:tc>
          <w:tcPr>
            <w:tcW w:w="160" w:type="dxa"/>
            <w:vAlign w:val="bottom"/>
            <w:shd w:val="clear" w:color="auto" w:fill="CCEEFF"/>
          </w:tcPr>
          <w:p>
            <w:pPr>
              <w:spacing w:after="0"/>
              <w:rPr>
                <w:sz w:val="17"/>
                <w:szCs w:val="17"/>
                <w:color w:val="auto"/>
              </w:rPr>
            </w:pPr>
          </w:p>
        </w:tc>
      </w:tr>
      <w:tr>
        <w:trPr>
          <w:trHeight w:val="196"/>
        </w:trPr>
        <w:tc>
          <w:tcPr>
            <w:tcW w:w="8320" w:type="dxa"/>
            <w:vAlign w:val="bottom"/>
            <w:gridSpan w:val="2"/>
          </w:tcPr>
          <w:p>
            <w:pPr>
              <w:spacing w:after="0" w:line="196" w:lineRule="exact"/>
              <w:rPr>
                <w:sz w:val="20"/>
                <w:szCs w:val="20"/>
                <w:color w:val="auto"/>
              </w:rPr>
            </w:pPr>
            <w:r>
              <w:rPr>
                <w:rFonts w:ascii="Arial" w:cs="Arial" w:eastAsia="Arial" w:hAnsi="Arial"/>
                <w:sz w:val="18"/>
                <w:szCs w:val="18"/>
                <w:color w:val="auto"/>
              </w:rPr>
              <w:t>Assumed contingent obligation income statement charge</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reclassification from the share based payment reserve</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7"/>
                <w:szCs w:val="17"/>
                <w:color w:val="auto"/>
              </w:rPr>
            </w:pPr>
          </w:p>
        </w:tc>
      </w:tr>
      <w:tr>
        <w:trPr>
          <w:trHeight w:val="196"/>
        </w:trPr>
        <w:tc>
          <w:tcPr>
            <w:tcW w:w="8320" w:type="dxa"/>
            <w:vAlign w:val="bottom"/>
            <w:gridSpan w:val="2"/>
          </w:tcPr>
          <w:p>
            <w:pPr>
              <w:spacing w:after="0" w:line="196" w:lineRule="exact"/>
              <w:rPr>
                <w:sz w:val="20"/>
                <w:szCs w:val="20"/>
                <w:color w:val="auto"/>
              </w:rPr>
            </w:pPr>
            <w:r>
              <w:rPr>
                <w:rFonts w:ascii="Arial" w:cs="Arial" w:eastAsia="Arial" w:hAnsi="Arial"/>
                <w:sz w:val="18"/>
                <w:szCs w:val="18"/>
                <w:color w:val="auto"/>
              </w:rPr>
              <w:t>Accumulated losses per the statement of changes in equity</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23,752</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IAS 8 requires the disclosure of an opening balance sheet when an error has occurred before the earliest period presented. Management has judged that this disclosure gives sufficient information for a user to understand the impact on the opening balance sheet. Management has also judged, due to the nature of this adjustment, which is mainly a balance sheet gross up, that not including the full opening balance sheet would not be misleading to the user.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Foreign currency translation</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Items included in the Group's consolidated financial statements are measured using the currency of the primary economic environment in which the Group operates ("the functional currency"). The consolidated financial statements are presented in pounds sterling ("£"), which is the functional and presentational currency of the Company and the presentational currency of the Group.</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Transactions in foreign currencies are recorded using the rate of exchange ruling at the date of the transaction. Monetary assets and liabilities denominated in foreign currencies are translated using the rate of exchange ruling at the balance sheet date and the gains or losses on translation are included in the Consolidated Statement of Comprehensive Income. Non-monetary items that are measured in terms of historical cost in a foreign currency are translated using the exchange rates at the dates of the original transactions. Non-monetary items measured at fair value in a foreign currency are translated using the exchange rates at the date when the fair value was determined.</w:t>
      </w:r>
    </w:p>
    <w:p>
      <w:pPr>
        <w:spacing w:after="0" w:line="211"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The assets and liabilities of foreign operations are translated into pounds sterling at the rate of exchange ruling at the balance sheet date. Income and expenses are translated at weighted average exchange rates for the period. The exchange differences arising on translation for consolidation are recognized in Other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Cash and cash equivalents</w:t>
      </w:r>
    </w:p>
    <w:p>
      <w:pPr>
        <w:spacing w:after="0" w:line="2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Cash and cash equivalents includes cash in hand, deposits held at call with banks, and other short-term highly liquid investments with original maturities of three months or 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Deferred taxation</w:t>
      </w:r>
    </w:p>
    <w:p>
      <w:pPr>
        <w:spacing w:after="0" w:line="2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Deferred tax is provided in full, using the liability method, on temporary differences arising between the tax bases of assets and liabilities and their carrying amounts in the consolidated financial statements. Deferred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tax is determined using tax rates (and laws) that have been enacted or substantially enacted by the balance sheet date and expected to apply when the related deferred tax is realized or the deferred liability is settled.</w:t>
      </w:r>
    </w:p>
    <w:p>
      <w:pPr>
        <w:spacing w:after="0" w:line="20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Deferred tax assets are recognized to the extent that it is probable that the future taxable profit will be available against which the temporary differences can be utilized.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Research and development costs</w:t>
      </w:r>
    </w:p>
    <w:p>
      <w:pPr>
        <w:spacing w:after="0" w:line="23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Capitalization of expenditure on product development commences from the point at which technical feasibility and commercial viability of the product can be demonstrated and the Group is satisfied that it is probable that future economic benefits will result from the product once completed. No such costs have been capitalized to date, given the early stage of the Group's product candidate development.</w:t>
      </w:r>
    </w:p>
    <w:p>
      <w:pPr>
        <w:spacing w:after="0" w:line="208"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auto"/>
        </w:rPr>
        <w:t>Expenditure on research and development activities that do not meet the above criteria is charged to the Consolidated Statement of Comprehensive Income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Property, plant and equipment</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Property, plant and equipment are stated at cost, net of depreciation and any provision for impairment. Cost includes the original purchase price of the asset and the costs attributable to bringing the asset to its working condition for its intended use. Depreciation is calculated so as to write off the cost less their estimated residual values, on a straight-line basis over the expected useful economic lives of the assets concerned. The principal annual periods used for this purpose are:</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428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3 years</w:t>
            </w:r>
          </w:p>
        </w:tc>
      </w:tr>
      <w:tr>
        <w:trPr>
          <w:trHeight w:val="214"/>
        </w:trPr>
        <w:tc>
          <w:tcPr>
            <w:tcW w:w="3700" w:type="dxa"/>
            <w:vAlign w:val="bottom"/>
          </w:tcPr>
          <w:p>
            <w:pPr>
              <w:spacing w:after="0"/>
              <w:rPr>
                <w:sz w:val="20"/>
                <w:szCs w:val="20"/>
                <w:color w:val="auto"/>
              </w:rPr>
            </w:pPr>
            <w:r>
              <w:rPr>
                <w:rFonts w:ascii="Arial" w:cs="Arial" w:eastAsia="Arial" w:hAnsi="Arial"/>
                <w:sz w:val="18"/>
                <w:szCs w:val="18"/>
                <w:color w:val="auto"/>
              </w:rPr>
              <w:t>Office equipment</w:t>
            </w:r>
          </w:p>
        </w:tc>
        <w:tc>
          <w:tcPr>
            <w:tcW w:w="4280" w:type="dxa"/>
            <w:vAlign w:val="bottom"/>
          </w:tcPr>
          <w:p>
            <w:pPr>
              <w:ind w:left="2160"/>
              <w:spacing w:after="0"/>
              <w:rPr>
                <w:sz w:val="20"/>
                <w:szCs w:val="20"/>
                <w:color w:val="auto"/>
              </w:rPr>
            </w:pPr>
            <w:r>
              <w:rPr>
                <w:rFonts w:ascii="Arial" w:cs="Arial" w:eastAsia="Arial" w:hAnsi="Arial"/>
                <w:sz w:val="18"/>
                <w:szCs w:val="18"/>
                <w:color w:val="auto"/>
              </w:rPr>
              <w:t>5 years</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Intangible assets and goodwill</w:t>
      </w:r>
    </w:p>
    <w:p>
      <w:pPr>
        <w:spacing w:after="0" w:line="234" w:lineRule="exact"/>
        <w:rPr>
          <w:sz w:val="20"/>
          <w:szCs w:val="20"/>
          <w:color w:val="auto"/>
        </w:rPr>
      </w:pPr>
    </w:p>
    <w:p>
      <w:pPr>
        <w:ind w:left="420" w:hanging="412"/>
        <w:spacing w:after="0"/>
        <w:tabs>
          <w:tab w:leader="none" w:pos="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Goodwill</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Goodwill arises on the acquisition of subsidiaries and represents the excess of the consideration transferred over the fair value of the identifiable net assets acquired.</w:t>
      </w:r>
    </w:p>
    <w:p>
      <w:pPr>
        <w:spacing w:after="0" w:line="209" w:lineRule="exact"/>
        <w:rPr>
          <w:sz w:val="20"/>
          <w:szCs w:val="20"/>
          <w:color w:val="auto"/>
        </w:rPr>
      </w:pPr>
    </w:p>
    <w:p>
      <w:pPr>
        <w:ind w:left="420" w:hanging="412"/>
        <w:spacing w:after="0"/>
        <w:tabs>
          <w:tab w:leader="none" w:pos="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Patents</w:t>
      </w:r>
    </w:p>
    <w:p>
      <w:pPr>
        <w:spacing w:after="0" w:line="212"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Patent costs associated with the preparation, filing, and obtaining of patents are capitalized and amortized on a straight-line basis over the estimated useful lives of the patents of ten years.</w:t>
      </w:r>
    </w:p>
    <w:p>
      <w:pPr>
        <w:spacing w:after="0" w:line="209" w:lineRule="exact"/>
        <w:rPr>
          <w:sz w:val="20"/>
          <w:szCs w:val="20"/>
          <w:color w:val="auto"/>
        </w:rPr>
      </w:pPr>
    </w:p>
    <w:p>
      <w:pPr>
        <w:ind w:left="400" w:hanging="392"/>
        <w:spacing w:after="0"/>
        <w:tabs>
          <w:tab w:leader="none" w:pos="4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Computer software</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Amortization is calculated so as to write off the cost less estimated residual values, on a straight-line basis over the expected useful economic life of two years.</w:t>
      </w:r>
    </w:p>
    <w:p>
      <w:pPr>
        <w:spacing w:after="0" w:line="209" w:lineRule="exact"/>
        <w:rPr>
          <w:sz w:val="20"/>
          <w:szCs w:val="20"/>
          <w:color w:val="auto"/>
        </w:rPr>
      </w:pPr>
    </w:p>
    <w:p>
      <w:pPr>
        <w:ind w:left="420" w:hanging="412"/>
        <w:spacing w:after="0"/>
        <w:tabs>
          <w:tab w:leader="none" w:pos="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In-process research &amp; development</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IP R&amp;D assets acquired through business combinations which, at the time of acquisition, have not reached technical feasibility are recognized at fair value. The amounts are capitalized and are not amortized but are</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subject to impairment testing until completion, abandonment of the projects or when the research findings are commercialized through a revenue generating project. The Group determines whether intangible assets (including goodwill) are impaired on an annual basis and this requires the estimation of the higher of fair value less costs of disposal and value in use. Upon successful completion or commercialization of the relevant project, IP R&amp;D will be reclassified to developed technology. The Group will make a determination as to the then useful life of the developed technology, generally determined by the period in which the substantial majority of the cash flows are expected to be generated, and begin amortization. In case of abandonment the asset will be impaired.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Impairment of intangible assets, goodwill and non-financial assets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Goodwill and intangible assets that have an indefinite useful life and intangible assets not ready to use are not subject to amortization. These assets are tested annually for impairment or more frequently if impairment indicators exist. Non-financial assets that are subject to amortization are reviewed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w:t>
      </w:r>
    </w:p>
    <w:p>
      <w:pPr>
        <w:spacing w:after="0" w:line="21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the purpose of assessing impairment, assets are grouped at the lowest levels for which there are separately identifiable cash flows, which are largely independent of the cash flows from other assets or group of assets (i.e. CGU).</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Goodwill is allocated to CGUs for the purpose of impairment testing. The allocation is made to those CGUs or groups of CGUs that are expected to benefit from the business combination in which the goodwill arose. The units or group of units are identified at the lowest level at which goodwill is monitored for internal management purposes, being the operating segments.</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Group is a single cash generating unit. Goodwill that arose on the acquisition of Rhinopharma has been thus allocated to this single CGU. IP R&amp;D is tested for impairment at this level as well, since it is the lowest level at which independent cash flows can be identified.</w:t>
      </w:r>
    </w:p>
    <w:p>
      <w:pPr>
        <w:spacing w:after="0" w:line="20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Non-financial assets, other than goodwill, that have been previously impaired are reviewed for possible reversal of the impairment at each subsequent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Employee Benefits</w:t>
      </w:r>
    </w:p>
    <w:p>
      <w:pPr>
        <w:spacing w:after="0" w:line="212" w:lineRule="exact"/>
        <w:rPr>
          <w:sz w:val="20"/>
          <w:szCs w:val="20"/>
          <w:color w:val="auto"/>
        </w:rPr>
      </w:pPr>
    </w:p>
    <w:p>
      <w:pPr>
        <w:ind w:left="960" w:hanging="412"/>
        <w:spacing w:after="0"/>
        <w:tabs>
          <w:tab w:leader="none" w:pos="9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Pension</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Group operates a defined contribution pension scheme for UK employees. Contributions payable for the year are charged to the Consolidated Statement of Comprehensive Income. The contributions are recognized as employee benefit expense when they are due. Differences between contributions payable in the year and contributions actually paid are shown as either accruals or prepayments in the Consolidated Statement of Financial Position. The Group has no further payment obligation once the contributions have been paid.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ind w:left="200" w:hanging="192"/>
        <w:spacing w:after="0"/>
        <w:tabs>
          <w:tab w:leader="none" w:pos="2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(Continued)</w:t>
      </w:r>
    </w:p>
    <w:p>
      <w:pPr>
        <w:spacing w:after="0" w:line="211" w:lineRule="exact"/>
        <w:rPr>
          <w:rFonts w:ascii="Arial" w:cs="Arial" w:eastAsia="Arial" w:hAnsi="Arial"/>
          <w:sz w:val="18"/>
          <w:szCs w:val="18"/>
          <w:b w:val="1"/>
          <w:bCs w:val="1"/>
          <w:color w:val="auto"/>
        </w:rPr>
      </w:pPr>
    </w:p>
    <w:p>
      <w:pPr>
        <w:ind w:left="960" w:hanging="412"/>
        <w:spacing w:after="0"/>
        <w:tabs>
          <w:tab w:leader="none" w:pos="96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Bonus plans</w:t>
      </w:r>
    </w:p>
    <w:p>
      <w:pPr>
        <w:spacing w:after="0" w:line="234"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 Company recognizes a liability and an expense for bonus plans if contractually obligated or if there is a past practice that has created a constructive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Share-based payments</w:t>
      </w:r>
    </w:p>
    <w:p>
      <w:pPr>
        <w:spacing w:after="0" w:line="234"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The Group operates a number of equity-settled, share-based compensation schemes. The fair value of share-based payments under such schemes is expensed on a straight-line basis over the vesting period, based on the Group's estimate of shares that will eventually vest.</w:t>
      </w:r>
    </w:p>
    <w:p>
      <w:pPr>
        <w:spacing w:after="0" w:line="16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Where equity settled transactions are entered into with third party service providers, fair value is determined by reference to the value of the services provided in lieu of payment. The expense is measured based on the services received at the date of receipt of those services and is charged to the Consolidated Statement of Comprehensive Income over the period for which the services are received and a corresponding credit is made to reserves. For other equity-settled transactions fair value is determined using the Black-Scholes model and requires several assumptions and estimates as disclosed in note 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Provisions</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Provisions are recognized when the Group has a present legal or constructive obligation as a result of past events, it is probable that an outflow of resources will be required to settle the obligation, and the amount can be reliably estimated. Provisions are measured at the present value of the expenditures expected to be required to settle the obligation using a pre-tax rate that reflects current market assessments of the time value of money and the risks specific to the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Assumed contingent obligation related to the business combinations</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September 19, 2006, the Group acquired Rhinopharma for a total consideration of £1,520 thousand payable in ordinary shares. In addition, the Group assumed certain contingent obligations owed by Rhinopharma to Vernalis under an assignment and license agreement (the "assumed contingent consideration") following the sale of IP by Vernalis to Rhinopharma. Pursuant to the agreement, Vernalis (i) assigned to the Company all of its rights to certain patents and patent applications relating to RPL554 and related compounds (the "Vernalis Patents") and (ii) granted to the Company an exclusive, worldwide, royalty-bearing license under certain Vernalis know-how to develop, manufacture and commercialize products (the "Licensed Products") developed using Vernalis Patents, Vernalis know-how and the physical stock of certain compounds.</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assumed contingent obligation comprises (a) a milestone payment on obtaining the first approval of any regulatory authority for the commercialization of a Licensed Product; (b) low-to-mid single digit royalties based on the future sales performance of all Licensed Products; and</w:t>
      </w:r>
    </w:p>
    <w:p>
      <w:pPr>
        <w:ind w:right="280" w:firstLine="8"/>
        <w:spacing w:after="0" w:line="239" w:lineRule="auto"/>
        <w:tabs>
          <w:tab w:leader="none" w:pos="25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portion equal to a mid-twenty percent of any consideration received from any sub-licensees for the Vernalis Patents and for Vernalis know-how.</w:t>
      </w:r>
    </w:p>
    <w:p>
      <w:pPr>
        <w:spacing w:after="0" w:line="20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On the date of acquisition the fair value of the assumed contingent obligation was estimated as the expected value of the milestone payment, royalty payments and sub-license payments, based on management's estimate of the likely probability of success. The risk-weighted value of the assumed contingent arrangement was then discounted back to its net present value applying an effective interest rate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of 12%. The initial fair value of the assumed contingent obligation as of December 31, 2006 was deemed to be insignificant at the date of the acquisition, so it was not recorded.</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amount of royalties payable under the agreement is based on the future sales performance of certain products, and so the total amount payable is unlimited. The level of sales that may be achieved under the agreement is inherently uncertain and difficult to predict and the range of outcomes cannot be reliably estimated.</w:t>
      </w:r>
    </w:p>
    <w:p>
      <w:pPr>
        <w:spacing w:after="0" w:line="208"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The value of this assumed contingent obligation is measured at amortized cost using the effective interest rate method, and is re-measured for changes in estimated cash flows, which may include charges based upon management's assessment as to the timing or the probability of achieving the various outcomes which trigger payment, or due to the time value of money, or due to changes in exchange rates, which affect the expected value of future net sales made in foreign currencies. The assumed contingent obligation is accounted for as a liability, and any adjustments made to the value of the liability will be recognized in the Consolidated Statement of Comprehensive Income for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Government and other grants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Group may receive government, regional or charitable grants to support its research efforts in defined projects where these grants provide for reimbursement of approved costs incurred as defined in the respective grants. Income in respect of such grants would include contributions towards the costs of research and development. Income would be recognized when costs under each grant are incurred in accordance with the terms and conditions of the grant and the collectability of the receivable is reasonably assured. Government, regional and charitable grants relating to costs would be deferred and recognized in the Consolidated Statement of Comprehensive Income over the period necessary to match them with the costs they are intended to compensate. When the cash in relation to recognized government, regional or charitable grants is not yet received the amount is included as a receivable on the Consolidated Statement of Financial Position.</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Where the grant income is directly related to the specific items of expenditure incurred, the income would be netted against such expenditure. Where the grant income is not a specific reimbursement of expenditure incurred, the Group would include such income under "Other income" in the Consolidated Statement of Comprehensive Income. Grants or investment credits may be repayable if the Group successfully commercializes a relevant program that was funded in whole or in part by the grant or investment credit within a particular timeframe. Prior to successful commercialization, the Group would not make any provision for repayment.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Financial instruments — initial recognition and subsequent measurement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Recognition</w:t>
      </w:r>
    </w:p>
    <w:p>
      <w:pPr>
        <w:spacing w:after="0" w:line="232"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Company classifies a financial instrument, or its component parts as a financial liability, a financial asset or an equity instrument in accordance with the substance of the contractual arrangement and the definitions of a financial liability, a financial asset and an equity instrument.</w:t>
      </w:r>
    </w:p>
    <w:p>
      <w:pPr>
        <w:spacing w:after="0" w:line="16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evaluates the terms of the financial instrument to determine whether it contains an asset, a liability or an equity component. Such components shall be classified separately as financial assets, financial liabilities or equity instruments.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 financial instrument is any contract that gives rise to a financial asset of one entity and a financial liability or equity instrument of another entity.</w:t>
      </w:r>
    </w:p>
    <w:p>
      <w:pPr>
        <w:spacing w:after="0" w:line="235"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Financial assets, initial recognition and measurement</w:t>
      </w:r>
    </w:p>
    <w:p>
      <w:pPr>
        <w:spacing w:after="0" w:line="212"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All financial assets, such as receivables and deposits, are recognized initially at fair value plus transaction costs, for all financial assets not recorded at fair value through profit or loss. Financial assets carried at fair value through profit or loss are initially recognized at fair value, and transaction costs are expensed in the income statement.</w:t>
      </w:r>
    </w:p>
    <w:p>
      <w:pPr>
        <w:spacing w:after="0" w:line="222"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Financial liabilities, initial recognition and measurement</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payables, as appropriate. All financial liabilities are recognized initially at fair value and, in the case of loans and borrowings and payables, net of directly attributable transaction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liabilities include trade and other payables and derivative financial instruments.</w:t>
      </w:r>
    </w:p>
    <w:p>
      <w:pPr>
        <w:spacing w:after="0" w:line="212"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Subsequent measurement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of financial assets and financial liabilities depends on their classification.</w:t>
      </w:r>
    </w:p>
    <w:p>
      <w:pPr>
        <w:spacing w:after="0" w:line="21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Financial liabilities at fair value through profit or loss include financial liabilities held for trading and financial liabilities designated upon initial recognition as at fair value through profit or loss. These are subsequently measured at fair value with any gains or losses recognized in profit or loss. All other financial liabilities are measured at amortized cost using the effective interest method</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Financial assets such as receivables and deposits are subsequently measured at amortized cost. The Company does not hold any financial assets at fair value through profit or loss or available for sale financial assets.</w:t>
      </w:r>
    </w:p>
    <w:p>
      <w:pPr>
        <w:spacing w:after="0" w:line="209"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212"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Derivatives are initially recognized at fair value on the date a derivative contract is entered into and are subsequently re-measured at fair value at the end of each reporting date. The Company holds only one type of derivative financial instrument, the warrants, as explained in Note 2.16.</w:t>
      </w:r>
    </w:p>
    <w:p>
      <w:pPr>
        <w:spacing w:after="0" w:line="16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full fair value of the derivative is classified as a non-current asset or liability when the item is more than 12 months and as a current asset or liability when the remaining maturity of the item is less than 12 months.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Changes in fair value of a derivative financial liability when related to a financing arrangement are recognized in the Consolidated Statement of Comprehensive Income within Finance income or Finance expense. Fair value gains or losses on derivatives used for non-financing arrangements are recognized in other operating income or expense.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ind w:left="200" w:hanging="192"/>
        <w:spacing w:after="0"/>
        <w:tabs>
          <w:tab w:leader="none" w:pos="2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(Continued)</w:t>
      </w:r>
    </w:p>
    <w:p>
      <w:pPr>
        <w:spacing w:after="0" w:line="2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2.16 Warrants</w:t>
      </w:r>
    </w:p>
    <w:p>
      <w:pPr>
        <w:spacing w:after="0" w:line="23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Warrants issued by the Company to investors as part of a share subscription are compound financial instruments where the warrant meets the definition of a financial liability.</w:t>
      </w:r>
    </w:p>
    <w:p>
      <w:pPr>
        <w:spacing w:after="0" w:line="20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financial liability component is initially measured at fair value in the Consolidated Statement of Financial Position. Equity is measured at the residual between the subscription price for the entire instrument and the liability component. Subsequently the financial liability component is subsequently remeasured depending on its classification. Equity is not subsequently remeasured.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 Transaction costs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Qualifying transaction costs are often incurred in anticipation of an issuance of equity instruments and may cross reporting periods. The entity defers these costs on the balance sheet until the equity instrument is recognised. Deferred costs are subsequently reclassified as a deduction from equity when the equity instruments are recognised, to the extent that the costs are directly attributable to the equity transaction. If the equity instruments are not subsequently issued, the transaction costs are expensed. Any costs not directly attributable to the equity transaction are expensed.</w:t>
      </w:r>
    </w:p>
    <w:p>
      <w:pPr>
        <w:spacing w:after="0" w:line="21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Transaction costs that relate to the issue of a compound financial instrument are allocated to the liability and equity components of the instrument in proportion to the allocation of proceeds. Where the liability component is held at fair value through profit or loss, the transaction costs are expensed to the Consolidated Statement of Comprehensive Income. For liabilities held at amortized cost, transaction costs are deducted from the liability and subsequently amortized. The amount of transaction costs accounted for as a deduction from equity in the period is disclosed separately in accordance with IAS 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2.18 New standards, amendments and interpretations adopted by the Group</w:t>
      </w:r>
    </w:p>
    <w:p>
      <w:pPr>
        <w:spacing w:after="0" w:line="23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amendment has been adopted by the Group for the first time for the financial year beginning on or after January 1, 2016. It did not materially impact the Group's results:</w:t>
      </w:r>
    </w:p>
    <w:p>
      <w:pPr>
        <w:spacing w:after="0" w:line="86"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29"/>
          <w:szCs w:val="29"/>
          <w:color w:val="auto"/>
          <w:vertAlign w:val="superscript"/>
        </w:rPr>
      </w:pPr>
      <w:r>
        <w:rPr>
          <w:rFonts w:ascii="Arial" w:cs="Arial" w:eastAsia="Arial" w:hAnsi="Arial"/>
          <w:sz w:val="18"/>
          <w:szCs w:val="18"/>
          <w:color w:val="auto"/>
        </w:rPr>
        <w:t>Annual Improvements 2014 (2012-2014 cycle)</w:t>
      </w:r>
    </w:p>
    <w:p>
      <w:pPr>
        <w:spacing w:after="0" w:line="18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2.19 New standards, amendments and interpretations issued but not effective for the financial year beginning January 1, 2016 and not early adopted</w:t>
      </w:r>
    </w:p>
    <w:p>
      <w:pPr>
        <w:spacing w:after="0" w:line="188" w:lineRule="exact"/>
        <w:rPr>
          <w:sz w:val="20"/>
          <w:szCs w:val="20"/>
          <w:color w:val="auto"/>
        </w:rPr>
      </w:pPr>
    </w:p>
    <w:p>
      <w:pPr>
        <w:ind w:right="560"/>
        <w:spacing w:after="0" w:line="299" w:lineRule="auto"/>
        <w:rPr>
          <w:sz w:val="20"/>
          <w:szCs w:val="20"/>
          <w:color w:val="auto"/>
        </w:rPr>
      </w:pPr>
      <w:r>
        <w:rPr>
          <w:rFonts w:ascii="Arial" w:cs="Arial" w:eastAsia="Arial" w:hAnsi="Arial"/>
          <w:sz w:val="16"/>
          <w:szCs w:val="16"/>
          <w:color w:val="auto"/>
        </w:rPr>
        <w:t>A number of new standards and amendments to standards and interpretations have been issued but are not yet effective for annual periods beginning after January 1, 2017 (noted below), and have not been adopted in preparing these consolidated financial statements.</w:t>
      </w:r>
    </w:p>
    <w:p>
      <w:pPr>
        <w:spacing w:after="0" w:line="40"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29"/>
          <w:szCs w:val="29"/>
          <w:color w:val="auto"/>
          <w:vertAlign w:val="superscript"/>
        </w:rPr>
      </w:pPr>
      <w:r>
        <w:rPr>
          <w:rFonts w:ascii="Arial" w:cs="Arial" w:eastAsia="Arial" w:hAnsi="Arial"/>
          <w:sz w:val="18"/>
          <w:szCs w:val="18"/>
          <w:color w:val="auto"/>
        </w:rPr>
        <w:t>IFRS 9) "Financial instruments" (effective for annual periods beginning on or after January 1, 2018)</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47"/>
        </w:numPr>
        <w:rPr>
          <w:rFonts w:ascii="Arial" w:cs="Arial" w:eastAsia="Arial" w:hAnsi="Arial"/>
          <w:sz w:val="29"/>
          <w:szCs w:val="29"/>
          <w:color w:val="auto"/>
          <w:vertAlign w:val="superscript"/>
        </w:rPr>
      </w:pPr>
      <w:r>
        <w:rPr>
          <w:rFonts w:ascii="Arial" w:cs="Arial" w:eastAsia="Arial" w:hAnsi="Arial"/>
          <w:sz w:val="18"/>
          <w:szCs w:val="18"/>
          <w:color w:val="auto"/>
        </w:rPr>
        <w:t>IFRS 15 "Revenue from contracts with customers" (effective for annual periods beginning on or after January 1, 2018</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47"/>
        </w:numPr>
        <w:rPr>
          <w:rFonts w:ascii="Arial" w:cs="Arial" w:eastAsia="Arial" w:hAnsi="Arial"/>
          <w:sz w:val="29"/>
          <w:szCs w:val="29"/>
          <w:color w:val="auto"/>
          <w:vertAlign w:val="superscript"/>
        </w:rPr>
      </w:pPr>
      <w:r>
        <w:rPr>
          <w:rFonts w:ascii="Arial" w:cs="Arial" w:eastAsia="Arial" w:hAnsi="Arial"/>
          <w:sz w:val="18"/>
          <w:szCs w:val="18"/>
          <w:color w:val="auto"/>
        </w:rPr>
        <w:t>IFRS 16 "Leases" (effective for annual periods beginning on or after January 1, 2019)</w:t>
      </w:r>
    </w:p>
    <w:p>
      <w:pPr>
        <w:spacing w:after="0" w:line="208"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IFRS 9 is not expected to have a material impact on the accounting for the assumed contingent obligation or the derivative financial instrument. IFRS 15 and 16 will have an immaterial impact on the financial statements of the Company as the Company is not currently revenue generating and does not have any leases of over one year.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ind w:left="200" w:hanging="192"/>
        <w:spacing w:after="0"/>
        <w:tabs>
          <w:tab w:leader="none" w:pos="2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Financial Risk Factors</w:t>
      </w:r>
    </w:p>
    <w:p>
      <w:pPr>
        <w:spacing w:after="0" w:line="23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Company's activities have exposed it to a variety of financial risks: market risk (including currency risk and interest rate risk), credit risk, and liquidity risk. The Company's overall risk management program is focused on preservation of capital and the unpredictability of financial markets and has sought to minimize potential adverse effects on the Company's financial performance and position.</w:t>
      </w:r>
    </w:p>
    <w:p>
      <w:pPr>
        <w:spacing w:after="0" w:line="208"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Currency risk</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Foreign currency risk reflects the risk that the Group's net assets will be negatively impacted due to fluctuations in exchange rates. The Group has not entered into foreign exchange contracts to hedge against gains or losses from foreign exchange fluctuations. As of December 31, 2016, cash and cash equivalents included €282 thousand, US$13,110 thousand, and SEK 20 thousand, and accounts payable and accrued liabilities included balances of €211 thousand and US$80 thousand.</w:t>
      </w:r>
    </w:p>
    <w:p>
      <w:pPr>
        <w:spacing w:after="0" w:line="20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Foreign currency denominated trade payables are short term in nature (generally 30 to 45 days). The Group has a U.S.-operation, whose net assets are exposed to foreign currency translation risk.</w:t>
      </w:r>
    </w:p>
    <w:p>
      <w:pPr>
        <w:spacing w:after="0" w:line="223"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Credit risk reflects the risk that the Group may be unable to recover contractual receivables. The Group is still in the development stage; therefore, no policies are required at this time to mitigate this risk.</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banks and financial institutions, only independently rated parties with a minimum rating of "B+" are accepted. The Directors recognize that this is an area in which they may need to develop specific policies should the Group become exposed to further financial risks as the business develops.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December 31, 2015, the majority of cash and cash equivalents were placed at the following banks: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44"/>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Credit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w:t>
            </w:r>
          </w:p>
        </w:tc>
      </w:tr>
      <w:tr>
        <w:trPr>
          <w:trHeight w:val="175"/>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2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rating</w:t>
            </w:r>
          </w:p>
        </w:tc>
        <w:tc>
          <w:tcPr>
            <w:tcW w:w="118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rating</w:t>
            </w:r>
          </w:p>
        </w:tc>
      </w:tr>
      <w:tr>
        <w:trPr>
          <w:trHeight w:val="156"/>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20" w:type="dxa"/>
            <w:vAlign w:val="bottom"/>
            <w:tcBorders>
              <w:top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£'000</w:t>
            </w:r>
          </w:p>
        </w:tc>
        <w:tc>
          <w:tcPr>
            <w:tcW w:w="1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Banks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420" w:type="dxa"/>
            <w:vAlign w:val="bottom"/>
            <w:gridSpan w:val="3"/>
          </w:tcPr>
          <w:p>
            <w:pPr>
              <w:spacing w:after="0" w:line="202" w:lineRule="exact"/>
              <w:rPr>
                <w:sz w:val="20"/>
                <w:szCs w:val="20"/>
                <w:color w:val="auto"/>
              </w:rPr>
            </w:pPr>
            <w:r>
              <w:rPr>
                <w:rFonts w:ascii="Arial" w:cs="Arial" w:eastAsia="Arial" w:hAnsi="Arial"/>
                <w:sz w:val="18"/>
                <w:szCs w:val="18"/>
                <w:color w:val="auto"/>
              </w:rPr>
              <w:t>Royal Bank of Scotland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A3</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11,287</w:t>
            </w:r>
          </w:p>
        </w:tc>
        <w:tc>
          <w:tcPr>
            <w:tcW w:w="18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A3</w:t>
            </w:r>
          </w:p>
        </w:tc>
      </w:tr>
      <w:tr>
        <w:trPr>
          <w:trHeight w:val="203"/>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Lloyds Bank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A1</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28,447</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A1</w:t>
            </w:r>
          </w:p>
        </w:tc>
      </w:tr>
      <w:tr>
        <w:trPr>
          <w:trHeight w:val="243"/>
        </w:trPr>
        <w:tc>
          <w:tcPr>
            <w:tcW w:w="5420" w:type="dxa"/>
            <w:vAlign w:val="bottom"/>
            <w:gridSpan w:val="3"/>
          </w:tcPr>
          <w:p>
            <w:pPr>
              <w:spacing w:after="0" w:line="243" w:lineRule="exact"/>
              <w:rPr>
                <w:sz w:val="20"/>
                <w:szCs w:val="20"/>
                <w:color w:val="auto"/>
              </w:rPr>
            </w:pPr>
            <w:r>
              <w:rPr>
                <w:rFonts w:ascii="Arial" w:cs="Arial" w:eastAsia="Arial" w:hAnsi="Arial"/>
                <w:sz w:val="17"/>
                <w:szCs w:val="17"/>
                <w:color w:val="auto"/>
              </w:rPr>
              <w:t>Wells Fargo</w:t>
            </w:r>
            <w:r>
              <w:rPr>
                <w:rFonts w:ascii="Arial" w:cs="Arial" w:eastAsia="Arial" w:hAnsi="Arial"/>
                <w:sz w:val="28"/>
                <w:szCs w:val="28"/>
                <w:color w:val="auto"/>
                <w:vertAlign w:val="superscript"/>
              </w:rPr>
              <w:t>(1)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Aa1</w:t>
            </w:r>
          </w:p>
        </w:tc>
        <w:tc>
          <w:tcPr>
            <w:tcW w:w="1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Aa2</w:t>
            </w:r>
          </w:p>
        </w:tc>
      </w:tr>
      <w:tr>
        <w:trPr>
          <w:trHeight w:val="196"/>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3,524</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39,785</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1"/>
          <w:numId w:val="151"/>
        </w:numPr>
        <w:rPr>
          <w:rFonts w:ascii="Arial" w:cs="Arial" w:eastAsia="Arial" w:hAnsi="Arial"/>
          <w:sz w:val="14"/>
          <w:szCs w:val="14"/>
          <w:color w:val="auto"/>
        </w:rPr>
      </w:pPr>
      <w:r>
        <w:rPr>
          <w:rFonts w:ascii="Arial" w:cs="Arial" w:eastAsia="Arial" w:hAnsi="Arial"/>
          <w:sz w:val="14"/>
          <w:szCs w:val="14"/>
          <w:color w:val="auto"/>
        </w:rPr>
        <w:t>The Wells Fargo account holds the operating account for the Verona Pharma Inc. U.S. operations.</w:t>
      </w:r>
    </w:p>
    <w:p>
      <w:pPr>
        <w:spacing w:after="0" w:line="215" w:lineRule="exact"/>
        <w:rPr>
          <w:rFonts w:ascii="Arial" w:cs="Arial" w:eastAsia="Arial" w:hAnsi="Arial"/>
          <w:sz w:val="14"/>
          <w:szCs w:val="14"/>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12"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The Group considers capital to be its equity reserves. At the current stage of the Group's life cycle, the Group's objective in managing its capital is to ensure funds raised meet the research and operating requirements until the next development stage of the Group's suite of projects.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(Continued)</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Group ensures it is meeting its objectives by reviewing its Key Performance Indicators ("KPIs") to ensure the research activities are progressing in line with expectations, costs are controlled and unused funds are placed on deposit to conserve resources and increase returns on surplus cash held.</w:t>
      </w:r>
    </w:p>
    <w:p>
      <w:pPr>
        <w:spacing w:after="0" w:line="208"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December 31, 2016, the Group had cash deposits of £39,785 thousand (2015: £3,524 thousand). The rates of interest received during 2016 ranged between 0.0% and 0.5%. The Group's exposure to interest rate risk, which is the risk that the interest received will fluctuate as a result of changes in market interest rates on classes of financial assets and financial liabilities,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500" w:type="dxa"/>
            <w:vAlign w:val="bottom"/>
            <w:gridSpan w:val="4"/>
          </w:tcPr>
          <w:p>
            <w:pPr>
              <w:ind w:left="5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Floating</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40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Cash deposits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11,338,225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28,446,873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color w:val="auto"/>
              </w:rPr>
              <w:t>(e)</w:t>
            </w:r>
          </w:p>
        </w:tc>
        <w:tc>
          <w:tcPr>
            <w:tcW w:w="7400" w:type="dxa"/>
            <w:vAlign w:val="bottom"/>
            <w:gridSpan w:val="2"/>
            <w:vMerge w:val="restart"/>
          </w:tcPr>
          <w:p>
            <w:pPr>
              <w:ind w:left="160"/>
              <w:spacing w:after="0"/>
              <w:rPr>
                <w:sz w:val="20"/>
                <w:szCs w:val="20"/>
                <w:color w:val="auto"/>
              </w:rPr>
            </w:pPr>
            <w:r>
              <w:rPr>
                <w:rFonts w:ascii="Arial" w:cs="Arial" w:eastAsia="Arial" w:hAnsi="Arial"/>
                <w:sz w:val="18"/>
                <w:szCs w:val="18"/>
                <w:color w:val="auto"/>
              </w:rPr>
              <w:t>Liquidity risk</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0" w:type="dxa"/>
            <w:vAlign w:val="bottom"/>
            <w:vMerge w:val="continue"/>
          </w:tcPr>
          <w:p>
            <w:pPr>
              <w:spacing w:after="0"/>
              <w:rPr>
                <w:sz w:val="24"/>
                <w:szCs w:val="24"/>
                <w:color w:val="auto"/>
              </w:rPr>
            </w:pPr>
          </w:p>
        </w:tc>
        <w:tc>
          <w:tcPr>
            <w:tcW w:w="74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Group prepares periodic working capital forecasts for the foreseeable future, allowing an assessment of the cash requirements of the Group, to manage liquidity risk. The following table provides an analysis of the remaining contractually agreed cash flows for the Group's non-derivative financial liabilities on an undiscounted basis, which therefore differs from both the carrying value and fair value. Balances due within 12 months equal their carrying value balances as the impact of discounting is not significant.</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w:t>
            </w:r>
          </w:p>
        </w:tc>
      </w:t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 AND 2</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 AND 5</w:t>
            </w: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88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97"/>
              </w:rPr>
              <w:t>YEARS</w:t>
            </w:r>
            <w:r>
              <w:rPr>
                <w:rFonts w:ascii="Arial" w:cs="Arial" w:eastAsia="Arial" w:hAnsi="Arial"/>
                <w:sz w:val="21"/>
                <w:szCs w:val="21"/>
                <w:b w:val="1"/>
                <w:bCs w:val="1"/>
                <w:color w:val="auto"/>
                <w:w w:val="97"/>
                <w:vertAlign w:val="superscript"/>
              </w:rPr>
              <w:t>(1)</w:t>
            </w:r>
          </w:p>
        </w:tc>
      </w:tr>
      <w:tr>
        <w:trPr>
          <w:trHeight w:val="156"/>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2015</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220" w:type="dxa"/>
            <w:vAlign w:val="bottom"/>
            <w:gridSpan w:val="3"/>
          </w:tcPr>
          <w:p>
            <w:pPr>
              <w:spacing w:after="0" w:line="202" w:lineRule="exact"/>
              <w:rPr>
                <w:sz w:val="20"/>
                <w:szCs w:val="20"/>
                <w:color w:val="auto"/>
              </w:rPr>
            </w:pPr>
            <w:r>
              <w:rPr>
                <w:rFonts w:ascii="Arial" w:cs="Arial" w:eastAsia="Arial" w:hAnsi="Arial"/>
                <w:sz w:val="18"/>
                <w:szCs w:val="18"/>
                <w:color w:val="auto"/>
              </w:rPr>
              <w:t>Trade payables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1,108,991</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Corporation tax payable — US operation</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14,057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gridSpan w:val="3"/>
          </w:tcPr>
          <w:p>
            <w:pPr>
              <w:spacing w:after="0" w:line="202" w:lineRule="exact"/>
              <w:rPr>
                <w:sz w:val="20"/>
                <w:szCs w:val="20"/>
                <w:color w:val="auto"/>
              </w:rPr>
            </w:pPr>
            <w:r>
              <w:rPr>
                <w:rFonts w:ascii="Arial" w:cs="Arial" w:eastAsia="Arial" w:hAnsi="Arial"/>
                <w:sz w:val="18"/>
                <w:szCs w:val="18"/>
                <w:color w:val="auto"/>
              </w:rPr>
              <w:t>Trade payables due to related parties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172,955</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40,907</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4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1,336,910</w:t>
            </w:r>
          </w:p>
        </w:tc>
        <w:tc>
          <w:tcPr>
            <w:tcW w:w="160" w:type="dxa"/>
            <w:vAlign w:val="bottom"/>
          </w:tcPr>
          <w:p>
            <w:pPr>
              <w:spacing w:after="0"/>
              <w:rPr>
                <w:sz w:val="17"/>
                <w:szCs w:val="17"/>
                <w:color w:val="auto"/>
              </w:rPr>
            </w:pPr>
          </w:p>
        </w:tc>
        <w:tc>
          <w:tcPr>
            <w:tcW w:w="780" w:type="dxa"/>
            <w:vAlign w:val="bottom"/>
          </w:tcPr>
          <w:p>
            <w:pPr>
              <w:ind w:left="60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8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This table excludes a milestone payment, which may fall due under the assumed contingent obligation, of £5 million and sales based royalties.</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(Continued)</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BETWEEN</w:t>
            </w: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w:t>
            </w:r>
          </w:p>
        </w:tc>
      </w:t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 AND 2</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 AND 5</w:t>
            </w: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88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97"/>
              </w:rPr>
              <w:t>YEARS</w:t>
            </w:r>
            <w:r>
              <w:rPr>
                <w:rFonts w:ascii="Arial" w:cs="Arial" w:eastAsia="Arial" w:hAnsi="Arial"/>
                <w:sz w:val="21"/>
                <w:szCs w:val="21"/>
                <w:b w:val="1"/>
                <w:bCs w:val="1"/>
                <w:color w:val="auto"/>
                <w:w w:val="97"/>
                <w:vertAlign w:val="superscript"/>
              </w:rPr>
              <w:t>(1)</w:t>
            </w:r>
          </w:p>
        </w:tc>
      </w:tr>
      <w:tr>
        <w:trPr>
          <w:trHeight w:val="156"/>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20" w:type="dxa"/>
            <w:vAlign w:val="bottom"/>
            <w:gridSpan w:val="3"/>
          </w:tcPr>
          <w:p>
            <w:pPr>
              <w:spacing w:after="0" w:line="202" w:lineRule="exact"/>
              <w:rPr>
                <w:sz w:val="20"/>
                <w:szCs w:val="20"/>
                <w:color w:val="auto"/>
              </w:rPr>
            </w:pPr>
            <w:r>
              <w:rPr>
                <w:rFonts w:ascii="Arial" w:cs="Arial" w:eastAsia="Arial" w:hAnsi="Arial"/>
                <w:sz w:val="18"/>
                <w:szCs w:val="18"/>
                <w:color w:val="auto"/>
              </w:rPr>
              <w:t>Trade payables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592,931</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Corporation tax payable — US operation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126,063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5320" w:type="dxa"/>
            <w:vAlign w:val="bottom"/>
            <w:gridSpan w:val="3"/>
          </w:tcPr>
          <w:p>
            <w:pPr>
              <w:spacing w:after="0" w:line="202" w:lineRule="exact"/>
              <w:rPr>
                <w:sz w:val="20"/>
                <w:szCs w:val="20"/>
                <w:color w:val="auto"/>
              </w:rPr>
            </w:pPr>
            <w:r>
              <w:rPr>
                <w:rFonts w:ascii="Arial" w:cs="Arial" w:eastAsia="Arial" w:hAnsi="Arial"/>
                <w:sz w:val="18"/>
                <w:szCs w:val="18"/>
                <w:color w:val="auto"/>
              </w:rPr>
              <w:t>Trade payables due to related parties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180,567</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4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899,561</w:t>
            </w:r>
          </w:p>
        </w:tc>
        <w:tc>
          <w:tcPr>
            <w:tcW w:w="160" w:type="dxa"/>
            <w:vAlign w:val="bottom"/>
          </w:tcPr>
          <w:p>
            <w:pPr>
              <w:spacing w:after="0"/>
              <w:rPr>
                <w:sz w:val="17"/>
                <w:szCs w:val="17"/>
                <w:color w:val="auto"/>
              </w:rPr>
            </w:pPr>
          </w:p>
        </w:tc>
        <w:tc>
          <w:tcPr>
            <w:tcW w:w="780" w:type="dxa"/>
            <w:vAlign w:val="bottom"/>
          </w:tcPr>
          <w:p>
            <w:pPr>
              <w:ind w:left="60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780" w:type="dxa"/>
            <w:vAlign w:val="bottom"/>
          </w:tcPr>
          <w:p>
            <w:pPr>
              <w:ind w:left="60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88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This table excludes a milestone payment which may fall due under the assumed contingent obligation, of £5 million and sales based royalties.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Fair value estimation</w:t>
      </w:r>
    </w:p>
    <w:p>
      <w:pPr>
        <w:spacing w:after="0" w:line="23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carrying amounts of cash and cash equivalents, receivables, accounts payable, accrued liabilities and the assumed contingent obligation, approximate to fair value due to their short-term nature.</w:t>
      </w:r>
    </w:p>
    <w:p>
      <w:pPr>
        <w:spacing w:after="0" w:line="209"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For financial instruments that are measured in the Consolidated Statement of Financial Position at fair value, IFRS 7 requires disclosure of fair value measurements by level of the following fair value measurement hierarchy:</w:t>
      </w:r>
    </w:p>
    <w:p>
      <w:pPr>
        <w:spacing w:after="0" w:line="86"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29"/>
          <w:szCs w:val="29"/>
          <w:color w:val="auto"/>
          <w:vertAlign w:val="superscript"/>
        </w:rPr>
      </w:pPr>
      <w:r>
        <w:rPr>
          <w:rFonts w:ascii="Arial" w:cs="Arial" w:eastAsia="Arial" w:hAnsi="Arial"/>
          <w:sz w:val="18"/>
          <w:szCs w:val="18"/>
          <w:color w:val="auto"/>
        </w:rPr>
        <w:t>Quoted prices (unadjusted) in active markets for identical assets or liabilities (level 1);</w:t>
      </w:r>
    </w:p>
    <w:p>
      <w:pPr>
        <w:spacing w:after="0" w:line="194"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56"/>
        </w:numPr>
        <w:rPr>
          <w:rFonts w:ascii="Arial" w:cs="Arial" w:eastAsia="Arial" w:hAnsi="Arial"/>
          <w:sz w:val="29"/>
          <w:szCs w:val="29"/>
          <w:color w:val="auto"/>
          <w:vertAlign w:val="superscript"/>
        </w:rPr>
      </w:pPr>
      <w:r>
        <w:rPr>
          <w:rFonts w:ascii="Arial" w:cs="Arial" w:eastAsia="Arial" w:hAnsi="Arial"/>
          <w:sz w:val="18"/>
          <w:szCs w:val="18"/>
          <w:color w:val="auto"/>
        </w:rPr>
        <w:t>Inputs other than quoted prices included within level 1 that are observable for the asset or liability, either directly or indirectly (level 2); and</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56"/>
        </w:numPr>
        <w:rPr>
          <w:rFonts w:ascii="Arial" w:cs="Arial" w:eastAsia="Arial" w:hAnsi="Arial"/>
          <w:sz w:val="29"/>
          <w:szCs w:val="29"/>
          <w:color w:val="auto"/>
          <w:vertAlign w:val="superscript"/>
        </w:rPr>
      </w:pPr>
      <w:r>
        <w:rPr>
          <w:rFonts w:ascii="Arial" w:cs="Arial" w:eastAsia="Arial" w:hAnsi="Arial"/>
          <w:sz w:val="18"/>
          <w:szCs w:val="18"/>
          <w:color w:val="auto"/>
        </w:rPr>
        <w:t>Inputs for the asset or liability that are not based on observable market data (level 3).</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the year ended December 31, 2016 and 2015 fair value adjustments to financial instruments through profit and loss resulted in the recognition of finance income of £1,068 thousand and £nil respectively.</w:t>
      </w:r>
    </w:p>
    <w:p>
      <w:pPr>
        <w:spacing w:after="0" w:line="209"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ascertain the fair value of an instrument are observable, the instrument is included in level 2. If one or more of the significant inputs are not based on observable market data, the instrument is included in level 3. The carrying amount of a financial asset or financial liability is a reasonable approximation of the fair value and therefore information about the fair values of each class has not been disclosed.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100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5"/>
                <w:szCs w:val="15"/>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b w:val="1"/>
                <w:bCs w:val="1"/>
                <w:color w:val="auto"/>
              </w:rPr>
              <w:t>Total</w:t>
            </w:r>
          </w:p>
        </w:tc>
      </w:tr>
      <w:tr>
        <w:trPr>
          <w:trHeight w:val="156"/>
        </w:trPr>
        <w:tc>
          <w:tcPr>
            <w:tcW w:w="1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0" w:type="dxa"/>
            <w:vAlign w:val="bottom"/>
            <w:tcBorders>
              <w:top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580" w:type="dxa"/>
            <w:vAlign w:val="bottom"/>
            <w:tcBorders>
              <w:top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00" w:type="dxa"/>
            <w:vAlign w:val="bottom"/>
            <w:tcBorders>
              <w:top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80" w:type="dxa"/>
            <w:vAlign w:val="bottom"/>
            <w:tcBorders>
              <w:top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52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Derivative financial instrument</w:t>
            </w:r>
          </w:p>
        </w:tc>
        <w:tc>
          <w:tcPr>
            <w:tcW w:w="1960" w:type="dxa"/>
            <w:vAlign w:val="bottom"/>
          </w:tcPr>
          <w:p>
            <w:pPr>
              <w:spacing w:after="0"/>
              <w:rPr>
                <w:sz w:val="17"/>
                <w:szCs w:val="17"/>
                <w:color w:val="auto"/>
              </w:rPr>
            </w:pPr>
          </w:p>
        </w:tc>
        <w:tc>
          <w:tcPr>
            <w:tcW w:w="60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58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7,922,603</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7,922,603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9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7,922,603</w:t>
            </w:r>
          </w:p>
        </w:tc>
        <w:tc>
          <w:tcPr>
            <w:tcW w:w="1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7,922,603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60" w:type="dxa"/>
            <w:vAlign w:val="bottom"/>
            <w:gridSpan w:val="2"/>
          </w:tcPr>
          <w:p>
            <w:pPr>
              <w:ind w:left="1020"/>
              <w:spacing w:after="0"/>
              <w:rPr>
                <w:sz w:val="20"/>
                <w:szCs w:val="20"/>
                <w:color w:val="auto"/>
              </w:rPr>
            </w:pPr>
            <w:r>
              <w:rPr>
                <w:rFonts w:ascii="Arial" w:cs="Arial" w:eastAsia="Arial" w:hAnsi="Arial"/>
                <w:sz w:val="18"/>
                <w:szCs w:val="18"/>
                <w:color w:val="auto"/>
              </w:rPr>
              <w:t>F-20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Movements in Level 3 items during the year ended December 31, 2016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Derivative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financial</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instrument</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40" w:type="dxa"/>
            <w:vAlign w:val="bottom"/>
            <w:tcBorders>
              <w:top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Initial recognition of derivative financial instrument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8,990,794</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8,990,794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adjustments recognized in profit or loss</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(1,068,191)</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(1,068,191)</w:t>
            </w:r>
          </w:p>
        </w:tc>
      </w:tr>
      <w:tr>
        <w:trPr>
          <w:trHeight w:val="196"/>
        </w:trPr>
        <w:tc>
          <w:tcPr>
            <w:tcW w:w="20" w:type="dxa"/>
            <w:vAlign w:val="bottom"/>
          </w:tcPr>
          <w:p>
            <w:pPr>
              <w:spacing w:after="0"/>
              <w:rPr>
                <w:sz w:val="17"/>
                <w:szCs w:val="17"/>
                <w:color w:val="auto"/>
              </w:rPr>
            </w:pPr>
          </w:p>
        </w:tc>
        <w:tc>
          <w:tcPr>
            <w:tcW w:w="670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7,922,603</w:t>
            </w:r>
          </w:p>
        </w:tc>
        <w:tc>
          <w:tcPr>
            <w:tcW w:w="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7,922,603</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relating to the derivative financial instrument are set out in notes 4 and 21 of these financial statements.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determining the fair value of the derivative financial instrument the Company applied the Black Scholes model; key inputs include the share price at reporting date, estimations on timelines, volatility and risk-free rates. These assumptions and the impact of changes in these assumptions, where material, are disclosed in note 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Critical accounting estimates</w:t>
      </w:r>
    </w:p>
    <w:p>
      <w:pPr>
        <w:spacing w:after="0" w:line="23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preparation of financial statements in conformity with IFRS requires the use of accounting estimates and assumptions that affect the reported amounts of assets and liabilities at the date of the financial statements and the reported amounts of income and expenses during the reporting period. Although these estimates are based on management's best knowledge of current events and actions, actual results ultimately may differ from those estimates. IFRS also requires management to exercise its judgement in the process of applying the Group's accounting policies.</w:t>
      </w:r>
    </w:p>
    <w:p>
      <w:pPr>
        <w:spacing w:after="0" w:line="18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areas involving a higher degree of judgement or complexity, or areas where assumptions and estimates are significant to the consolidated financial statements are as follows:</w:t>
      </w:r>
    </w:p>
    <w:p>
      <w:pPr>
        <w:spacing w:after="0" w:line="209"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Impairment of intangible assets</w:t>
      </w:r>
    </w:p>
    <w:p>
      <w:pPr>
        <w:spacing w:after="0" w:line="212"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The Group is required to test goodwill and the IP R&amp;D annually for impairment in accordance with the accounting policy in note 2.9. Goodwill and the IP R&amp;D are tested for impairment at the Group level, which is viewed as a single CGU in accordance with the accounting policy in note 2.9.</w:t>
      </w:r>
    </w:p>
    <w:p>
      <w:pPr>
        <w:spacing w:after="0" w:line="163"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Group determines the recoverable amount of the single CGU and compares it to its carrying amount. Impairment is recognized when the carrying amount exceeds the recoverable amount of the CGU.</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recoverable amount of the CGU, containing goodwill and IP R&amp;D for impairment purposes requires estimation.</w:t>
      </w:r>
    </w:p>
    <w:p>
      <w:pPr>
        <w:spacing w:after="0" w:line="21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Since the Group is a single CGU, the entity measures its recoverable amount with reference to the market capitalization of the Group, as an indication of the fair value less costs of disposal. Details of the Group's impairment assessment for the CGU containing goodwill and IP R&amp;D are disclosed in notes 15 and 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Critical accounting estimates (Continued)</w:t>
      </w:r>
    </w:p>
    <w:p>
      <w:pPr>
        <w:spacing w:after="0" w:line="234"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Share-based payments</w:t>
      </w:r>
    </w:p>
    <w:p>
      <w:pPr>
        <w:spacing w:after="0" w:line="21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Group records charges for share-based payments. For option based share-based payments management estimates certain factors used in the option pricing model, including volatility, vesting date of options and number of options likely to vest. If these estimates vary from actual occurrence, this will impact the value of the equity carried in reserves. Further details of the Group's estimation of share-based payments are disclosed in note 19.</w:t>
      </w:r>
    </w:p>
    <w:p>
      <w:pPr>
        <w:spacing w:after="0" w:line="222" w:lineRule="exact"/>
        <w:rPr>
          <w:sz w:val="20"/>
          <w:szCs w:val="20"/>
          <w:color w:val="auto"/>
        </w:rPr>
      </w:pPr>
    </w:p>
    <w:p>
      <w:pPr>
        <w:ind w:left="540" w:hanging="532"/>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Assumed contingent obligation</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Group has a material obligation for the future payment of royalties and milestones associated with contractual obligations on RPL554, a development product acquired as part of the acquisition of Rhinopharma. The estimation of the fair value of the assumed contingent obligation requires the selection of an appropriate valuation model at the date of acquisition, consideration as to the inputs necessary for the valuation model chosen, the estimation of the likelihood that the regulatory milestone will be achieved and fair value of the future cash flows (for further detail see note 20). The estimates for the assumed contingent obligation are based on a discounted cash flow model. Key assessments and judgements included in the calculation of deferred consideration are:</w:t>
      </w:r>
    </w:p>
    <w:p>
      <w:pPr>
        <w:spacing w:after="0" w:line="88"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development, regulatory and marketing risks associated with progressing the product to market approval in key target territories;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market size and product acceptance by clinicians, patients and reimbursement bodies;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gross and net selling price;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costs of manufacturing, product distribution and marketing support;</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launch of competitive products;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discount rate and time to crystallization of contingent consideration.</w:t>
      </w:r>
    </w:p>
    <w:p>
      <w:pPr>
        <w:spacing w:after="0" w:line="208"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In accordance with IAS 39 ("Financial Instruments Recognition and Measurement" (para AG8)), when there is a change in the projected cash flows, the assumed contingent obligation will be remeasured with the change in value going through the Consolidated Statement of Comprehensive Income. The assumed contingent obligation is measured at amortized cost with the discount unwinding in the Consolidated Statement of Comprehensive Income throughout the year. Actual outcomes could differ significantly from the estimates made.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assumed contingent obligation as of December 31, 2016 amounts to £802 thousand. (2015: £594 thousand. The increase in value</w:t>
      </w:r>
    </w:p>
    <w:p>
      <w:pPr>
        <w:spacing w:after="0" w:line="19" w:lineRule="exact"/>
        <w:rPr>
          <w:sz w:val="20"/>
          <w:szCs w:val="20"/>
          <w:color w:val="auto"/>
        </w:rPr>
      </w:pPr>
    </w:p>
    <w:p>
      <w:pPr>
        <w:jc w:val="both"/>
        <w:ind w:right="640"/>
        <w:spacing w:after="0" w:line="238" w:lineRule="auto"/>
        <w:rPr>
          <w:sz w:val="20"/>
          <w:szCs w:val="20"/>
          <w:color w:val="auto"/>
        </w:rPr>
      </w:pPr>
      <w:r>
        <w:rPr>
          <w:rFonts w:ascii="Arial" w:cs="Arial" w:eastAsia="Arial" w:hAnsi="Arial"/>
          <w:sz w:val="18"/>
          <w:szCs w:val="18"/>
          <w:color w:val="auto"/>
        </w:rPr>
        <w:t>of the assumed contingent obligation during 2016 amounted to £208 thousand (2015: 72 thousand) and was recorded as finance expense. Periodic remeasurement is triggered by changes in updated timelines of achieving commercialization and updated probabilities of success resulting from clinical programs. The discount percentage applied is 12%.</w:t>
      </w:r>
    </w:p>
    <w:p>
      <w:pPr>
        <w:spacing w:after="0" w:line="208"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Valuation of the July 2016 warrants</w:t>
      </w:r>
    </w:p>
    <w:p>
      <w:pPr>
        <w:spacing w:after="0" w:line="2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The fair value is determined by applying the Black-Scholes valuation model and requires several assumptions and estimates as disclosed in note 4(d) and 12.</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Critical accounting estimates (Continued)</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Pursuant to the July Placement, the Company issued 31,115,926 units to new and existing investors at the placing price of £1.4365 per unit. Each unit comprises one ordinary share and one warrant. The warrants entitle the investors to subscribe for in aggregate a maximum of 12,446,370 ordinary shares.</w:t>
      </w:r>
    </w:p>
    <w:p>
      <w:pPr>
        <w:spacing w:after="0" w:line="2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accordance with IAS 32 and Company accounting policy as disclosed in note 2.17, the Company classified the warrants as a derivative financial liability to be presented on the Company's Consolidated Statement of Financial Position.</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fair value of these warrants is determined by applying the Black-Scholes model. Assumptions are made on inputs such as time to maturity, the share price, volatility and risk free rate, in order to determine the fair value per warrant. For further details please see note 21.</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Transaction costs arising on the issues of these shares and warrants are allocated to the equity and warrant liability components in proportion to the allocation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3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Basic loss per ordinary share of 14.98p (2015: 37.10p) for the Group is calculated by dividing the loss for the year ended December 31, 2016 by the weighted average number of ordinary shares in issue of 33,499,413 as of December 31, 2016 (2015: 20,198,469). Potential ordinary shares are not treated as dilutive as the entity is loss making and such shares would be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Prior to the 50-for-1 consolidation of shares (as described in Note 1) the above numbers would read as follows: Basic loss per share of 0.30p</w:t>
      </w:r>
    </w:p>
    <w:p>
      <w:pPr>
        <w:spacing w:after="0"/>
        <w:rPr>
          <w:sz w:val="20"/>
          <w:szCs w:val="20"/>
          <w:color w:val="auto"/>
        </w:rPr>
      </w:pPr>
      <w:r>
        <w:rPr>
          <w:rFonts w:ascii="Arial" w:cs="Arial" w:eastAsia="Arial" w:hAnsi="Arial"/>
          <w:sz w:val="16"/>
          <w:szCs w:val="16"/>
          <w:color w:val="auto"/>
        </w:rPr>
        <w:t>(2015: 0.74p) for the Group is calculated by dividing the loss for the year ended December 31, 2016 by the weighted average number of ordinary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shares in issue of 1,674,970,686 as of December 31, 2016 (2015: 1,009,923,481).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Segmental reporting</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During 2016, there has been a change to management's assessment of the operating and reporting segments of the Group and how the Chief Operating Decision Maker reviews management information. Management has concluded that the Group's activities now consist of one operating and reportable segment: Drug development. Previously management had two reporting segments: Clinical research for RPL554 and Basic research, which contained VRP700 and NAIP. During the year ended December 31, 2015, the Group abandoned the development of the product candidates VRP700 and NAIP. As a consequence, management information is only prepared and reviewed for RPL554, resulting in a single operating and reportable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loss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Operating Loss is stated after charging:</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b w:val="1"/>
                <w:bCs w:val="1"/>
                <w:color w:val="auto"/>
              </w:rPr>
              <w:t>Research and development costs:</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benefits (note 8)</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1,322,109</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2,036,505</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patents (note 15)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43,262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50,972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disposal of patents (note 15)</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134,532</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5,768,944</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2,434,335</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costs</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7,268,847</w:t>
            </w:r>
          </w:p>
        </w:tc>
        <w:tc>
          <w:tcPr>
            <w:tcW w:w="1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4,521,820</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0" w:type="dxa"/>
            <w:vAlign w:val="bottom"/>
          </w:tcPr>
          <w:p>
            <w:pPr>
              <w:spacing w:after="0" w:line="196" w:lineRule="exact"/>
              <w:rPr>
                <w:sz w:val="20"/>
                <w:szCs w:val="20"/>
                <w:color w:val="auto"/>
              </w:rPr>
            </w:pPr>
            <w:r>
              <w:rPr>
                <w:rFonts w:ascii="Arial" w:cs="Arial" w:eastAsia="Arial" w:hAnsi="Arial"/>
                <w:sz w:val="18"/>
                <w:szCs w:val="18"/>
                <w:b w:val="1"/>
                <w:bCs w:val="1"/>
                <w:color w:val="auto"/>
              </w:rPr>
              <w:t>General and administrative costs:</w:t>
            </w: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benefits (note 8)</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624,821</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865,250</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Legal and professional fees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608,447</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884,040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computer software (note 15)</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Loss on disposal of property, plant and equipment (note 14)</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2,625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property, plant and equipment (note 14)</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9,689</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10,051</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charge — land and buildings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156,632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168,763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 (gain) on variations in foreign exchange rate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20,732</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139,091</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Other general and administrative expenses</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285,457</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427,930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general and administrative costs</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1,705,944</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2,498,349</w:t>
            </w:r>
          </w:p>
        </w:tc>
        <w:tc>
          <w:tcPr>
            <w:tcW w:w="160" w:type="dxa"/>
            <w:vAlign w:val="bottom"/>
            <w:shd w:val="clear" w:color="auto" w:fill="CCEEFF"/>
          </w:tcPr>
          <w:p>
            <w:pPr>
              <w:spacing w:after="0"/>
              <w:rPr>
                <w:sz w:val="17"/>
                <w:szCs w:val="17"/>
                <w:color w:val="auto"/>
              </w:rPr>
            </w:pPr>
          </w:p>
        </w:tc>
      </w:tr>
      <w:tr>
        <w:trPr>
          <w:trHeight w:val="196"/>
        </w:trPr>
        <w:tc>
          <w:tcPr>
            <w:tcW w:w="6020" w:type="dxa"/>
            <w:vAlign w:val="bottom"/>
            <w:gridSpan w:val="2"/>
          </w:tcPr>
          <w:p>
            <w:pPr>
              <w:spacing w:after="0" w:line="196" w:lineRule="exact"/>
              <w:rPr>
                <w:sz w:val="20"/>
                <w:szCs w:val="20"/>
                <w:color w:val="auto"/>
              </w:rPr>
            </w:pPr>
            <w:r>
              <w:rPr>
                <w:rFonts w:ascii="Arial" w:cs="Arial" w:eastAsia="Arial" w:hAnsi="Arial"/>
                <w:sz w:val="18"/>
                <w:szCs w:val="18"/>
                <w:color w:val="auto"/>
              </w:rPr>
              <w:t>Operating loss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8,974,791</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7,020,169</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During the periods indicated, the Group obtained the services from and paid the fees of the Group's auditors and their associates as detailed below:</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of Verona Pharma plc and consolidated financial statements</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Audit related services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525,000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 services review</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9,972</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0" w:type="dxa"/>
            <w:vAlign w:val="bottom"/>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34,972</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605,000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year ended December 31, 2016, audit related services include assurance reporting on historical financial information included in the Company's U.S. initial public offering registration statement that was confidentially filed with the U.S. Securities and Exchange Commission on November 23, 2016. As per December 31, 2016 an amount of £466 thousand in relation to these services was booked in deferred IPO costs as they will be offset against share premium on completion of the plans to conduct a registered initial public offering in the United States (the "Global Offering") (see note 11).</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Directors' emoluments and staff costs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The average number of employees of the Group during the year:</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r>
      <w:tr>
        <w:trPr>
          <w:trHeight w:val="784"/>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24"/>
                <w:szCs w:val="2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Aggregate emoluments of directors: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Salaries and other short-term employee benefits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854,012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1,068,529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Incremental payment for additional services</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89,051</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44,000</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Pension costs</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37,989</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18,882</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directors' emoluments</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981,052</w:t>
            </w:r>
          </w:p>
        </w:tc>
        <w:tc>
          <w:tcPr>
            <w:tcW w:w="1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1,131,411</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Share-based payment charge</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231,790</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256,615</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Directors' emoluments including share-based payment charge</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1,212,842</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1,388,026</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4"/>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24"/>
                <w:szCs w:val="2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Aggregate other staff costs: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Wages and salaries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539,802</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1,027,339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41,966</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97,827</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Incremental payment for additional services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57,917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charge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137,393</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319,278</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Pension costs</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14,927</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11,368</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staff costs</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734,088</w:t>
            </w:r>
          </w:p>
        </w:tc>
        <w:tc>
          <w:tcPr>
            <w:tcW w:w="1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1,513,729</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Group operates a defined contribution pension scheme for U.K. employees and executive directors. The total pension cost during the year ended December 31, 2016 was £30 thousand (2015: £53 thousand). There were no prepaid or accrued contributions to the scheme at December 31,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Finance income and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7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27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income:</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Interest received on cash balances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44,791</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86,542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0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Foreign exchange gain on translating foreign currency denominated bank</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0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balances</w:t>
            </w:r>
          </w:p>
        </w:tc>
        <w:tc>
          <w:tcPr>
            <w:tcW w:w="14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686,549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Fair value adjustment on derivative financial instruments (note 21)</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1,068,191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0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Total finance income</w:t>
            </w:r>
          </w:p>
        </w:tc>
        <w:tc>
          <w:tcPr>
            <w:tcW w:w="14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44,791</w:t>
            </w:r>
          </w:p>
        </w:tc>
        <w:tc>
          <w:tcPr>
            <w:tcW w:w="15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1,841,282</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0" w:type="dxa"/>
            <w:vAlign w:val="bottom"/>
            <w:vMerge w:val="restart"/>
          </w:tcPr>
          <w:p>
            <w:pPr>
              <w:ind w:left="4380"/>
              <w:spacing w:after="0"/>
              <w:rPr>
                <w:sz w:val="20"/>
                <w:szCs w:val="20"/>
                <w:color w:val="auto"/>
              </w:rPr>
            </w:pPr>
            <w:r>
              <w:rPr>
                <w:rFonts w:ascii="Arial" w:cs="Arial" w:eastAsia="Arial" w:hAnsi="Arial"/>
                <w:sz w:val="18"/>
                <w:szCs w:val="18"/>
                <w:color w:val="auto"/>
              </w:rPr>
              <w:t>F-25</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600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Finance income and expense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expense:</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Transaction costs allocated to the issue of warrants (note 21)</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585,425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assumed contingent arrangement (note 20)</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9,239</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6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Unwinding of discount factor related to the assumed contingent</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000" w:type="dxa"/>
            <w:vAlign w:val="bottom"/>
          </w:tcPr>
          <w:p>
            <w:pPr>
              <w:ind w:left="160"/>
              <w:spacing w:after="0" w:line="200" w:lineRule="exact"/>
              <w:rPr>
                <w:sz w:val="20"/>
                <w:szCs w:val="20"/>
                <w:color w:val="auto"/>
              </w:rPr>
            </w:pPr>
            <w:r>
              <w:rPr>
                <w:rFonts w:ascii="Arial" w:cs="Arial" w:eastAsia="Arial" w:hAnsi="Arial"/>
                <w:sz w:val="18"/>
                <w:szCs w:val="18"/>
                <w:color w:val="auto"/>
              </w:rPr>
              <w:t>arrangement (note 20)</w:t>
            </w:r>
          </w:p>
        </w:tc>
        <w:tc>
          <w:tcPr>
            <w:tcW w:w="14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63,052</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84,711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finance expense</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72,291</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793,690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Taxation</w:t>
            </w: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Analysis of tax credit for the year</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Current tax:</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 and US tax</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(1,520,732)</w:t>
            </w: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(937,772)</w:t>
            </w: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Adjustment in respect of prior periods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11,284</w:t>
            </w:r>
          </w:p>
        </w:tc>
        <w:tc>
          <w:tcPr>
            <w:tcW w:w="16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(16,412)</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tax credit</w:t>
            </w:r>
          </w:p>
        </w:tc>
        <w:tc>
          <w:tcPr>
            <w:tcW w:w="15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(1,509,448)</w:t>
            </w:r>
          </w:p>
        </w:tc>
        <w:tc>
          <w:tcPr>
            <w:tcW w:w="1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(954,184)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Factors affecting the tax charge for the year</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ordinary activities</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(9,002,291)</w:t>
            </w: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(5,972,577)</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Multiplied by standard rate of corporation tax of 20% (2015: 20.25%)</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gridSpan w:val="2"/>
            <w:vMerge w:val="continue"/>
          </w:tcPr>
          <w:p>
            <w:pPr>
              <w:spacing w:after="0"/>
              <w:rPr>
                <w:sz w:val="15"/>
                <w:szCs w:val="15"/>
                <w:color w:val="auto"/>
              </w:rPr>
            </w:pPr>
          </w:p>
        </w:tc>
        <w:tc>
          <w:tcPr>
            <w:tcW w:w="156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(1,822,964)</w:t>
            </w:r>
          </w:p>
        </w:tc>
        <w:tc>
          <w:tcPr>
            <w:tcW w:w="15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(1,194,515)</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Effects of:</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Non-deductible expenses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113,529</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78,489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incentive</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(599,368)</w:t>
            </w: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(427,304)</w:t>
            </w: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Timing differences not recognized</w:t>
            </w: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(1,880)</w:t>
            </w: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Difference in overseas tax rates</w:t>
            </w:r>
          </w:p>
        </w:tc>
        <w:tc>
          <w:tcPr>
            <w:tcW w:w="15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Tax losses carried forward not recognized</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789,951</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554,108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(1,520,732)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(937,772)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Adjustment in respect of prior periods</w:t>
            </w: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gridSpan w:val="2"/>
            <w:vMerge w:val="continue"/>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11,284</w:t>
            </w:r>
          </w:p>
        </w:tc>
        <w:tc>
          <w:tcPr>
            <w:tcW w:w="160" w:type="dxa"/>
            <w:vAlign w:val="bottom"/>
          </w:tcPr>
          <w:p>
            <w:pPr>
              <w:spacing w:after="0"/>
              <w:rPr>
                <w:sz w:val="17"/>
                <w:szCs w:val="17"/>
                <w:color w:val="auto"/>
              </w:rPr>
            </w:pP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(16,412)</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continue"/>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tax credit</w:t>
            </w:r>
          </w:p>
        </w:tc>
        <w:tc>
          <w:tcPr>
            <w:tcW w:w="15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(1,509,448)</w:t>
            </w:r>
          </w:p>
        </w:tc>
        <w:tc>
          <w:tcPr>
            <w:tcW w:w="1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(954,184)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UK corporation tax is charged at 20% (2015: 20.25%) and U.S. federal tax at 35% (2015: 35%).</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ind w:right="9200" w:firstLine="8"/>
        <w:spacing w:after="0" w:line="560" w:lineRule="auto"/>
        <w:tabs>
          <w:tab w:leader="none" w:pos="293"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 Deferred tax</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tables represent deferred tax balances recognized in the Consolidated Statement of Financial Position, and the movements in both the deferred tax asset and the deferred tax liability.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265,000</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249,749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Deferred tax liabilities</w:t>
            </w: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(265,000)</w:t>
            </w: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(249,749)</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balances</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Movements on the deferred tax asset</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January 1</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294,000</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rate changes</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(29,000)</w:t>
            </w: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196"/>
        </w:trPr>
        <w:tc>
          <w:tcPr>
            <w:tcW w:w="71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December 31</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265,000</w:t>
            </w:r>
          </w:p>
        </w:tc>
        <w:tc>
          <w:tcPr>
            <w:tcW w:w="16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249,749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11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2015</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Movements on the deferred tax liability</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January 1</w:t>
            </w: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(294,000)</w:t>
            </w: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rate changes</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29,000</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December 31</w:t>
            </w:r>
          </w:p>
        </w:tc>
        <w:tc>
          <w:tcPr>
            <w:tcW w:w="15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(265,000)</w:t>
            </w: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(249,749)</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Factors that may affect future tax charges</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Group has UK tax losses available for offset against future profits in the UK. However an additional deferred tax asset has not been recognized in respect of such items due to uncertainty of future profit streams. As of December 31, 2016, the unrecognized deferred tax asset at 17% is estimated to be £3,149 thousand (2015: £2,819 thousand at 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Prepayments and other receivables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As of</w:t>
            </w: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 and accrued income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196,313</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1,360,812</w:t>
            </w:r>
          </w:p>
        </w:tc>
        <w:tc>
          <w:tcPr>
            <w:tcW w:w="160" w:type="dxa"/>
            <w:vAlign w:val="bottom"/>
            <w:shd w:val="clear" w:color="auto" w:fill="CCEEFF"/>
          </w:tcPr>
          <w:p>
            <w:pPr>
              <w:spacing w:after="0"/>
              <w:rPr>
                <w:sz w:val="17"/>
                <w:szCs w:val="17"/>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Deferred IPO costs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1,526,829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316,987</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70,946</w:t>
            </w:r>
          </w:p>
        </w:tc>
        <w:tc>
          <w:tcPr>
            <w:tcW w:w="160" w:type="dxa"/>
            <w:vAlign w:val="bottom"/>
            <w:shd w:val="clear" w:color="auto" w:fill="CCEEFF"/>
          </w:tcPr>
          <w:p>
            <w:pPr>
              <w:spacing w:after="0"/>
              <w:rPr>
                <w:sz w:val="17"/>
                <w:szCs w:val="17"/>
                <w:color w:val="auto"/>
              </w:rPr>
            </w:pPr>
          </w:p>
        </w:tc>
      </w:tr>
      <w:tr>
        <w:trPr>
          <w:trHeight w:val="196"/>
        </w:trPr>
        <w:tc>
          <w:tcPr>
            <w:tcW w:w="6020" w:type="dxa"/>
            <w:vAlign w:val="bottom"/>
            <w:gridSpan w:val="2"/>
          </w:tcPr>
          <w:p>
            <w:pPr>
              <w:spacing w:after="0" w:line="196" w:lineRule="exact"/>
              <w:rPr>
                <w:sz w:val="20"/>
                <w:szCs w:val="20"/>
                <w:color w:val="auto"/>
              </w:rPr>
            </w:pPr>
            <w:r>
              <w:rPr>
                <w:rFonts w:ascii="Arial" w:cs="Arial" w:eastAsia="Arial" w:hAnsi="Arial"/>
                <w:sz w:val="18"/>
                <w:szCs w:val="18"/>
                <w:color w:val="auto"/>
              </w:rPr>
              <w:t>Total prepayments and other receivables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513,300</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2,958,587</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Deferred IPO costs relate to the Global Offering. These costs will be offset against share premium in the period in which the Global Offering is completed.</w:t>
      </w: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Prepayments and other receivables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prepayments balance includes prepayments for insurance and clinical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are no impaired assets within prepayments and other receivables.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bank and in hand</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3,524,387</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39,785,098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The increase in cash during 2016 resulted from the July Placement.</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8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13. Trade and other payables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payables</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1,108,991</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718,994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Trade payables due to related parties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172,955</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40,907</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54,504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Accruals</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475,829</w:t>
            </w:r>
          </w:p>
        </w:tc>
        <w:tc>
          <w:tcPr>
            <w:tcW w:w="16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2,049,991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trade and other payables</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1,798,682</w:t>
            </w:r>
          </w:p>
        </w:tc>
        <w:tc>
          <w:tcPr>
            <w:tcW w:w="1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2,823,489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accruals include £890 thousand related to expenses associated with the Global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Property, plant and equipment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Computer</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Office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hardware</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5"/>
                <w:szCs w:val="15"/>
                <w:color w:val="auto"/>
              </w:rPr>
            </w:pPr>
          </w:p>
        </w:tc>
        <w:tc>
          <w:tcPr>
            <w:tcW w:w="198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r>
      <w:tr>
        <w:trPr>
          <w:trHeight w:val="156"/>
        </w:trPr>
        <w:tc>
          <w:tcPr>
            <w:tcW w:w="1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3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2015</w:t>
            </w:r>
          </w:p>
        </w:tc>
        <w:tc>
          <w:tcPr>
            <w:tcW w:w="3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41,302</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36,461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77,763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3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44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2015</w:t>
            </w:r>
          </w:p>
        </w:tc>
        <w:tc>
          <w:tcPr>
            <w:tcW w:w="3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42,495</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36,461</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78,956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depreciation</w:t>
            </w:r>
          </w:p>
        </w:tc>
        <w:tc>
          <w:tcPr>
            <w:tcW w:w="3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2015</w:t>
            </w:r>
          </w:p>
        </w:tc>
        <w:tc>
          <w:tcPr>
            <w:tcW w:w="3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35,890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20,214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56,104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 for the year</w:t>
            </w:r>
          </w:p>
        </w:tc>
        <w:tc>
          <w:tcPr>
            <w:tcW w:w="3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7,025</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9,689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44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2015</w:t>
            </w:r>
          </w:p>
        </w:tc>
        <w:tc>
          <w:tcPr>
            <w:tcW w:w="3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38,554</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27,239</w:t>
            </w: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65,793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3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December 31, 2015</w:t>
            </w:r>
          </w:p>
        </w:tc>
        <w:tc>
          <w:tcPr>
            <w:tcW w:w="318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3,941</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9,222</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80" w:type="dxa"/>
            <w:vAlign w:val="bottom"/>
            <w:gridSpan w:val="2"/>
          </w:tcPr>
          <w:p>
            <w:pPr>
              <w:jc w:val="right"/>
              <w:ind w:right="2340"/>
              <w:spacing w:after="0"/>
              <w:rPr>
                <w:sz w:val="20"/>
                <w:szCs w:val="20"/>
                <w:color w:val="auto"/>
              </w:rPr>
            </w:pPr>
            <w:r>
              <w:rPr>
                <w:rFonts w:ascii="Arial" w:cs="Arial" w:eastAsia="Arial" w:hAnsi="Arial"/>
                <w:sz w:val="18"/>
                <w:szCs w:val="18"/>
                <w:color w:val="auto"/>
              </w:rPr>
              <w:t>F-28</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28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Property, plant and equipment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Computer</w:t>
            </w:r>
          </w:p>
        </w:tc>
        <w:tc>
          <w:tcPr>
            <w:tcW w:w="100" w:type="dxa"/>
            <w:vAlign w:val="bottom"/>
          </w:tcPr>
          <w:p>
            <w:pPr>
              <w:spacing w:after="0"/>
              <w:rPr>
                <w:sz w:val="14"/>
                <w:szCs w:val="14"/>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Office</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hardware</w:t>
            </w:r>
          </w:p>
        </w:tc>
        <w:tc>
          <w:tcPr>
            <w:tcW w:w="100" w:type="dxa"/>
            <w:vAlign w:val="bottom"/>
          </w:tcPr>
          <w:p>
            <w:pPr>
              <w:spacing w:after="0"/>
              <w:rPr>
                <w:sz w:val="15"/>
                <w:szCs w:val="15"/>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equipment</w:t>
            </w:r>
          </w:p>
        </w:tc>
        <w:tc>
          <w:tcPr>
            <w:tcW w:w="60" w:type="dxa"/>
            <w:vAlign w:val="bottom"/>
          </w:tcPr>
          <w:p>
            <w:pPr>
              <w:spacing w:after="0"/>
              <w:rPr>
                <w:sz w:val="15"/>
                <w:szCs w:val="15"/>
                <w:color w:val="auto"/>
              </w:rPr>
            </w:pPr>
          </w:p>
        </w:tc>
        <w:tc>
          <w:tcPr>
            <w:tcW w:w="20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jc w:val="center"/>
              <w:ind w:left="15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jc w:val="center"/>
              <w:ind w:left="8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2016</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42,495</w:t>
            </w:r>
          </w:p>
        </w:tc>
        <w:tc>
          <w:tcPr>
            <w:tcW w:w="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36,461</w:t>
            </w:r>
          </w:p>
        </w:tc>
        <w:tc>
          <w:tcPr>
            <w:tcW w:w="1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78,956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13,351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13,351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Disposals</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(38,845)</w:t>
            </w:r>
          </w:p>
        </w:tc>
        <w:tc>
          <w:tcPr>
            <w:tcW w:w="98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(36,461)</w:t>
            </w: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(75,306)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 December 31, 2016</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17,001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8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depreciation</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38,554</w:t>
            </w:r>
          </w:p>
        </w:tc>
        <w:tc>
          <w:tcPr>
            <w:tcW w:w="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27,239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65,793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Charge for the year</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3,027</w:t>
            </w:r>
          </w:p>
        </w:tc>
        <w:tc>
          <w:tcPr>
            <w:tcW w:w="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7,024</w:t>
            </w:r>
          </w:p>
        </w:tc>
        <w:tc>
          <w:tcPr>
            <w:tcW w:w="1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10,051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(38,418)</w:t>
            </w:r>
          </w:p>
        </w:tc>
        <w:tc>
          <w:tcPr>
            <w:tcW w:w="98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(34,263)</w:t>
            </w: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(72,681)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2016</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7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3,163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December 31, 2016</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13,838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13,838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Intangible assets</w:t>
            </w:r>
          </w:p>
        </w:tc>
        <w:tc>
          <w:tcPr>
            <w:tcW w:w="1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44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Computer</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rPr>
              <w:t>IP R&amp;D</w:t>
            </w:r>
          </w:p>
        </w:tc>
        <w:tc>
          <w:tcPr>
            <w:tcW w:w="160" w:type="dxa"/>
            <w:vAlign w:val="bottom"/>
          </w:tcPr>
          <w:p>
            <w:pPr>
              <w:spacing w:after="0"/>
              <w:rPr>
                <w:sz w:val="15"/>
                <w:szCs w:val="15"/>
                <w:color w:val="auto"/>
              </w:rPr>
            </w:pPr>
          </w:p>
        </w:tc>
        <w:tc>
          <w:tcPr>
            <w:tcW w:w="1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software</w:t>
            </w:r>
          </w:p>
        </w:tc>
        <w:tc>
          <w:tcPr>
            <w:tcW w:w="9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Patents</w:t>
            </w:r>
          </w:p>
        </w:tc>
        <w:tc>
          <w:tcPr>
            <w:tcW w:w="60" w:type="dxa"/>
            <w:vAlign w:val="bottom"/>
          </w:tcPr>
          <w:p>
            <w:pPr>
              <w:spacing w:after="0"/>
              <w:rPr>
                <w:sz w:val="15"/>
                <w:szCs w:val="15"/>
                <w:color w:val="auto"/>
              </w:rPr>
            </w:pPr>
          </w:p>
        </w:tc>
        <w:tc>
          <w:tcPr>
            <w:tcW w:w="20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36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January 1, 2015</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1,469,112</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23,934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515,569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2,008,615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141,239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141,876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Disposal</w:t>
            </w:r>
          </w:p>
        </w:tc>
        <w:tc>
          <w:tcPr>
            <w:tcW w:w="17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6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w w:val="93"/>
              </w:rPr>
              <w:t>(174,944)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(174,944)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 December 31, 2015</w:t>
            </w:r>
          </w:p>
        </w:tc>
        <w:tc>
          <w:tcPr>
            <w:tcW w:w="1760" w:type="dxa"/>
            <w:vAlign w:val="bottom"/>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1,469,112</w:t>
            </w: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24,571</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481,864</w:t>
            </w:r>
          </w:p>
        </w:tc>
        <w:tc>
          <w:tcPr>
            <w:tcW w:w="160" w:type="dxa"/>
            <w:vAlign w:val="bottom"/>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1,975,547</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8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amortization</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2015</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23,746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135,029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158,775</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Charge for year</w:t>
            </w:r>
          </w:p>
        </w:tc>
        <w:tc>
          <w:tcPr>
            <w:tcW w:w="17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43,262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43,428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rPr>
                <w:sz w:val="17"/>
                <w:szCs w:val="17"/>
                <w:color w:val="auto"/>
              </w:rPr>
            </w:pPr>
          </w:p>
        </w:tc>
        <w:tc>
          <w:tcPr>
            <w:tcW w:w="86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(40,412)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(40,412)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gridSpan w:val="2"/>
          </w:tcPr>
          <w:p>
            <w:pPr>
              <w:ind w:left="1140"/>
              <w:spacing w:after="0" w:line="196" w:lineRule="exact"/>
              <w:rPr>
                <w:sz w:val="20"/>
                <w:szCs w:val="20"/>
                <w:color w:val="auto"/>
              </w:rPr>
            </w:pPr>
            <w:r>
              <w:rPr>
                <w:rFonts w:ascii="Arial" w:cs="Arial" w:eastAsia="Arial" w:hAnsi="Arial"/>
                <w:sz w:val="18"/>
                <w:szCs w:val="18"/>
                <w:color w:val="auto"/>
              </w:rPr>
              <w:t>At December 31, 2015</w:t>
            </w:r>
          </w:p>
        </w:tc>
        <w:tc>
          <w:tcPr>
            <w:tcW w:w="17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23,912</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137,879</w:t>
            </w: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161,791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At December 31, 2015</w:t>
            </w:r>
          </w:p>
        </w:tc>
        <w:tc>
          <w:tcPr>
            <w:tcW w:w="17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1,469,112</w:t>
            </w:r>
          </w:p>
        </w:tc>
        <w:tc>
          <w:tcPr>
            <w:tcW w:w="16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659</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343,985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9"/>
              </w:rPr>
              <w:t>1,813,756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00" w:type="dxa"/>
            <w:vAlign w:val="bottom"/>
            <w:gridSpan w:val="2"/>
          </w:tcPr>
          <w:p>
            <w:pPr>
              <w:jc w:val="right"/>
              <w:ind w:right="1155"/>
              <w:spacing w:after="0"/>
              <w:rPr>
                <w:sz w:val="20"/>
                <w:szCs w:val="20"/>
                <w:color w:val="auto"/>
              </w:rPr>
            </w:pPr>
            <w:r>
              <w:rPr>
                <w:rFonts w:ascii="Arial" w:cs="Arial" w:eastAsia="Arial" w:hAnsi="Arial"/>
                <w:sz w:val="18"/>
                <w:szCs w:val="18"/>
                <w:color w:val="auto"/>
              </w:rPr>
              <w:t>F-29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28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Computer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IP R&amp;D</w:t>
            </w:r>
          </w:p>
        </w:tc>
        <w:tc>
          <w:tcPr>
            <w:tcW w:w="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software</w:t>
            </w: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rPr>
              <w:t>Patents</w:t>
            </w:r>
          </w:p>
        </w:tc>
        <w:tc>
          <w:tcPr>
            <w:tcW w:w="16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96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40" w:type="dxa"/>
            <w:vAlign w:val="bottom"/>
            <w:tcBorders>
              <w:top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At January 1, 2016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1,469,112</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24,571</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481,864</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1,975,547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4,750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109,757</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114,507</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Disposal</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(23,982)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(23,982)</w:t>
            </w: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 December 31, 2016</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1,469,112</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5,339</w:t>
            </w: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591,621</w:t>
            </w: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2,066,072</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4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amortization</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23,912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137,879</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161,791</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Charge for year</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599</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50,972</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51,571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(23,974)</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(23,974)</w:t>
            </w:r>
          </w:p>
        </w:tc>
      </w:tr>
      <w:tr>
        <w:trPr>
          <w:trHeight w:val="196"/>
        </w:trPr>
        <w:tc>
          <w:tcPr>
            <w:tcW w:w="5060" w:type="dxa"/>
            <w:vAlign w:val="bottom"/>
            <w:gridSpan w:val="2"/>
          </w:tcPr>
          <w:p>
            <w:pPr>
              <w:spacing w:after="0" w:line="196" w:lineRule="exact"/>
              <w:rPr>
                <w:sz w:val="20"/>
                <w:szCs w:val="20"/>
                <w:color w:val="auto"/>
              </w:rPr>
            </w:pPr>
            <w:r>
              <w:rPr>
                <w:rFonts w:ascii="Arial" w:cs="Arial" w:eastAsia="Arial" w:hAnsi="Arial"/>
                <w:sz w:val="18"/>
                <w:szCs w:val="18"/>
                <w:color w:val="auto"/>
              </w:rPr>
              <w:t>At December 31, 2016</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188,851</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189,388</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At December 31, 2016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1,469,112</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4,802</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402,770</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1,876,684</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Intangible assets comprise patents, computer software and an IP R&amp;D asset that arose on the acquisition of Rhinopharma and investment in patents to protect RPL554.</w:t>
      </w:r>
    </w:p>
    <w:p>
      <w:pPr>
        <w:spacing w:after="0" w:line="209"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IP R&amp;D is currently not amortized and is reviewed for impairment on an annual basis or where there is an indication that the assets might be impaired until the asset is brought into use.</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Patents are amortized over a period of ten years and are regularly reviewed for impairment to ensure the carrying amount exceeds the recoverable amount in accordance with note 2.9.</w:t>
      </w:r>
    </w:p>
    <w:p>
      <w:pPr>
        <w:spacing w:after="0" w:line="20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Recognizing that the Company is still in pre-revenue phase and that the research projects are not yet ready for commercial use, the Company assesses the recoverable amount of the CGU containing the IP R&amp;D with reference to the Company's market capitalization as of December 31, 2016, the date of testing of goodwill impairment. The market capitalization of the Company was approximately £80 million as of December 31, 2016, compared to the Company's net assets of £34.5 million. Therefore, no impairment was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Goodwill</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 of</w:t>
            </w:r>
          </w:p>
        </w:tc>
      </w:tr>
      <w:tr>
        <w:trPr>
          <w:trHeight w:val="175"/>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at January 1 and December 31</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441,000</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in connection with the acquisition of Rhinopharma in September 2006. Goodwill is not amortized, but is tested annually for impairment. Annual impairment testing is performed by comparing the expected recoverable amount of the CGU to the carrying amount of the CGU to which goodwill has been allocated to the carrying amount of the CGU. See notes 2.9, 4 and 15 to these consolidated financial statements.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Capital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Company's share capital are summarized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 Capital</w:t>
            </w: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amounts in</w:t>
            </w:r>
          </w:p>
        </w:tc>
      </w:tr>
      <w:tr>
        <w:trPr>
          <w:trHeight w:val="175"/>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900" w:type="dxa"/>
            <w:vAlign w:val="bottom"/>
          </w:tcPr>
          <w:p>
            <w:pPr>
              <w:spacing w:after="0"/>
              <w:rPr>
                <w:sz w:val="15"/>
                <w:szCs w:val="15"/>
                <w:color w:val="auto"/>
              </w:rPr>
            </w:pPr>
          </w:p>
        </w:tc>
        <w:tc>
          <w:tcPr>
            <w:tcW w:w="3020" w:type="dxa"/>
            <w:vAlign w:val="bottom"/>
          </w:tcPr>
          <w:p>
            <w:pPr>
              <w:ind w:left="11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5"/>
                <w:szCs w:val="15"/>
                <w:color w:val="auto"/>
              </w:rPr>
            </w:pPr>
          </w:p>
        </w:tc>
        <w:tc>
          <w:tcPr>
            <w:tcW w:w="1280" w:type="dxa"/>
            <w:vAlign w:val="bottom"/>
          </w:tcPr>
          <w:p>
            <w:pPr>
              <w:jc w:val="right"/>
              <w:ind w:right="343"/>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1, 2015</w:t>
            </w:r>
          </w:p>
        </w:tc>
        <w:tc>
          <w:tcPr>
            <w:tcW w:w="3920" w:type="dxa"/>
            <w:vAlign w:val="bottom"/>
            <w:gridSpan w:val="2"/>
            <w:shd w:val="clear" w:color="auto" w:fill="CCEEFF"/>
          </w:tcPr>
          <w:p>
            <w:pPr>
              <w:ind w:left="900"/>
              <w:spacing w:after="0" w:line="196" w:lineRule="exact"/>
              <w:rPr>
                <w:sz w:val="20"/>
                <w:szCs w:val="20"/>
                <w:color w:val="auto"/>
              </w:rPr>
            </w:pPr>
            <w:r>
              <w:rPr>
                <w:rFonts w:ascii="Arial" w:cs="Arial" w:eastAsia="Arial" w:hAnsi="Arial"/>
                <w:sz w:val="18"/>
                <w:szCs w:val="18"/>
                <w:color w:val="auto"/>
              </w:rPr>
              <w:t>Brought forward</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1,009,923,481</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December 31, 2015</w:t>
            </w:r>
          </w:p>
        </w:tc>
        <w:tc>
          <w:tcPr>
            <w:tcW w:w="9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1,009,923,481</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1,009,923</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29, 2016</w:t>
            </w:r>
          </w:p>
        </w:tc>
        <w:tc>
          <w:tcPr>
            <w:tcW w:w="39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Issuance of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1,555,796,345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1,555,796</w:t>
            </w:r>
          </w:p>
        </w:tc>
        <w:tc>
          <w:tcPr>
            <w:tcW w:w="160" w:type="dxa"/>
            <w:vAlign w:val="bottom"/>
            <w:shd w:val="clear" w:color="auto" w:fill="CCEEFF"/>
          </w:tcPr>
          <w:p>
            <w:pPr>
              <w:spacing w:after="0"/>
              <w:rPr>
                <w:sz w:val="24"/>
                <w:szCs w:val="24"/>
                <w:color w:val="auto"/>
              </w:rPr>
            </w:pPr>
          </w:p>
        </w:tc>
      </w:tr>
      <w:tr>
        <w:trPr>
          <w:trHeight w:val="203"/>
        </w:trPr>
        <w:tc>
          <w:tcPr>
            <w:tcW w:w="2500" w:type="dxa"/>
            <w:vAlign w:val="bottom"/>
            <w:gridSpan w:val="3"/>
          </w:tcPr>
          <w:p>
            <w:pPr>
              <w:spacing w:after="0" w:line="202" w:lineRule="exact"/>
              <w:rPr>
                <w:sz w:val="20"/>
                <w:szCs w:val="20"/>
                <w:color w:val="auto"/>
              </w:rPr>
            </w:pPr>
            <w:r>
              <w:rPr>
                <w:rFonts w:ascii="Arial" w:cs="Arial" w:eastAsia="Arial" w:hAnsi="Arial"/>
                <w:sz w:val="18"/>
                <w:szCs w:val="18"/>
                <w:color w:val="auto"/>
              </w:rPr>
              <w:t>September 12, 2016</w:t>
            </w:r>
          </w:p>
        </w:tc>
        <w:tc>
          <w:tcPr>
            <w:tcW w:w="39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Exercise of options</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166,667</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24, 2016</w:t>
            </w:r>
          </w:p>
        </w:tc>
        <w:tc>
          <w:tcPr>
            <w:tcW w:w="392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Exercise of options</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166,667</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7"/>
                <w:szCs w:val="17"/>
                <w:color w:val="auto"/>
              </w:rPr>
            </w:pPr>
          </w:p>
        </w:tc>
      </w:tr>
      <w:tr>
        <w:trPr>
          <w:trHeight w:val="203"/>
        </w:trPr>
        <w:tc>
          <w:tcPr>
            <w:tcW w:w="2500" w:type="dxa"/>
            <w:vAlign w:val="bottom"/>
            <w:gridSpan w:val="3"/>
          </w:tcPr>
          <w:p>
            <w:pPr>
              <w:spacing w:after="0" w:line="202" w:lineRule="exact"/>
              <w:rPr>
                <w:sz w:val="20"/>
                <w:szCs w:val="20"/>
                <w:color w:val="auto"/>
              </w:rPr>
            </w:pPr>
            <w:r>
              <w:rPr>
                <w:rFonts w:ascii="Arial" w:cs="Arial" w:eastAsia="Arial" w:hAnsi="Arial"/>
                <w:sz w:val="18"/>
                <w:szCs w:val="18"/>
                <w:color w:val="auto"/>
              </w:rPr>
              <w:t>December 28, 2016</w:t>
            </w:r>
          </w:p>
        </w:tc>
        <w:tc>
          <w:tcPr>
            <w:tcW w:w="39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Exercise of options</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9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2,568,053,160</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2,568,053</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disclosed in note 23, on February 8, 2017 the board of the Company approved a share consolidation where every 50 existing ordinary shares of £0.001 were consolidated into one ordinary share of £0.05. The retrospective effect of this share consolidation on the Company's share capital movements during the year is summarized below:</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 Capital</w:t>
            </w: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amounts in</w:t>
            </w:r>
          </w:p>
        </w:tc>
      </w:tr>
      <w:tr>
        <w:trPr>
          <w:trHeight w:val="175"/>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spacing w:after="0"/>
              <w:rPr>
                <w:sz w:val="15"/>
                <w:szCs w:val="15"/>
                <w:color w:val="auto"/>
              </w:rPr>
            </w:pPr>
          </w:p>
        </w:tc>
        <w:tc>
          <w:tcPr>
            <w:tcW w:w="3140" w:type="dxa"/>
            <w:vAlign w:val="bottom"/>
          </w:tcPr>
          <w:p>
            <w:pPr>
              <w:ind w:left="118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5"/>
                <w:szCs w:val="15"/>
                <w:color w:val="auto"/>
              </w:rPr>
            </w:pPr>
          </w:p>
        </w:tc>
        <w:tc>
          <w:tcPr>
            <w:tcW w:w="1040" w:type="dxa"/>
            <w:vAlign w:val="bottom"/>
          </w:tcPr>
          <w:p>
            <w:pPr>
              <w:jc w:val="right"/>
              <w:ind w:right="223"/>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1, 2015</w:t>
            </w:r>
          </w:p>
        </w:tc>
        <w:tc>
          <w:tcPr>
            <w:tcW w:w="4100" w:type="dxa"/>
            <w:vAlign w:val="bottom"/>
            <w:gridSpan w:val="2"/>
            <w:shd w:val="clear" w:color="auto" w:fill="CCEEFF"/>
          </w:tcPr>
          <w:p>
            <w:pPr>
              <w:ind w:left="960"/>
              <w:spacing w:after="0" w:line="196" w:lineRule="exact"/>
              <w:rPr>
                <w:sz w:val="20"/>
                <w:szCs w:val="20"/>
                <w:color w:val="auto"/>
              </w:rPr>
            </w:pPr>
            <w:r>
              <w:rPr>
                <w:rFonts w:ascii="Arial" w:cs="Arial" w:eastAsia="Arial" w:hAnsi="Arial"/>
                <w:sz w:val="18"/>
                <w:szCs w:val="18"/>
                <w:color w:val="auto"/>
              </w:rPr>
              <w:t>Brought forward</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20,198,469</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1,009,923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December 31, 2015</w:t>
            </w:r>
          </w:p>
        </w:tc>
        <w:tc>
          <w:tcPr>
            <w:tcW w:w="9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20,198,469</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1,009,923</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29, 2016</w:t>
            </w:r>
          </w:p>
        </w:tc>
        <w:tc>
          <w:tcPr>
            <w:tcW w:w="4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Issuance of shares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31,115,926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1,555,796</w:t>
            </w:r>
          </w:p>
        </w:tc>
        <w:tc>
          <w:tcPr>
            <w:tcW w:w="160" w:type="dxa"/>
            <w:vAlign w:val="bottom"/>
            <w:shd w:val="clear" w:color="auto" w:fill="CCEEFF"/>
          </w:tcPr>
          <w:p>
            <w:pPr>
              <w:spacing w:after="0"/>
              <w:rPr>
                <w:sz w:val="24"/>
                <w:szCs w:val="24"/>
                <w:color w:val="auto"/>
              </w:rPr>
            </w:pPr>
          </w:p>
        </w:tc>
      </w:tr>
      <w:tr>
        <w:trPr>
          <w:trHeight w:val="203"/>
        </w:trPr>
        <w:tc>
          <w:tcPr>
            <w:tcW w:w="2560" w:type="dxa"/>
            <w:vAlign w:val="bottom"/>
            <w:gridSpan w:val="3"/>
          </w:tcPr>
          <w:p>
            <w:pPr>
              <w:spacing w:after="0" w:line="202" w:lineRule="exact"/>
              <w:rPr>
                <w:sz w:val="20"/>
                <w:szCs w:val="20"/>
                <w:color w:val="auto"/>
              </w:rPr>
            </w:pPr>
            <w:r>
              <w:rPr>
                <w:rFonts w:ascii="Arial" w:cs="Arial" w:eastAsia="Arial" w:hAnsi="Arial"/>
                <w:sz w:val="18"/>
                <w:szCs w:val="18"/>
                <w:color w:val="auto"/>
              </w:rPr>
              <w:t>September 12, 2016</w:t>
            </w:r>
          </w:p>
        </w:tc>
        <w:tc>
          <w:tcPr>
            <w:tcW w:w="410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Exercise of options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3,334</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24, 2016</w:t>
            </w:r>
          </w:p>
        </w:tc>
        <w:tc>
          <w:tcPr>
            <w:tcW w:w="410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Exercise of options</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3,334</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7"/>
                <w:szCs w:val="17"/>
                <w:color w:val="auto"/>
              </w:rPr>
            </w:pPr>
          </w:p>
        </w:tc>
      </w:tr>
      <w:tr>
        <w:trPr>
          <w:trHeight w:val="203"/>
        </w:trPr>
        <w:tc>
          <w:tcPr>
            <w:tcW w:w="2560" w:type="dxa"/>
            <w:vAlign w:val="bottom"/>
            <w:gridSpan w:val="3"/>
          </w:tcPr>
          <w:p>
            <w:pPr>
              <w:spacing w:after="0" w:line="202" w:lineRule="exact"/>
              <w:rPr>
                <w:sz w:val="20"/>
                <w:szCs w:val="20"/>
                <w:color w:val="auto"/>
              </w:rPr>
            </w:pPr>
            <w:r>
              <w:rPr>
                <w:rFonts w:ascii="Arial" w:cs="Arial" w:eastAsia="Arial" w:hAnsi="Arial"/>
                <w:sz w:val="18"/>
                <w:szCs w:val="18"/>
                <w:color w:val="auto"/>
              </w:rPr>
              <w:t>December 28, 2016</w:t>
            </w:r>
          </w:p>
        </w:tc>
        <w:tc>
          <w:tcPr>
            <w:tcW w:w="410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Exercise of options</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40,000</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96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51,361,063</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2,568,053</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total number of authorized ordinary shares, with a nominal value of £0.05 each, is 200,000,000 (share capital of £10,000,000). All 51,361,063 ordinary shares at December 31, 2016 are allotted, unrestricted, called up and fully paid.</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July 29, 2016, the Company issued 31,115,926 units to new and existing investors at the placing price of £1.4365 per unit. Each unit comprises one ordinary share and one warrant (with an entitlement to subscribe for 0.4 of an ordinary share at a per share exercise price of 120% of the placing price or £1.7238). The warrants entitle the investors to subscribe for in aggregate a maximum of 12,446,370 shares. The gross proceeds received of £44.7 million were in exchange for both ordinary shares and the warrants. During 2016, the Company issued 46,666 ordinary shares (2015: nil) upon exercise of employee share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 transactions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entered into relationship agreements with Vivo Capital Fund VIII ("Vivo Capital"), Orbimed Private Investments VI L.P. ("Orbimed"), Abingworth Bioventures VI L.P. ("Abingworth") and Arix Bioscience plc ("Arix"), Arthurian Life Sciences SPV GP Limited, ("Arthurian"). As agreed in these relationship agreements, the above parties invested in the Company as part of the July Placement, and the Company agreed to appoint representatives designated by Vivo Capital, OrbiMed, Arix and Arthurian, and Abingworth to the board of directors, who are Dr. Mahendra Shah, Mr. Rishi Gupta, Dr. Ken Cunningham and Dr. Andrew Sinclair, respectively.</w:t>
      </w:r>
    </w:p>
    <w:p>
      <w:pPr>
        <w:spacing w:after="0" w:line="21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These agreements will continue in effect after the consummation of the Global Offering, except that the appointment rights within the relationship agreement with Arix and Arthurian have been terminated. The respective appointment rights under the remaining relationship agreements will automatically terminate upon (i) Vivo Capital, OrbiMed or Abingworth (or any of their associates), as applicable, ceasing to beneficially hold 6.5% of the issued ordinary shares, or (ii) the ordinary shares ceasing to be admitted to AIM.</w:t>
      </w:r>
    </w:p>
    <w:p>
      <w:pPr>
        <w:spacing w:after="0" w:line="209"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The Company also has a management rights agreement with Novo A/S under which Novo A/S is entitled to appoint an observer to the Board until the earlier to occur of the Company's intended NASDAQ listing or a sale by Novo A/S of 50% of its shares in the Company.</w:t>
      </w:r>
    </w:p>
    <w:p>
      <w:pPr>
        <w:spacing w:after="0" w:line="20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Company entered into a shareholder agreement with the Wales Life Sciences Investment Fund ("WLSIF") in connection with the March 2014 financing under which the Company has certain obligations to the WLSIF, including the obligation to maintain the registered office in Wales and to carry out certain other activities in Wales.</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the year ended December 31, 2015, the Company was charged £2,376 thousand by Simbec-Orion in respect of clinical and pre-clinical support and research services, a group of which Prof. Trevor Jones is a Director. As of December 31, 2015, the Company owed £173 thousand to this related party. Prof. Trevor Jones was a Director of the Company until September 2015. During 2016, there were no transactions with Simbec-Orion or any other related parties. As of December 31, 2016, there were no outstanding balances to related parties.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Directors have authority and responsibility for planning, directing and controlling the activities of the Group and they therefore comprise key management personnel as defined by IAS 24, ("Related Party Disclosures"). Remuneration of Directors and senior management is disclosed in the Directors' emoluments report in note 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payments charge</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accordance with IFRS 2 "Share Based Payments," the cost of equity-settled transactions is measured by reference to their fair value at the date at which they are granted. Where equity-settled transactions were entered into with third party service providers, fair value is determined by reference to the value of the services provided. For other equity-settled transactions fair value is determined using the Black-Scholes model. The cost of equity-settled transactions is recognized over the period until the award vests. No expense is recognized for awards that do not ultimately vest. At each reporting date, the cumulative expense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payments charge (Continued)</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recognized for equity-based transactions reflects the extent to which the vesting period has expired and the number of awards that, in the opinion of the Directors at that date, will ultimately vest.</w:t>
      </w:r>
    </w:p>
    <w:p>
      <w:pPr>
        <w:spacing w:after="0" w:line="20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costs of equity-settled share-based payments to employees are recognized in the Statement of Comprehensive Loss, together with a corresponding increase in equity during the vesting period. During the twelve months ended December 31, 2016, the Company recognized a share-based payment expense of £576 thousand (2015: £399 thousand). The charge is included within both general and administrative costs as well as in research and development costs and represents the current year's allocation of the expense for relevant share options.</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grants share options under an Unapproved Share Option Scheme (the "Unapproved Scheme") and under its tax efficient EMI Option Scheme (the "EMI Scheme"). Under the Unapproved Scheme, options are granted to employees, directors and consultants to acquire shares at a price to be determined by the Directors which is typically set at a price that is above the share price at the date of the grant. In general, options are granted at a premium to the share price at the date of grant and vest over a period of three years from the date of the grant in two different methods. The first method is with one half vesting over 24 months and the other half vesting over 36 months. The second method is one third vesting over one year, the second third vesting over two years and the final third vesting over three years. The vesting period is defined as the period between the date of grant and the date when the options become exercisable. The options are exercisable during a period ending ten years after the date of grant. Options also are issued to advisors under the Unapproved Scheme. Such options generally vest immediately and are exercisable between one and two years after grant. Under the EMI Scheme, options are granted to employees and directors who are contracted to work at least 25 hours a week for the Company or for at least 75% of their working time. The options granted under the EMI Scheme are exercisable at a price that is above the share price at the date of the grant and in accordance with a vesting schedule determined by the Directors at the time of grant and have an exercise period of ten years from the date of grant.</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year ended December 31, 2016, the Company granted 32,000 (2015: 102,000) share options under the EMI Scheme and 1,670,000 (2015: 550,000) share options under the Unapproved Scheme. The total fair values were estimated either by reference to the fair value of the services provided in respect of equity-settled transactions that were entered into with third-party service providers, or using the Black-Scholes option-pricing model for other equity-settled transactions and amounted to £1,927 thousand (2015: £371 thousand). The cost is amortized over the vesting period of the options on a straight-line basis.</w:t>
      </w:r>
    </w:p>
    <w:p>
      <w:pPr>
        <w:spacing w:after="0" w:line="21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Prior to the July Placement, management determined to take an option's contractual maximum life as an input into the Black-Scholes option-pricing model. Starting from the July Placement and in line with the continued development of the Company's clinical trials, the Company determined the time to maturity to be used in the valuation model to be better represented by the weighted-average life of the options granted.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payments charge (Continued)</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assumptions were used for the Black-Scholes valuation of share options granted in 2015 and 2016. For the options granted under the Unapproved Scheme the table indicates the ranges used in determining the fair-market values, aligning with the various dates of the underlying grants. The volatility is calculated using historic weekly averages of the Company's share price over a period that is in line with the expected life of the options.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Unapproved</w:t>
            </w:r>
          </w:p>
        </w:tc>
      </w:t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EMI Scheme</w:t>
            </w:r>
          </w:p>
        </w:tc>
        <w:tc>
          <w:tcPr>
            <w:tcW w:w="160" w:type="dxa"/>
            <w:vAlign w:val="bottom"/>
          </w:tcPr>
          <w:p>
            <w:pPr>
              <w:spacing w:after="0"/>
              <w:rPr>
                <w:sz w:val="14"/>
                <w:szCs w:val="14"/>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Scheme</w:t>
            </w:r>
          </w:p>
        </w:tc>
      </w:tr>
      <w:tr>
        <w:trPr>
          <w:trHeight w:val="175"/>
        </w:trPr>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5"/>
                <w:szCs w:val="15"/>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Employees</w:t>
            </w:r>
          </w:p>
        </w:tc>
      </w:tr>
      <w:tr>
        <w:trPr>
          <w:trHeight w:val="196"/>
        </w:trPr>
        <w:tc>
          <w:tcPr>
            <w:tcW w:w="1160" w:type="dxa"/>
            <w:vAlign w:val="bottom"/>
          </w:tcPr>
          <w:p>
            <w:pPr>
              <w:spacing w:after="0"/>
              <w:rPr>
                <w:sz w:val="17"/>
                <w:szCs w:val="17"/>
                <w:color w:val="auto"/>
              </w:rPr>
            </w:pPr>
          </w:p>
        </w:tc>
        <w:tc>
          <w:tcPr>
            <w:tcW w:w="19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Issued in 2015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060" w:type="dxa"/>
            <w:vAlign w:val="bottom"/>
            <w:gridSpan w:val="5"/>
          </w:tcPr>
          <w:p>
            <w:pPr>
              <w:ind w:left="1140"/>
              <w:spacing w:after="0" w:line="202" w:lineRule="exact"/>
              <w:rPr>
                <w:sz w:val="20"/>
                <w:szCs w:val="20"/>
                <w:color w:val="auto"/>
              </w:rPr>
            </w:pPr>
            <w:r>
              <w:rPr>
                <w:rFonts w:ascii="Arial" w:cs="Arial" w:eastAsia="Arial" w:hAnsi="Arial"/>
                <w:sz w:val="18"/>
                <w:szCs w:val="18"/>
                <w:color w:val="auto"/>
              </w:rPr>
              <w:t>Options granted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102,000</w:t>
            </w:r>
          </w:p>
        </w:tc>
        <w:tc>
          <w:tcPr>
            <w:tcW w:w="14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9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7"/>
                <w:szCs w:val="17"/>
                <w:color w:val="auto"/>
              </w:rPr>
            </w:pPr>
          </w:p>
        </w:tc>
      </w:tr>
      <w:tr>
        <w:trPr>
          <w:trHeight w:val="203"/>
        </w:trPr>
        <w:tc>
          <w:tcPr>
            <w:tcW w:w="3060" w:type="dxa"/>
            <w:vAlign w:val="bottom"/>
            <w:gridSpan w:val="5"/>
          </w:tcPr>
          <w:p>
            <w:pPr>
              <w:ind w:left="1140"/>
              <w:spacing w:after="0" w:line="202" w:lineRule="exact"/>
              <w:rPr>
                <w:sz w:val="20"/>
                <w:szCs w:val="20"/>
                <w:color w:val="auto"/>
              </w:rPr>
            </w:pPr>
            <w:r>
              <w:rPr>
                <w:rFonts w:ascii="Arial" w:cs="Arial" w:eastAsia="Arial" w:hAnsi="Arial"/>
                <w:sz w:val="18"/>
                <w:szCs w:val="18"/>
                <w:color w:val="auto"/>
              </w:rPr>
              <w:t>Expected life of options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5"/>
              </w:rPr>
              <w:t>10 years</w:t>
            </w:r>
          </w:p>
        </w:tc>
        <w:tc>
          <w:tcPr>
            <w:tcW w:w="160" w:type="dxa"/>
            <w:vAlign w:val="bottom"/>
          </w:tcPr>
          <w:p>
            <w:pPr>
              <w:spacing w:after="0"/>
              <w:rPr>
                <w:sz w:val="17"/>
                <w:szCs w:val="17"/>
                <w:color w:val="auto"/>
              </w:rPr>
            </w:pPr>
          </w:p>
        </w:tc>
        <w:tc>
          <w:tcPr>
            <w:tcW w:w="13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10 years</w:t>
            </w:r>
          </w:p>
        </w:tc>
      </w:tr>
      <w:tr>
        <w:trPr>
          <w:trHeight w:val="203"/>
        </w:trPr>
        <w:tc>
          <w:tcPr>
            <w:tcW w:w="1160" w:type="dxa"/>
            <w:vAlign w:val="bottom"/>
          </w:tcPr>
          <w:p>
            <w:pPr>
              <w:spacing w:after="0"/>
              <w:rPr>
                <w:sz w:val="17"/>
                <w:szCs w:val="17"/>
                <w:color w:val="auto"/>
              </w:rPr>
            </w:pPr>
          </w:p>
        </w:tc>
        <w:tc>
          <w:tcPr>
            <w:tcW w:w="19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Annualized volatility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20" w:type="dxa"/>
            <w:vAlign w:val="bottom"/>
          </w:tcPr>
          <w:p>
            <w:pPr>
              <w:spacing w:after="0"/>
              <w:rPr>
                <w:sz w:val="17"/>
                <w:szCs w:val="17"/>
                <w:color w:val="auto"/>
              </w:rPr>
            </w:pPr>
          </w:p>
        </w:tc>
      </w:tr>
      <w:tr>
        <w:trPr>
          <w:trHeight w:val="203"/>
        </w:trPr>
        <w:tc>
          <w:tcPr>
            <w:tcW w:w="2200" w:type="dxa"/>
            <w:vAlign w:val="bottom"/>
            <w:gridSpan w:val="4"/>
          </w:tcPr>
          <w:p>
            <w:pPr>
              <w:ind w:left="1140"/>
              <w:spacing w:after="0" w:line="202" w:lineRule="exact"/>
              <w:rPr>
                <w:sz w:val="20"/>
                <w:szCs w:val="20"/>
                <w:color w:val="auto"/>
              </w:rPr>
            </w:pPr>
            <w:r>
              <w:rPr>
                <w:rFonts w:ascii="Arial" w:cs="Arial" w:eastAsia="Arial" w:hAnsi="Arial"/>
                <w:sz w:val="18"/>
                <w:szCs w:val="18"/>
                <w:color w:val="auto"/>
                <w:w w:val="98"/>
              </w:rPr>
              <w:t>Dividend rate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r>
      <w:tr>
        <w:trPr>
          <w:trHeight w:val="419"/>
        </w:trPr>
        <w:tc>
          <w:tcPr>
            <w:tcW w:w="1160" w:type="dxa"/>
            <w:vAlign w:val="bottom"/>
          </w:tcPr>
          <w:p>
            <w:pPr>
              <w:spacing w:after="0"/>
              <w:rPr>
                <w:sz w:val="24"/>
                <w:szCs w:val="24"/>
                <w:color w:val="auto"/>
              </w:rPr>
            </w:pPr>
          </w:p>
        </w:tc>
        <w:tc>
          <w:tcPr>
            <w:tcW w:w="1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Issued in 2016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3060" w:type="dxa"/>
            <w:vAlign w:val="bottom"/>
            <w:gridSpan w:val="5"/>
          </w:tcPr>
          <w:p>
            <w:pPr>
              <w:ind w:left="1140"/>
              <w:spacing w:after="0" w:line="202" w:lineRule="exact"/>
              <w:rPr>
                <w:sz w:val="20"/>
                <w:szCs w:val="20"/>
                <w:color w:val="auto"/>
              </w:rPr>
            </w:pPr>
            <w:r>
              <w:rPr>
                <w:rFonts w:ascii="Arial" w:cs="Arial" w:eastAsia="Arial" w:hAnsi="Arial"/>
                <w:sz w:val="18"/>
                <w:szCs w:val="18"/>
                <w:color w:val="auto"/>
              </w:rPr>
              <w:t>Options granted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32,000</w:t>
            </w:r>
          </w:p>
        </w:tc>
        <w:tc>
          <w:tcPr>
            <w:tcW w:w="14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1,670,000</w:t>
            </w:r>
          </w:p>
        </w:tc>
        <w:tc>
          <w:tcPr>
            <w:tcW w:w="1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9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1.42%   0.23% - 1.42%</w:t>
            </w:r>
          </w:p>
        </w:tc>
        <w:tc>
          <w:tcPr>
            <w:tcW w:w="120" w:type="dxa"/>
            <w:vAlign w:val="bottom"/>
          </w:tcPr>
          <w:p>
            <w:pPr>
              <w:spacing w:after="0"/>
              <w:rPr>
                <w:sz w:val="17"/>
                <w:szCs w:val="17"/>
                <w:color w:val="auto"/>
              </w:rPr>
            </w:pPr>
          </w:p>
        </w:tc>
      </w:tr>
      <w:tr>
        <w:trPr>
          <w:trHeight w:val="203"/>
        </w:trPr>
        <w:tc>
          <w:tcPr>
            <w:tcW w:w="3060" w:type="dxa"/>
            <w:vAlign w:val="bottom"/>
            <w:gridSpan w:val="5"/>
          </w:tcPr>
          <w:p>
            <w:pPr>
              <w:ind w:left="1140"/>
              <w:spacing w:after="0" w:line="202" w:lineRule="exact"/>
              <w:rPr>
                <w:sz w:val="20"/>
                <w:szCs w:val="20"/>
                <w:color w:val="auto"/>
              </w:rPr>
            </w:pPr>
            <w:r>
              <w:rPr>
                <w:rFonts w:ascii="Arial" w:cs="Arial" w:eastAsia="Arial" w:hAnsi="Arial"/>
                <w:sz w:val="18"/>
                <w:szCs w:val="18"/>
                <w:color w:val="auto"/>
              </w:rPr>
              <w:t>Expected life of options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5"/>
              </w:rPr>
              <w:t>10 years</w:t>
            </w:r>
          </w:p>
        </w:tc>
        <w:tc>
          <w:tcPr>
            <w:tcW w:w="160" w:type="dxa"/>
            <w:vAlign w:val="bottom"/>
          </w:tcPr>
          <w:p>
            <w:pPr>
              <w:spacing w:after="0"/>
              <w:rPr>
                <w:sz w:val="17"/>
                <w:szCs w:val="17"/>
                <w:color w:val="auto"/>
              </w:rPr>
            </w:pPr>
          </w:p>
        </w:tc>
        <w:tc>
          <w:tcPr>
            <w:tcW w:w="13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5.5 - 10 years</w:t>
            </w:r>
          </w:p>
        </w:tc>
      </w:tr>
      <w:tr>
        <w:trPr>
          <w:trHeight w:val="203"/>
        </w:trPr>
        <w:tc>
          <w:tcPr>
            <w:tcW w:w="1160" w:type="dxa"/>
            <w:vAlign w:val="bottom"/>
          </w:tcPr>
          <w:p>
            <w:pPr>
              <w:spacing w:after="0"/>
              <w:rPr>
                <w:sz w:val="17"/>
                <w:szCs w:val="17"/>
                <w:color w:val="auto"/>
              </w:rPr>
            </w:pPr>
          </w:p>
        </w:tc>
        <w:tc>
          <w:tcPr>
            <w:tcW w:w="19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Annualized volatility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88.0%</w:t>
            </w:r>
          </w:p>
        </w:tc>
        <w:tc>
          <w:tcPr>
            <w:tcW w:w="14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74.3% - 88.0%</w:t>
            </w:r>
          </w:p>
        </w:tc>
        <w:tc>
          <w:tcPr>
            <w:tcW w:w="120" w:type="dxa"/>
            <w:vAlign w:val="bottom"/>
          </w:tcPr>
          <w:p>
            <w:pPr>
              <w:spacing w:after="0"/>
              <w:rPr>
                <w:sz w:val="17"/>
                <w:szCs w:val="17"/>
                <w:color w:val="auto"/>
              </w:rPr>
            </w:pPr>
          </w:p>
        </w:tc>
      </w:tr>
      <w:tr>
        <w:trPr>
          <w:trHeight w:val="214"/>
        </w:trPr>
        <w:tc>
          <w:tcPr>
            <w:tcW w:w="2200" w:type="dxa"/>
            <w:vAlign w:val="bottom"/>
            <w:gridSpan w:val="4"/>
          </w:tcPr>
          <w:p>
            <w:pPr>
              <w:ind w:left="1140"/>
              <w:spacing w:after="0"/>
              <w:rPr>
                <w:sz w:val="20"/>
                <w:szCs w:val="20"/>
                <w:color w:val="auto"/>
              </w:rPr>
            </w:pPr>
            <w:r>
              <w:rPr>
                <w:rFonts w:ascii="Arial" w:cs="Arial" w:eastAsia="Arial" w:hAnsi="Arial"/>
                <w:sz w:val="18"/>
                <w:szCs w:val="18"/>
                <w:color w:val="auto"/>
                <w:w w:val="98"/>
              </w:rPr>
              <w:t>Dividend rate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r>
      <w:tr>
        <w:trPr>
          <w:trHeight w:val="419"/>
        </w:trPr>
        <w:tc>
          <w:tcPr>
            <w:tcW w:w="7740" w:type="dxa"/>
            <w:vAlign w:val="bottom"/>
            <w:gridSpan w:val="17"/>
          </w:tcPr>
          <w:p>
            <w:pPr>
              <w:spacing w:after="0"/>
              <w:rPr>
                <w:sz w:val="20"/>
                <w:szCs w:val="20"/>
                <w:color w:val="auto"/>
              </w:rPr>
            </w:pPr>
            <w:r>
              <w:rPr>
                <w:rFonts w:ascii="Arial" w:cs="Arial" w:eastAsia="Arial" w:hAnsi="Arial"/>
                <w:sz w:val="18"/>
                <w:szCs w:val="18"/>
                <w:color w:val="auto"/>
                <w:w w:val="99"/>
              </w:rPr>
              <w:t>The Company had the following share options movements in the year ended December 31, 2016:</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4"/>
                <w:szCs w:val="14"/>
                <w:b w:val="1"/>
                <w:bCs w:val="1"/>
                <w:color w:val="auto"/>
              </w:rPr>
              <w:t>At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Options</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Options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Options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200" w:type="dxa"/>
            <w:vAlign w:val="bottom"/>
            <w:gridSpan w:val="4"/>
          </w:tcPr>
          <w:p>
            <w:pPr>
              <w:ind w:left="1140"/>
              <w:spacing w:after="0"/>
              <w:rPr>
                <w:sz w:val="20"/>
                <w:szCs w:val="20"/>
                <w:color w:val="auto"/>
              </w:rPr>
            </w:pPr>
            <w:r>
              <w:rPr>
                <w:rFonts w:ascii="Arial" w:cs="Arial" w:eastAsia="Arial" w:hAnsi="Arial"/>
                <w:sz w:val="14"/>
                <w:szCs w:val="14"/>
                <w:b w:val="1"/>
                <w:bCs w:val="1"/>
                <w:color w:val="auto"/>
              </w:rPr>
              <w:t>Year of issue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b w:val="1"/>
                <w:bCs w:val="1"/>
                <w:color w:val="auto"/>
              </w:rPr>
              <w:t>granted</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exercised</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forfeited</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expired</w:t>
            </w: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Expiry date</w:t>
            </w: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5"/>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September 18,</w:t>
            </w: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2.50</w:t>
            </w:r>
          </w:p>
        </w:tc>
        <w:tc>
          <w:tcPr>
            <w:tcW w:w="9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(160,000)</w:t>
            </w:r>
          </w:p>
        </w:tc>
        <w:tc>
          <w:tcPr>
            <w:tcW w:w="11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7"/>
                <w:szCs w:val="17"/>
                <w:color w:val="auto"/>
              </w:rPr>
            </w:pPr>
          </w:p>
        </w:tc>
      </w:tr>
      <w:tr>
        <w:trPr>
          <w:trHeight w:val="203"/>
        </w:trPr>
        <w:tc>
          <w:tcPr>
            <w:tcW w:w="204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2012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7"/>
              </w:rPr>
              <w:t>2.50 - 7.50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June 1,</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January 31,</w:t>
            </w: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2.40</w:t>
            </w:r>
          </w:p>
        </w:tc>
        <w:tc>
          <w:tcPr>
            <w:tcW w:w="9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w w:val="99"/>
              </w:rPr>
              <w:t>2016**</w:t>
            </w:r>
          </w:p>
        </w:tc>
        <w:tc>
          <w:tcPr>
            <w:tcW w:w="120" w:type="dxa"/>
            <w:vAlign w:val="bottom"/>
            <w:shd w:val="clear" w:color="auto" w:fill="CCEEFF"/>
          </w:tcPr>
          <w:p>
            <w:pPr>
              <w:spacing w:after="0"/>
              <w:rPr>
                <w:sz w:val="17"/>
                <w:szCs w:val="17"/>
                <w:color w:val="auto"/>
              </w:rPr>
            </w:pPr>
          </w:p>
        </w:tc>
      </w:tr>
      <w:tr>
        <w:trPr>
          <w:trHeight w:val="203"/>
        </w:trPr>
        <w:tc>
          <w:tcPr>
            <w:tcW w:w="204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2013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April 15,</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June 1, 2023***</w:t>
            </w:r>
          </w:p>
        </w:tc>
      </w:tr>
      <w:tr>
        <w:trPr>
          <w:trHeight w:val="203"/>
        </w:trPr>
        <w:tc>
          <w:tcPr>
            <w:tcW w:w="204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2013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9"/>
              </w:rPr>
              <w:t>July 29,</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89"/>
              </w:rPr>
              <w:t>2014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May 15,</w:t>
            </w:r>
          </w:p>
        </w:tc>
        <w:tc>
          <w:tcPr>
            <w:tcW w:w="4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89"/>
              </w:rPr>
              <w:t>2024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4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70,000</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(6,667)</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63,333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jc w:val="center"/>
              <w:ind w:right="80"/>
              <w:spacing w:after="0" w:line="202" w:lineRule="exact"/>
              <w:rPr>
                <w:sz w:val="20"/>
                <w:szCs w:val="20"/>
                <w:color w:val="auto"/>
              </w:rPr>
            </w:pPr>
            <w:r>
              <w:rPr>
                <w:rFonts w:ascii="Arial" w:cs="Arial" w:eastAsia="Arial" w:hAnsi="Arial"/>
                <w:sz w:val="18"/>
                <w:szCs w:val="18"/>
                <w:color w:val="auto"/>
                <w:w w:val="96"/>
              </w:rPr>
              <w:t>May 15, 2024***</w:t>
            </w:r>
          </w:p>
        </w:tc>
      </w:tr>
      <w:tr>
        <w:trPr>
          <w:trHeight w:val="206"/>
        </w:trPr>
        <w:tc>
          <w:tcPr>
            <w:tcW w:w="11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5"/>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September 26,</w:t>
            </w: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1.10</w:t>
            </w:r>
          </w:p>
        </w:tc>
        <w:tc>
          <w:tcPr>
            <w:tcW w:w="9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(40,000)</w:t>
            </w:r>
          </w:p>
        </w:tc>
        <w:tc>
          <w:tcPr>
            <w:tcW w:w="90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(80,000)</w:t>
            </w:r>
          </w:p>
        </w:tc>
        <w:tc>
          <w:tcPr>
            <w:tcW w:w="9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40"/>
              <w:spacing w:after="0" w:line="200" w:lineRule="exact"/>
              <w:rPr>
                <w:sz w:val="20"/>
                <w:szCs w:val="20"/>
                <w:color w:val="auto"/>
              </w:rPr>
            </w:pPr>
            <w:r>
              <w:rPr>
                <w:rFonts w:ascii="Arial" w:cs="Arial" w:eastAsia="Arial" w:hAnsi="Arial"/>
                <w:sz w:val="18"/>
                <w:szCs w:val="18"/>
                <w:color w:val="auto"/>
              </w:rPr>
              <w:t>2024***</w:t>
            </w:r>
          </w:p>
        </w:tc>
      </w:tr>
      <w:tr>
        <w:trPr>
          <w:trHeight w:val="206"/>
        </w:trPr>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jc w:val="right"/>
              <w:ind w:right="300"/>
              <w:spacing w:after="0" w:line="206" w:lineRule="exact"/>
              <w:rPr>
                <w:sz w:val="20"/>
                <w:szCs w:val="20"/>
                <w:color w:val="auto"/>
              </w:rPr>
            </w:pPr>
            <w:r>
              <w:rPr>
                <w:rFonts w:ascii="Arial" w:cs="Arial" w:eastAsia="Arial" w:hAnsi="Arial"/>
                <w:sz w:val="18"/>
                <w:szCs w:val="18"/>
                <w:color w:val="auto"/>
              </w:rPr>
              <w:t>August 6,</w:t>
            </w:r>
          </w:p>
        </w:tc>
      </w:tr>
      <w:tr>
        <w:trPr>
          <w:trHeight w:val="199"/>
        </w:trPr>
        <w:tc>
          <w:tcPr>
            <w:tcW w:w="2040" w:type="dxa"/>
            <w:vAlign w:val="bottom"/>
            <w:gridSpan w:val="2"/>
          </w:tcPr>
          <w:p>
            <w:pPr>
              <w:jc w:val="right"/>
              <w:ind w:right="412"/>
              <w:spacing w:after="0" w:line="200"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w w:val="97"/>
              </w:rPr>
              <w:t>1.10 - 1.75</w:t>
            </w:r>
          </w:p>
        </w:tc>
        <w:tc>
          <w:tcPr>
            <w:tcW w:w="9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gridSpan w:val="3"/>
          </w:tcPr>
          <w:p>
            <w:pPr>
              <w:ind w:left="40"/>
              <w:spacing w:after="0" w:line="200" w:lineRule="exact"/>
              <w:rPr>
                <w:sz w:val="20"/>
                <w:szCs w:val="20"/>
                <w:color w:val="auto"/>
              </w:rPr>
            </w:pPr>
            <w:r>
              <w:rPr>
                <w:rFonts w:ascii="Arial" w:cs="Arial" w:eastAsia="Arial" w:hAnsi="Arial"/>
                <w:sz w:val="18"/>
                <w:szCs w:val="18"/>
                <w:color w:val="auto"/>
                <w:w w:val="96"/>
              </w:rPr>
              <w:t>2018****</w:t>
            </w:r>
          </w:p>
        </w:tc>
      </w:tr>
      <w:tr>
        <w:trPr>
          <w:trHeight w:val="206"/>
        </w:trPr>
        <w:tc>
          <w:tcPr>
            <w:tcW w:w="11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January 29,</w:t>
            </w: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1.25</w:t>
            </w:r>
          </w:p>
        </w:tc>
        <w:tc>
          <w:tcPr>
            <w:tcW w:w="9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102,000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(6,666)</w:t>
            </w:r>
          </w:p>
        </w:tc>
        <w:tc>
          <w:tcPr>
            <w:tcW w:w="90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(13,334)</w:t>
            </w:r>
          </w:p>
        </w:tc>
        <w:tc>
          <w:tcPr>
            <w:tcW w:w="9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82,000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40"/>
              <w:spacing w:after="0" w:line="200" w:lineRule="exact"/>
              <w:rPr>
                <w:sz w:val="20"/>
                <w:szCs w:val="20"/>
                <w:color w:val="auto"/>
              </w:rPr>
            </w:pPr>
            <w:r>
              <w:rPr>
                <w:rFonts w:ascii="Arial" w:cs="Arial" w:eastAsia="Arial" w:hAnsi="Arial"/>
                <w:sz w:val="18"/>
                <w:szCs w:val="18"/>
                <w:color w:val="auto"/>
              </w:rPr>
              <w:t>2025***</w:t>
            </w:r>
          </w:p>
        </w:tc>
      </w:tr>
      <w:tr>
        <w:trPr>
          <w:trHeight w:val="206"/>
        </w:trPr>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jc w:val="right"/>
              <w:ind w:right="300"/>
              <w:spacing w:after="0" w:line="206" w:lineRule="exact"/>
              <w:rPr>
                <w:sz w:val="20"/>
                <w:szCs w:val="20"/>
                <w:color w:val="auto"/>
              </w:rPr>
            </w:pPr>
            <w:r>
              <w:rPr>
                <w:rFonts w:ascii="Arial" w:cs="Arial" w:eastAsia="Arial" w:hAnsi="Arial"/>
                <w:sz w:val="18"/>
                <w:szCs w:val="18"/>
                <w:color w:val="auto"/>
              </w:rPr>
              <w:t>January 29,</w:t>
            </w:r>
          </w:p>
        </w:tc>
      </w:tr>
      <w:tr>
        <w:trPr>
          <w:trHeight w:val="199"/>
        </w:trPr>
        <w:tc>
          <w:tcPr>
            <w:tcW w:w="2040" w:type="dxa"/>
            <w:vAlign w:val="bottom"/>
            <w:gridSpan w:val="2"/>
          </w:tcPr>
          <w:p>
            <w:pPr>
              <w:jc w:val="right"/>
              <w:ind w:right="412"/>
              <w:spacing w:after="0" w:line="200"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1.25</w:t>
            </w:r>
          </w:p>
        </w:tc>
        <w:tc>
          <w:tcPr>
            <w:tcW w:w="9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(40,000)</w:t>
            </w:r>
          </w:p>
        </w:tc>
        <w:tc>
          <w:tcPr>
            <w:tcW w:w="9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510,000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ind w:left="40"/>
              <w:spacing w:after="0" w:line="200" w:lineRule="exact"/>
              <w:rPr>
                <w:sz w:val="20"/>
                <w:szCs w:val="20"/>
                <w:color w:val="auto"/>
              </w:rPr>
            </w:pPr>
            <w:r>
              <w:rPr>
                <w:rFonts w:ascii="Arial" w:cs="Arial" w:eastAsia="Arial" w:hAnsi="Arial"/>
                <w:sz w:val="18"/>
                <w:szCs w:val="18"/>
                <w:color w:val="auto"/>
                <w:w w:val="89"/>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February 2,</w:t>
            </w: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260,000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260,000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w w:val="89"/>
              </w:rPr>
              <w:t>2026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jc w:val="right"/>
              <w:ind w:right="300"/>
              <w:spacing w:after="0" w:line="206" w:lineRule="exact"/>
              <w:rPr>
                <w:sz w:val="20"/>
                <w:szCs w:val="20"/>
                <w:color w:val="auto"/>
              </w:rPr>
            </w:pPr>
            <w:r>
              <w:rPr>
                <w:rFonts w:ascii="Arial" w:cs="Arial" w:eastAsia="Arial" w:hAnsi="Arial"/>
                <w:sz w:val="18"/>
                <w:szCs w:val="18"/>
                <w:color w:val="auto"/>
              </w:rPr>
              <w:t>February 2,</w:t>
            </w:r>
          </w:p>
        </w:tc>
      </w:tr>
      <w:tr>
        <w:trPr>
          <w:trHeight w:val="199"/>
        </w:trPr>
        <w:tc>
          <w:tcPr>
            <w:tcW w:w="2040" w:type="dxa"/>
            <w:vAlign w:val="bottom"/>
            <w:gridSpan w:val="2"/>
          </w:tcPr>
          <w:p>
            <w:pPr>
              <w:jc w:val="right"/>
              <w:ind w:right="412"/>
              <w:spacing w:after="0" w:line="200"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32,000</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(10,000)</w:t>
            </w:r>
          </w:p>
        </w:tc>
        <w:tc>
          <w:tcPr>
            <w:tcW w:w="9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22,000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gridSpan w:val="3"/>
          </w:tcPr>
          <w:p>
            <w:pPr>
              <w:ind w:left="40"/>
              <w:spacing w:after="0" w:line="200" w:lineRule="exact"/>
              <w:rPr>
                <w:sz w:val="20"/>
                <w:szCs w:val="20"/>
                <w:color w:val="auto"/>
              </w:rPr>
            </w:pPr>
            <w:r>
              <w:rPr>
                <w:rFonts w:ascii="Arial" w:cs="Arial" w:eastAsia="Arial" w:hAnsi="Arial"/>
                <w:sz w:val="18"/>
                <w:szCs w:val="18"/>
                <w:color w:val="auto"/>
              </w:rPr>
              <w:t>2026***</w:t>
            </w:r>
          </w:p>
        </w:tc>
      </w:tr>
      <w:tr>
        <w:trPr>
          <w:trHeight w:val="206"/>
        </w:trPr>
        <w:tc>
          <w:tcPr>
            <w:tcW w:w="11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August 3,</w:t>
            </w: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810,000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810,000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w w:val="89"/>
              </w:rPr>
              <w:t>2026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5"/>
          </w:tcPr>
          <w:p>
            <w:pPr>
              <w:jc w:val="right"/>
              <w:ind w:right="300"/>
              <w:spacing w:after="0" w:line="206" w:lineRule="exact"/>
              <w:rPr>
                <w:sz w:val="20"/>
                <w:szCs w:val="20"/>
                <w:color w:val="auto"/>
              </w:rPr>
            </w:pPr>
            <w:r>
              <w:rPr>
                <w:rFonts w:ascii="Arial" w:cs="Arial" w:eastAsia="Arial" w:hAnsi="Arial"/>
                <w:sz w:val="18"/>
                <w:szCs w:val="18"/>
                <w:color w:val="auto"/>
              </w:rPr>
              <w:t>September 13,</w:t>
            </w:r>
          </w:p>
        </w:tc>
      </w:tr>
      <w:tr>
        <w:trPr>
          <w:trHeight w:val="199"/>
        </w:trPr>
        <w:tc>
          <w:tcPr>
            <w:tcW w:w="2040" w:type="dxa"/>
            <w:vAlign w:val="bottom"/>
            <w:gridSpan w:val="2"/>
          </w:tcPr>
          <w:p>
            <w:pPr>
              <w:jc w:val="right"/>
              <w:ind w:right="412"/>
              <w:spacing w:after="0" w:line="200"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ind w:left="40"/>
              <w:spacing w:after="0" w:line="200" w:lineRule="exact"/>
              <w:rPr>
                <w:sz w:val="20"/>
                <w:szCs w:val="20"/>
                <w:color w:val="auto"/>
              </w:rPr>
            </w:pPr>
            <w:r>
              <w:rPr>
                <w:rFonts w:ascii="Arial" w:cs="Arial" w:eastAsia="Arial" w:hAnsi="Arial"/>
                <w:sz w:val="18"/>
                <w:szCs w:val="18"/>
                <w:color w:val="auto"/>
                <w:w w:val="89"/>
              </w:rPr>
              <w:t>2026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5"/>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September 16,</w:t>
            </w:r>
          </w:p>
        </w:tc>
      </w:tr>
      <w:tr>
        <w:trPr>
          <w:trHeight w:val="199"/>
        </w:trPr>
        <w:tc>
          <w:tcPr>
            <w:tcW w:w="1160" w:type="dxa"/>
            <w:vAlign w:val="bottom"/>
          </w:tcPr>
          <w:p>
            <w:pPr>
              <w:spacing w:after="0"/>
              <w:rPr>
                <w:sz w:val="17"/>
                <w:szCs w:val="17"/>
                <w:color w:val="auto"/>
              </w:rPr>
            </w:pPr>
          </w:p>
        </w:tc>
        <w:tc>
          <w:tcPr>
            <w:tcW w:w="880" w:type="dxa"/>
            <w:vAlign w:val="bottom"/>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w w:val="89"/>
              </w:rPr>
              <w:t>2016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w w:val="89"/>
              </w:rPr>
              <w:t>2026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1,792,000</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1,702,000</w:t>
            </w:r>
          </w:p>
        </w:tc>
        <w:tc>
          <w:tcPr>
            <w:tcW w:w="94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(46,666)</w:t>
            </w:r>
          </w:p>
        </w:tc>
        <w:tc>
          <w:tcPr>
            <w:tcW w:w="9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(150,001)</w:t>
            </w:r>
          </w:p>
        </w:tc>
        <w:tc>
          <w:tcPr>
            <w:tcW w:w="9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(260,000)</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3,037,333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right="340" w:hanging="531"/>
        <w:spacing w:after="0" w:line="258" w:lineRule="auto"/>
        <w:tabs>
          <w:tab w:leader="none" w:pos="168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200,000 directors' options with an expiry date on September 18, 2011 were extended for five years to September 18, 2016 (40,000 of these options expired during 2015)</w:t>
      </w:r>
    </w:p>
    <w:p>
      <w:pPr>
        <w:sectPr>
          <w:pgSz w:w="11900" w:h="16838" w:orient="portrait"/>
          <w:cols w:equalWidth="0" w:num="1">
            <w:col w:w="11400"/>
          </w:cols>
          <w:pgMar w:left="240" w:top="143" w:right="259"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ind w:left="300" w:hanging="292"/>
        <w:spacing w:after="0"/>
        <w:tabs>
          <w:tab w:leader="none" w:pos="3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charge (Continued)</w:t>
      </w:r>
    </w:p>
    <w:p>
      <w:pPr>
        <w:spacing w:after="0" w:line="235" w:lineRule="exact"/>
        <w:rPr>
          <w:rFonts w:ascii="Arial" w:cs="Arial" w:eastAsia="Arial" w:hAnsi="Arial"/>
          <w:sz w:val="18"/>
          <w:szCs w:val="18"/>
          <w:b w:val="1"/>
          <w:bCs w:val="1"/>
          <w:color w:val="auto"/>
        </w:rPr>
      </w:pPr>
    </w:p>
    <w:p>
      <w:pPr>
        <w:ind w:left="1680" w:hanging="531"/>
        <w:spacing w:after="0"/>
        <w:tabs>
          <w:tab w:leader="none" w:pos="1680" w:val="left"/>
        </w:tabs>
        <w:numPr>
          <w:ilvl w:val="1"/>
          <w:numId w:val="164"/>
        </w:numPr>
        <w:rPr>
          <w:rFonts w:ascii="Arial" w:cs="Arial" w:eastAsia="Arial" w:hAnsi="Arial"/>
          <w:sz w:val="14"/>
          <w:szCs w:val="14"/>
          <w:color w:val="auto"/>
        </w:rPr>
      </w:pPr>
      <w:r>
        <w:rPr>
          <w:rFonts w:ascii="Arial" w:cs="Arial" w:eastAsia="Arial" w:hAnsi="Arial"/>
          <w:sz w:val="14"/>
          <w:szCs w:val="14"/>
          <w:color w:val="auto"/>
        </w:rPr>
        <w:t>Options granted to agents upon closing of a placing or financing facility.</w:t>
      </w:r>
    </w:p>
    <w:p>
      <w:pPr>
        <w:spacing w:after="0" w:line="163" w:lineRule="exact"/>
        <w:rPr>
          <w:rFonts w:ascii="Arial" w:cs="Arial" w:eastAsia="Arial" w:hAnsi="Arial"/>
          <w:sz w:val="14"/>
          <w:szCs w:val="14"/>
          <w:color w:val="auto"/>
        </w:rPr>
      </w:pPr>
    </w:p>
    <w:p>
      <w:pPr>
        <w:ind w:left="1680" w:hanging="531"/>
        <w:spacing w:after="0"/>
        <w:tabs>
          <w:tab w:leader="none" w:pos="168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Options granted under the EMI Scheme.</w:t>
      </w:r>
    </w:p>
    <w:p>
      <w:pPr>
        <w:spacing w:after="0" w:line="163" w:lineRule="exact"/>
        <w:rPr>
          <w:rFonts w:ascii="Arial" w:cs="Arial" w:eastAsia="Arial" w:hAnsi="Arial"/>
          <w:sz w:val="14"/>
          <w:szCs w:val="14"/>
          <w:color w:val="auto"/>
        </w:rPr>
      </w:pPr>
    </w:p>
    <w:p>
      <w:pPr>
        <w:ind w:left="1680" w:hanging="531"/>
        <w:spacing w:after="0"/>
        <w:tabs>
          <w:tab w:leader="none" w:pos="168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Valued based on fair value of services received.</w:t>
      </w:r>
    </w:p>
    <w:p>
      <w:pPr>
        <w:spacing w:after="0" w:line="216"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average fair value at grant date, by year of grant and plan, of the exercisable options as per December 31, 2016 is presented in the below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Unapproved</w:t>
            </w:r>
          </w:p>
        </w:tc>
      </w:tr>
      <w:tr>
        <w:trPr>
          <w:trHeight w:val="175"/>
        </w:trPr>
        <w:tc>
          <w:tcPr>
            <w:tcW w:w="6080" w:type="dxa"/>
            <w:vAlign w:val="bottom"/>
            <w:gridSpan w:val="4"/>
          </w:tcPr>
          <w:p>
            <w:pPr>
              <w:ind w:left="1140"/>
              <w:spacing w:after="0"/>
              <w:rPr>
                <w:sz w:val="20"/>
                <w:szCs w:val="20"/>
                <w:color w:val="auto"/>
              </w:rPr>
            </w:pPr>
            <w:r>
              <w:rPr>
                <w:rFonts w:ascii="Arial" w:cs="Arial" w:eastAsia="Arial" w:hAnsi="Arial"/>
                <w:sz w:val="14"/>
                <w:szCs w:val="14"/>
                <w:b w:val="1"/>
                <w:bCs w:val="1"/>
                <w:color w:val="auto"/>
              </w:rPr>
              <w:t>Year of issue</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EMI Scheme</w:t>
            </w:r>
          </w:p>
        </w:tc>
        <w:tc>
          <w:tcPr>
            <w:tcW w:w="160" w:type="dxa"/>
            <w:vAlign w:val="bottom"/>
          </w:tcPr>
          <w:p>
            <w:pPr>
              <w:spacing w:after="0"/>
              <w:rPr>
                <w:sz w:val="15"/>
                <w:szCs w:val="15"/>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Scheme</w:t>
            </w:r>
          </w:p>
        </w:tc>
      </w:tr>
      <w:tr>
        <w:trPr>
          <w:trHeight w:val="196"/>
        </w:trPr>
        <w:tc>
          <w:tcPr>
            <w:tcW w:w="1160" w:type="dxa"/>
            <w:vAlign w:val="bottom"/>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w w:val="89"/>
              </w:rPr>
              <w:t>2012</w:t>
            </w:r>
          </w:p>
        </w:tc>
        <w:tc>
          <w:tcPr>
            <w:tcW w:w="4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0.63 - 1.20</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03"/>
        </w:trPr>
        <w:tc>
          <w:tcPr>
            <w:tcW w:w="20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2013</w:t>
            </w:r>
          </w:p>
        </w:tc>
        <w:tc>
          <w:tcPr>
            <w:tcW w:w="4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0.79 - 0.95</w:t>
            </w: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8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89"/>
              </w:rPr>
              <w:t>2014</w:t>
            </w:r>
          </w:p>
        </w:tc>
        <w:tc>
          <w:tcPr>
            <w:tcW w:w="4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0.23 - 0.76</w:t>
            </w:r>
          </w:p>
        </w:tc>
        <w:tc>
          <w:tcPr>
            <w:tcW w:w="160" w:type="dxa"/>
            <w:vAlign w:val="bottom"/>
            <w:shd w:val="clear" w:color="auto" w:fill="CCEEFF"/>
          </w:tcPr>
          <w:p>
            <w:pPr>
              <w:spacing w:after="0"/>
              <w:rPr>
                <w:sz w:val="17"/>
                <w:szCs w:val="17"/>
                <w:color w:val="auto"/>
              </w:rPr>
            </w:pPr>
          </w:p>
        </w:tc>
      </w:tr>
      <w:tr>
        <w:trPr>
          <w:trHeight w:val="203"/>
        </w:trPr>
        <w:tc>
          <w:tcPr>
            <w:tcW w:w="20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2015</w:t>
            </w:r>
          </w:p>
        </w:tc>
        <w:tc>
          <w:tcPr>
            <w:tcW w:w="4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8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89"/>
              </w:rPr>
              <w:t>2016</w:t>
            </w:r>
          </w:p>
        </w:tc>
        <w:tc>
          <w:tcPr>
            <w:tcW w:w="4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0.93 - 1.35</w:t>
            </w:r>
          </w:p>
        </w:tc>
        <w:tc>
          <w:tcPr>
            <w:tcW w:w="160" w:type="dxa"/>
            <w:vAlign w:val="bottom"/>
            <w:shd w:val="clear" w:color="auto" w:fill="CCEEFF"/>
          </w:tcPr>
          <w:p>
            <w:pPr>
              <w:spacing w:after="0"/>
              <w:rPr>
                <w:sz w:val="17"/>
                <w:szCs w:val="17"/>
                <w:color w:val="auto"/>
              </w:rPr>
            </w:pPr>
          </w:p>
        </w:tc>
      </w:tr>
      <w:tr>
        <w:trPr>
          <w:trHeight w:val="430"/>
        </w:trPr>
        <w:tc>
          <w:tcPr>
            <w:tcW w:w="7080" w:type="dxa"/>
            <w:vAlign w:val="bottom"/>
            <w:gridSpan w:val="5"/>
          </w:tcPr>
          <w:p>
            <w:pPr>
              <w:jc w:val="right"/>
              <w:ind w:right="696"/>
              <w:spacing w:after="0"/>
              <w:rPr>
                <w:sz w:val="20"/>
                <w:szCs w:val="20"/>
                <w:color w:val="auto"/>
              </w:rPr>
            </w:pPr>
            <w:r>
              <w:rPr>
                <w:rFonts w:ascii="Arial" w:cs="Arial" w:eastAsia="Arial" w:hAnsi="Arial"/>
                <w:sz w:val="18"/>
                <w:szCs w:val="18"/>
                <w:color w:val="auto"/>
                <w:w w:val="97"/>
              </w:rPr>
              <w:t>Outstanding and exercisable share options by scheme as of December 31, 2016: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exercise</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r>
      <w:tr>
        <w:trPr>
          <w:trHeight w:val="162"/>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 for</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 for</w:t>
            </w:r>
          </w:p>
        </w:tc>
      </w:tr>
      <w:tr>
        <w:trPr>
          <w:trHeight w:val="175"/>
        </w:trPr>
        <w:tc>
          <w:tcPr>
            <w:tcW w:w="6080" w:type="dxa"/>
            <w:vAlign w:val="bottom"/>
            <w:gridSpan w:val="4"/>
          </w:tcPr>
          <w:p>
            <w:pPr>
              <w:ind w:left="1140"/>
              <w:spacing w:after="0"/>
              <w:rPr>
                <w:sz w:val="20"/>
                <w:szCs w:val="20"/>
                <w:color w:val="auto"/>
              </w:rPr>
            </w:pPr>
            <w:r>
              <w:rPr>
                <w:rFonts w:ascii="Arial" w:cs="Arial" w:eastAsia="Arial" w:hAnsi="Arial"/>
                <w:sz w:val="14"/>
                <w:szCs w:val="14"/>
                <w:b w:val="1"/>
                <w:bCs w:val="1"/>
                <w:color w:val="auto"/>
              </w:rPr>
              <w:t>Plan</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5"/>
                <w:szCs w:val="15"/>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Exercisable</w:t>
            </w: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9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Unapproved</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2,790,000</w:t>
            </w:r>
          </w:p>
        </w:tc>
        <w:tc>
          <w:tcPr>
            <w:tcW w:w="10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616,667</w:t>
            </w:r>
          </w:p>
        </w:tc>
        <w:tc>
          <w:tcPr>
            <w:tcW w:w="10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1,78</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7"/>
                <w:szCs w:val="17"/>
                <w:color w:val="auto"/>
              </w:rPr>
            </w:pPr>
          </w:p>
        </w:tc>
      </w:tr>
      <w:tr>
        <w:trPr>
          <w:trHeight w:val="203"/>
        </w:trPr>
        <w:tc>
          <w:tcPr>
            <w:tcW w:w="6080" w:type="dxa"/>
            <w:vAlign w:val="bottom"/>
            <w:gridSpan w:val="4"/>
          </w:tcPr>
          <w:p>
            <w:pPr>
              <w:ind w:left="1140"/>
              <w:spacing w:after="0" w:line="202" w:lineRule="exact"/>
              <w:rPr>
                <w:sz w:val="20"/>
                <w:szCs w:val="20"/>
                <w:color w:val="auto"/>
              </w:rPr>
            </w:pPr>
            <w:r>
              <w:rPr>
                <w:rFonts w:ascii="Arial" w:cs="Arial" w:eastAsia="Arial" w:hAnsi="Arial"/>
                <w:sz w:val="18"/>
                <w:szCs w:val="18"/>
                <w:color w:val="auto"/>
              </w:rPr>
              <w:t>EMI</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247,333</w:t>
            </w:r>
          </w:p>
        </w:tc>
        <w:tc>
          <w:tcPr>
            <w:tcW w:w="160" w:type="dxa"/>
            <w:vAlign w:val="bottom"/>
          </w:tcPr>
          <w:p>
            <w:pPr>
              <w:spacing w:after="0"/>
              <w:rPr>
                <w:sz w:val="17"/>
                <w:szCs w:val="17"/>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180,666</w:t>
            </w: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2.90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3.37</w:t>
            </w:r>
          </w:p>
        </w:tc>
        <w:tc>
          <w:tcPr>
            <w:tcW w:w="1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9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3,037,333</w:t>
            </w:r>
          </w:p>
        </w:tc>
        <w:tc>
          <w:tcPr>
            <w:tcW w:w="10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797,333</w:t>
            </w:r>
          </w:p>
        </w:tc>
        <w:tc>
          <w:tcPr>
            <w:tcW w:w="10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options outstanding at December 31, 2016 had a weighted average remaining contractual life of 8.2 years (2015: 6.6 years). For 2015 and 2016, the number of options granted and expired and the weighted average exercise price of options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25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11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2015</w:t>
            </w:r>
          </w:p>
        </w:tc>
        <w:tc>
          <w:tcPr>
            <w:tcW w:w="4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1,203,114</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580" w:type="dxa"/>
            <w:vAlign w:val="bottom"/>
          </w:tcPr>
          <w:p>
            <w:pPr>
              <w:ind w:left="160"/>
              <w:spacing w:after="0" w:line="196" w:lineRule="exact"/>
              <w:rPr>
                <w:sz w:val="20"/>
                <w:szCs w:val="20"/>
                <w:color w:val="auto"/>
              </w:rPr>
            </w:pPr>
            <w:r>
              <w:rPr>
                <w:rFonts w:ascii="Arial" w:cs="Arial" w:eastAsia="Arial" w:hAnsi="Arial"/>
                <w:sz w:val="18"/>
                <w:szCs w:val="18"/>
                <w:color w:val="auto"/>
              </w:rPr>
              <w:t>Options granted in 2015:</w:t>
            </w:r>
          </w:p>
        </w:tc>
        <w:tc>
          <w:tcPr>
            <w:tcW w:w="30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Employees</w:t>
            </w:r>
          </w:p>
        </w:tc>
        <w:tc>
          <w:tcPr>
            <w:tcW w:w="4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312,000</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tcPr>
          <w:p>
            <w:pPr>
              <w:ind w:left="340"/>
              <w:spacing w:after="0" w:line="202" w:lineRule="exact"/>
              <w:rPr>
                <w:sz w:val="20"/>
                <w:szCs w:val="20"/>
                <w:color w:val="auto"/>
              </w:rPr>
            </w:pPr>
            <w:r>
              <w:rPr>
                <w:rFonts w:ascii="Arial" w:cs="Arial" w:eastAsia="Arial" w:hAnsi="Arial"/>
                <w:sz w:val="18"/>
                <w:szCs w:val="18"/>
                <w:color w:val="auto"/>
              </w:rPr>
              <w:t>Directors</w:t>
            </w:r>
          </w:p>
        </w:tc>
        <w:tc>
          <w:tcPr>
            <w:tcW w:w="4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340,000</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expired in the year</w:t>
            </w:r>
          </w:p>
        </w:tc>
        <w:tc>
          <w:tcPr>
            <w:tcW w:w="30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(63,114)</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58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2015</w:t>
            </w:r>
          </w:p>
        </w:tc>
        <w:tc>
          <w:tcPr>
            <w:tcW w:w="30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1,792,000</w:t>
            </w: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5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Exercisable at December 31, 2015</w:t>
            </w:r>
          </w:p>
        </w:tc>
        <w:tc>
          <w:tcPr>
            <w:tcW w:w="30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846,666</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160" w:type="dxa"/>
            <w:vAlign w:val="bottom"/>
            <w:gridSpan w:val="3"/>
          </w:tcPr>
          <w:p>
            <w:pPr>
              <w:jc w:val="right"/>
              <w:ind w:right="3000"/>
              <w:spacing w:after="0"/>
              <w:rPr>
                <w:sz w:val="20"/>
                <w:szCs w:val="20"/>
                <w:color w:val="auto"/>
              </w:rPr>
            </w:pPr>
            <w:r>
              <w:rPr>
                <w:rFonts w:ascii="Arial" w:cs="Arial" w:eastAsia="Arial" w:hAnsi="Arial"/>
                <w:sz w:val="18"/>
                <w:szCs w:val="18"/>
                <w:color w:val="auto"/>
              </w:rPr>
              <w:t>F-35</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30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payments charge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1,792,000</w:t>
            </w:r>
          </w:p>
        </w:tc>
        <w:tc>
          <w:tcPr>
            <w:tcW w:w="16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0" w:type="dxa"/>
            <w:vAlign w:val="bottom"/>
          </w:tcPr>
          <w:p>
            <w:pPr>
              <w:ind w:left="160"/>
              <w:spacing w:after="0" w:line="196" w:lineRule="exact"/>
              <w:rPr>
                <w:sz w:val="20"/>
                <w:szCs w:val="20"/>
                <w:color w:val="auto"/>
              </w:rPr>
            </w:pPr>
            <w:r>
              <w:rPr>
                <w:rFonts w:ascii="Arial" w:cs="Arial" w:eastAsia="Arial" w:hAnsi="Arial"/>
                <w:sz w:val="18"/>
                <w:szCs w:val="18"/>
                <w:color w:val="auto"/>
              </w:rPr>
              <w:t>Options granted in 2016:</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Employees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1,002,000</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40"/>
              <w:spacing w:after="0" w:line="202" w:lineRule="exact"/>
              <w:rPr>
                <w:sz w:val="20"/>
                <w:szCs w:val="20"/>
                <w:color w:val="auto"/>
              </w:rPr>
            </w:pPr>
            <w:r>
              <w:rPr>
                <w:rFonts w:ascii="Arial" w:cs="Arial" w:eastAsia="Arial" w:hAnsi="Arial"/>
                <w:sz w:val="18"/>
                <w:szCs w:val="18"/>
                <w:color w:val="auto"/>
              </w:rPr>
              <w:t>Directors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700,000</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exercised in the year</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(46,666)</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160"/>
              <w:spacing w:after="0" w:line="202" w:lineRule="exact"/>
              <w:rPr>
                <w:sz w:val="20"/>
                <w:szCs w:val="20"/>
                <w:color w:val="auto"/>
              </w:rPr>
            </w:pPr>
            <w:r>
              <w:rPr>
                <w:rFonts w:ascii="Arial" w:cs="Arial" w:eastAsia="Arial" w:hAnsi="Arial"/>
                <w:sz w:val="18"/>
                <w:szCs w:val="18"/>
                <w:color w:val="auto"/>
              </w:rPr>
              <w:t>Options forfeited in the year</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(150,001)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Options expired in the year</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(260,000)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3,037,333</w:t>
            </w: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6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Exercisable at December 31, 2016</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797,333</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Assumed contingent obligation related to the business combination</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value of the assumed contingent obligation as of December 31, 2016 amounts to £802 thousand. (2015: £594 thousand). The increase in value of the assumed contingent obligation during 2016 amounted to £208 thousand (2015: £72 thousand) and was recorded as finance expense. Periodic remeasurement is triggered by changes in updated timelines of achieving commercialization and updated probabilities of success resulting from clinical programs. In 2016 remeasurement was triggered by the success of the results of the Company's Phase 2a clinical trials which were presented in March 2016. The discount percentage applied is 12%.</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1, 2016</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521,650</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593,941</w:t>
            </w:r>
          </w:p>
        </w:tc>
        <w:tc>
          <w:tcPr>
            <w:tcW w:w="1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Re-measurement of assumed contingent obligation</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9,239</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123,554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Unwinding of discount factor</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63,052</w:t>
            </w:r>
          </w:p>
        </w:tc>
        <w:tc>
          <w:tcPr>
            <w:tcW w:w="1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84,710</w:t>
            </w:r>
          </w:p>
        </w:tc>
        <w:tc>
          <w:tcPr>
            <w:tcW w:w="160" w:type="dxa"/>
            <w:vAlign w:val="bottom"/>
            <w:shd w:val="clear" w:color="auto" w:fill="CCEEFF"/>
          </w:tcPr>
          <w:p>
            <w:pPr>
              <w:spacing w:after="0"/>
              <w:rPr>
                <w:sz w:val="17"/>
                <w:szCs w:val="17"/>
                <w:color w:val="auto"/>
              </w:rPr>
            </w:pPr>
          </w:p>
        </w:tc>
      </w:tr>
      <w:tr>
        <w:trPr>
          <w:trHeight w:val="196"/>
        </w:trPr>
        <w:tc>
          <w:tcPr>
            <w:tcW w:w="7140" w:type="dxa"/>
            <w:vAlign w:val="bottom"/>
            <w:gridSpan w:val="2"/>
          </w:tcPr>
          <w:p>
            <w:pPr>
              <w:spacing w:after="0" w:line="196" w:lineRule="exact"/>
              <w:rPr>
                <w:sz w:val="20"/>
                <w:szCs w:val="20"/>
                <w:color w:val="auto"/>
              </w:rPr>
            </w:pPr>
            <w:r>
              <w:rPr>
                <w:rFonts w:ascii="Arial" w:cs="Arial" w:eastAsia="Arial" w:hAnsi="Arial"/>
                <w:sz w:val="18"/>
                <w:szCs w:val="18"/>
                <w:color w:val="auto"/>
              </w:rPr>
              <w:t>December 31, 2016</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593,941</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802,205</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table below describes the reported change to the value of the liability during 2016 of £208 thousand (2015: £72 thousand) compared to what this number would be following the presented variations to the underlying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value of the assumed contingent obligation, in £ thousand</w:t>
            </w:r>
          </w:p>
        </w:tc>
        <w:tc>
          <w:tcPr>
            <w:tcW w:w="140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19"/>
        </w:trPr>
        <w:tc>
          <w:tcPr>
            <w:tcW w:w="7680" w:type="dxa"/>
            <w:vAlign w:val="bottom"/>
            <w:gridSpan w:val="2"/>
          </w:tcPr>
          <w:p>
            <w:pPr>
              <w:ind w:left="1140"/>
              <w:spacing w:after="0"/>
              <w:rPr>
                <w:sz w:val="20"/>
                <w:szCs w:val="20"/>
                <w:color w:val="auto"/>
              </w:rPr>
            </w:pPr>
            <w:r>
              <w:rPr>
                <w:rFonts w:ascii="Arial" w:cs="Arial" w:eastAsia="Arial" w:hAnsi="Arial"/>
                <w:sz w:val="18"/>
                <w:szCs w:val="18"/>
                <w:color w:val="auto"/>
              </w:rPr>
              <w:t>1% lower discount rate %</w:t>
            </w: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discount rate %</w:t>
            </w:r>
          </w:p>
        </w:tc>
        <w:tc>
          <w:tcPr>
            <w:tcW w:w="140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19"/>
        </w:trPr>
        <w:tc>
          <w:tcPr>
            <w:tcW w:w="7680" w:type="dxa"/>
            <w:vAlign w:val="bottom"/>
            <w:gridSpan w:val="2"/>
          </w:tcPr>
          <w:p>
            <w:pPr>
              <w:ind w:left="1140"/>
              <w:spacing w:after="0"/>
              <w:rPr>
                <w:sz w:val="20"/>
                <w:szCs w:val="20"/>
                <w:color w:val="auto"/>
              </w:rPr>
            </w:pPr>
            <w:r>
              <w:rPr>
                <w:rFonts w:ascii="Arial" w:cs="Arial" w:eastAsia="Arial" w:hAnsi="Arial"/>
                <w:sz w:val="18"/>
                <w:szCs w:val="18"/>
                <w:color w:val="auto"/>
              </w:rPr>
              <w:t>10% lower revenue assumption</w:t>
            </w: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 higher revenue assumption</w:t>
            </w:r>
          </w:p>
        </w:tc>
        <w:tc>
          <w:tcPr>
            <w:tcW w:w="140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19"/>
        </w:trPr>
        <w:tc>
          <w:tcPr>
            <w:tcW w:w="7680" w:type="dxa"/>
            <w:vAlign w:val="bottom"/>
            <w:gridSpan w:val="2"/>
          </w:tcPr>
          <w:p>
            <w:pPr>
              <w:ind w:left="1140"/>
              <w:spacing w:after="0"/>
              <w:rPr>
                <w:sz w:val="20"/>
                <w:szCs w:val="20"/>
                <w:color w:val="auto"/>
              </w:rPr>
            </w:pPr>
            <w:r>
              <w:rPr>
                <w:rFonts w:ascii="Arial" w:cs="Arial" w:eastAsia="Arial" w:hAnsi="Arial"/>
                <w:sz w:val="18"/>
                <w:szCs w:val="18"/>
                <w:color w:val="auto"/>
              </w:rPr>
              <w:t>1% lower risk assumption</w:t>
            </w: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 higher risk assumption</w:t>
            </w:r>
          </w:p>
        </w:tc>
        <w:tc>
          <w:tcPr>
            <w:tcW w:w="140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6520" w:type="dxa"/>
            <w:vAlign w:val="bottom"/>
          </w:tcPr>
          <w:p>
            <w:pPr>
              <w:ind w:left="4380"/>
              <w:spacing w:after="0"/>
              <w:rPr>
                <w:sz w:val="20"/>
                <w:szCs w:val="20"/>
                <w:color w:val="auto"/>
              </w:rPr>
            </w:pPr>
            <w:r>
              <w:rPr>
                <w:rFonts w:ascii="Arial" w:cs="Arial" w:eastAsia="Arial" w:hAnsi="Arial"/>
                <w:sz w:val="18"/>
                <w:szCs w:val="18"/>
                <w:color w:val="auto"/>
              </w:rPr>
              <w:t>F-36</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652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Warrants</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Pursuant to the July Placement the Company issued 31,115,926 units to new and existing investors at the placing price of £1.4365 per unit. Each unit comprises one ordinary share and one warrant.</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warrant holders can subscribe for 0.4 of an ordinary share at a per share exercise price of 120% of the placing price or £1.7238. The warrant holders can opt for a cashless exercise of their warrants. The warrant holders can choose to exchange the warrants held for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into a variable number of shares to be issued.</w:t>
      </w:r>
    </w:p>
    <w:p>
      <w:pPr>
        <w:spacing w:after="0" w:line="21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warrants entitle the investors to subscribe for in aggregate a maximum of 12,446,370 shares. The warrants can be exercised on the earlier of the consummation of the Global Offering or the first anniversary of the grant, and the exercise period shall end on the fifth anniversary of such date.</w:t>
      </w:r>
    </w:p>
    <w:p>
      <w:pPr>
        <w:spacing w:after="0" w:line="20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ordinary share and warrant were accounted for as a compound financial instrument. The warrants component of the instrument issued at the July Placement were classified as a derivative financial liability and were initially measured at fair value of £8,991 thousand. The residual amount of proceeds totaling £35,707,235 has been recognized within equity. Subsequently the financial liability was re-measured at the reporting date at fair value through profit or loss. A change in fair value of £1,068 thousand is recognized in the Consolidated Statement of Comprehensive Income within finance income.</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residual value of the proceeds less the fair value of the financial instrument of £8,991 thousand was attributed to the equity component of the instrument.</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total of transaction costs the Company incurred for the above transactions amounted to £2,910 thousand of which £585 thousand was allocated to the warrants and the remaining £2,325 thousand has been presented as a reduction to share premium, by reference to the proceeds allocated to each component. The amount assigned to the financial liability of the warrants was subsequently presented as finance expense in the Consolidated Statement of Comprehensive Income.</w:t>
      </w:r>
    </w:p>
    <w:p>
      <w:pPr>
        <w:spacing w:after="0" w:line="209"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The table below presents the assumptions in applying the Black-Scholes model to determine the fair value of the warrants at date of recognition and the reporting date of December 31, 2016. For valuation purposes at recognition the Company used the closing share price on July 29, 2016.</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580" w:type="dxa"/>
            <w:vAlign w:val="bottom"/>
            <w:gridSpan w:val="2"/>
          </w:tcPr>
          <w:p>
            <w:pPr>
              <w:jc w:val="center"/>
              <w:ind w:left="1477"/>
              <w:spacing w:after="0"/>
              <w:rPr>
                <w:sz w:val="20"/>
                <w:szCs w:val="20"/>
                <w:color w:val="auto"/>
              </w:rPr>
            </w:pPr>
            <w:r>
              <w:rPr>
                <w:rFonts w:ascii="Arial" w:cs="Arial" w:eastAsia="Arial" w:hAnsi="Arial"/>
                <w:sz w:val="14"/>
                <w:szCs w:val="14"/>
                <w:b w:val="1"/>
                <w:bCs w:val="1"/>
                <w:color w:val="auto"/>
              </w:rPr>
              <w:t>At recognition</w:t>
            </w:r>
          </w:p>
        </w:tc>
        <w:tc>
          <w:tcPr>
            <w:tcW w:w="16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on July 29,</w:t>
            </w:r>
          </w:p>
        </w:tc>
        <w:tc>
          <w:tcPr>
            <w:tcW w:w="160" w:type="dxa"/>
            <w:vAlign w:val="bottom"/>
          </w:tcPr>
          <w:p>
            <w:pPr>
              <w:spacing w:after="0"/>
              <w:rPr>
                <w:sz w:val="14"/>
                <w:szCs w:val="14"/>
                <w:color w:val="auto"/>
              </w:rPr>
            </w:pPr>
          </w:p>
        </w:tc>
        <w:tc>
          <w:tcPr>
            <w:tcW w:w="3000" w:type="dxa"/>
            <w:vAlign w:val="bottom"/>
          </w:tcPr>
          <w:p>
            <w:pPr>
              <w:jc w:val="right"/>
              <w:ind w:right="857"/>
              <w:spacing w:after="0"/>
              <w:rPr>
                <w:sz w:val="20"/>
                <w:szCs w:val="20"/>
                <w:color w:val="auto"/>
              </w:rPr>
            </w:pPr>
            <w:r>
              <w:rPr>
                <w:rFonts w:ascii="Arial" w:cs="Arial" w:eastAsia="Arial" w:hAnsi="Arial"/>
                <w:sz w:val="14"/>
                <w:szCs w:val="14"/>
                <w:b w:val="1"/>
                <w:bCs w:val="1"/>
                <w:color w:val="auto"/>
              </w:rPr>
              <w:t>At December 31,</w:t>
            </w:r>
          </w:p>
        </w:tc>
      </w:tr>
      <w:tr>
        <w:trPr>
          <w:trHeight w:val="175"/>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Issued in 2016</w:t>
            </w:r>
          </w:p>
        </w:tc>
        <w:tc>
          <w:tcPr>
            <w:tcW w:w="2580" w:type="dxa"/>
            <w:vAlign w:val="bottom"/>
            <w:gridSpan w:val="2"/>
          </w:tcPr>
          <w:p>
            <w:pPr>
              <w:jc w:val="center"/>
              <w:ind w:left="1497"/>
              <w:spacing w:after="0"/>
              <w:rPr>
                <w:sz w:val="20"/>
                <w:szCs w:val="20"/>
                <w:color w:val="auto"/>
              </w:rPr>
            </w:pPr>
            <w:r>
              <w:rPr>
                <w:rFonts w:ascii="Arial" w:cs="Arial" w:eastAsia="Arial" w:hAnsi="Arial"/>
                <w:sz w:val="14"/>
                <w:szCs w:val="14"/>
                <w:b w:val="1"/>
                <w:bCs w:val="1"/>
                <w:color w:val="auto"/>
              </w:rPr>
              <w:t>2016</w:t>
            </w:r>
          </w:p>
        </w:tc>
        <w:tc>
          <w:tcPr>
            <w:tcW w:w="3160" w:type="dxa"/>
            <w:vAlign w:val="bottom"/>
            <w:gridSpan w:val="2"/>
          </w:tcPr>
          <w:p>
            <w:pPr>
              <w:jc w:val="right"/>
              <w:ind w:right="1257"/>
              <w:spacing w:after="0"/>
              <w:rPr>
                <w:sz w:val="20"/>
                <w:szCs w:val="20"/>
                <w:color w:val="auto"/>
              </w:rPr>
            </w:pPr>
            <w:r>
              <w:rPr>
                <w:rFonts w:ascii="Arial" w:cs="Arial" w:eastAsia="Arial" w:hAnsi="Arial"/>
                <w:sz w:val="14"/>
                <w:szCs w:val="14"/>
                <w:b w:val="1"/>
                <w:bCs w:val="1"/>
                <w:color w:val="auto"/>
              </w:rPr>
              <w:t>2016</w:t>
            </w:r>
          </w:p>
        </w:tc>
      </w:tr>
      <w:tr>
        <w:trPr>
          <w:trHeight w:val="196"/>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Warrants</w:t>
            </w:r>
          </w:p>
        </w:tc>
        <w:tc>
          <w:tcPr>
            <w:tcW w:w="2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12,446,370</w:t>
            </w:r>
          </w:p>
        </w:tc>
        <w:tc>
          <w:tcPr>
            <w:tcW w:w="160" w:type="dxa"/>
            <w:vAlign w:val="bottom"/>
            <w:shd w:val="clear" w:color="auto" w:fill="CCEEFF"/>
          </w:tcPr>
          <w:p>
            <w:pPr>
              <w:spacing w:after="0"/>
              <w:rPr>
                <w:sz w:val="17"/>
                <w:szCs w:val="17"/>
                <w:color w:val="auto"/>
              </w:rPr>
            </w:pPr>
          </w:p>
        </w:tc>
        <w:tc>
          <w:tcPr>
            <w:tcW w:w="3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12,446,370</w:t>
            </w:r>
          </w:p>
        </w:tc>
      </w:tr>
      <w:tr>
        <w:trPr>
          <w:trHeight w:val="203"/>
        </w:trPr>
        <w:tc>
          <w:tcPr>
            <w:tcW w:w="3400" w:type="dxa"/>
            <w:vAlign w:val="bottom"/>
            <w:gridSpan w:val="3"/>
          </w:tcPr>
          <w:p>
            <w:pPr>
              <w:spacing w:after="0" w:line="202" w:lineRule="exact"/>
              <w:rPr>
                <w:sz w:val="20"/>
                <w:szCs w:val="20"/>
                <w:color w:val="auto"/>
              </w:rPr>
            </w:pPr>
            <w:r>
              <w:rPr>
                <w:rFonts w:ascii="Arial" w:cs="Arial" w:eastAsia="Arial" w:hAnsi="Arial"/>
                <w:sz w:val="18"/>
                <w:szCs w:val="18"/>
                <w:color w:val="auto"/>
              </w:rPr>
              <w:t>Exercise price</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£1.7238</w:t>
            </w:r>
          </w:p>
        </w:tc>
        <w:tc>
          <w:tcPr>
            <w:tcW w:w="3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£1.7238</w:t>
            </w: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0.039%</w:t>
            </w:r>
          </w:p>
        </w:tc>
        <w:tc>
          <w:tcPr>
            <w:tcW w:w="3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0.088%</w:t>
            </w:r>
          </w:p>
        </w:tc>
      </w:tr>
      <w:tr>
        <w:trPr>
          <w:trHeight w:val="203"/>
        </w:trPr>
        <w:tc>
          <w:tcPr>
            <w:tcW w:w="3400" w:type="dxa"/>
            <w:vAlign w:val="bottom"/>
            <w:gridSpan w:val="3"/>
          </w:tcPr>
          <w:p>
            <w:pPr>
              <w:spacing w:after="0" w:line="202" w:lineRule="exact"/>
              <w:rPr>
                <w:sz w:val="20"/>
                <w:szCs w:val="20"/>
                <w:color w:val="auto"/>
              </w:rPr>
            </w:pPr>
            <w:r>
              <w:rPr>
                <w:rFonts w:ascii="Arial" w:cs="Arial" w:eastAsia="Arial" w:hAnsi="Arial"/>
                <w:sz w:val="18"/>
                <w:szCs w:val="18"/>
                <w:color w:val="auto"/>
              </w:rPr>
              <w:t>Expected life of options</w:t>
            </w:r>
          </w:p>
        </w:tc>
        <w:tc>
          <w:tcPr>
            <w:tcW w:w="15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2.86 years</w:t>
            </w:r>
          </w:p>
        </w:tc>
        <w:tc>
          <w:tcPr>
            <w:tcW w:w="160" w:type="dxa"/>
            <w:vAlign w:val="bottom"/>
          </w:tcPr>
          <w:p>
            <w:pPr>
              <w:spacing w:after="0"/>
              <w:rPr>
                <w:sz w:val="17"/>
                <w:szCs w:val="17"/>
                <w:color w:val="auto"/>
              </w:rPr>
            </w:pPr>
          </w:p>
        </w:tc>
        <w:tc>
          <w:tcPr>
            <w:tcW w:w="3000" w:type="dxa"/>
            <w:vAlign w:val="bottom"/>
          </w:tcPr>
          <w:p>
            <w:pPr>
              <w:jc w:val="right"/>
              <w:spacing w:after="0" w:line="202" w:lineRule="exact"/>
              <w:rPr>
                <w:sz w:val="20"/>
                <w:szCs w:val="20"/>
                <w:color w:val="auto"/>
              </w:rPr>
            </w:pPr>
            <w:r>
              <w:rPr>
                <w:rFonts w:ascii="Arial" w:cs="Arial" w:eastAsia="Arial" w:hAnsi="Arial"/>
                <w:sz w:val="18"/>
                <w:szCs w:val="18"/>
                <w:color w:val="auto"/>
              </w:rPr>
              <w:t>2.43 years</w:t>
            </w: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Annualized volatility</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82.61%</w:t>
            </w:r>
          </w:p>
        </w:tc>
        <w:tc>
          <w:tcPr>
            <w:tcW w:w="3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73.53%</w:t>
            </w:r>
          </w:p>
        </w:tc>
      </w:tr>
      <w:tr>
        <w:trPr>
          <w:trHeight w:val="214"/>
        </w:trPr>
        <w:tc>
          <w:tcPr>
            <w:tcW w:w="3400" w:type="dxa"/>
            <w:vAlign w:val="bottom"/>
            <w:gridSpan w:val="3"/>
          </w:tcPr>
          <w:p>
            <w:pPr>
              <w:spacing w:after="0"/>
              <w:rPr>
                <w:sz w:val="20"/>
                <w:szCs w:val="20"/>
                <w:color w:val="auto"/>
              </w:rPr>
            </w:pPr>
            <w:r>
              <w:rPr>
                <w:rFonts w:ascii="Arial" w:cs="Arial" w:eastAsia="Arial" w:hAnsi="Arial"/>
                <w:sz w:val="18"/>
                <w:szCs w:val="18"/>
                <w:color w:val="auto"/>
              </w:rPr>
              <w:t>Dividend rate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0.00%</w:t>
            </w:r>
          </w:p>
        </w:tc>
      </w:tr>
    </w:tbl>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figures disclosed above relating to the issue of the shares and warrants have been retrospectively adjusted to reflect the 50-for-1 share consolidation as described in note 23. The original number of units issued to new and existing investors was 1,555,796,345 units at a placing price of 2.873 pence per unit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Warrants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and an exercise price of 3.4476 pence per share. This entitled the investors to subscribe for in aggregate a maximum of 622,318,538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per the reporting date the Company updated the underlying assumptions and calculated a fair value of these warrants amounting to</w:t>
      </w:r>
    </w:p>
    <w:p>
      <w:pPr>
        <w:spacing w:after="0"/>
        <w:rPr>
          <w:sz w:val="20"/>
          <w:szCs w:val="20"/>
          <w:color w:val="auto"/>
        </w:rPr>
      </w:pPr>
      <w:r>
        <w:rPr>
          <w:rFonts w:ascii="Arial" w:cs="Arial" w:eastAsia="Arial" w:hAnsi="Arial"/>
          <w:sz w:val="18"/>
          <w:szCs w:val="18"/>
          <w:color w:val="auto"/>
        </w:rPr>
        <w:t>£7,923 thousand. The variance of £1,068 thousand is recorded as finance income in the Consolidated Statement of Comprehensive Income.</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Derivative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financial</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instrument</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40" w:type="dxa"/>
            <w:vAlign w:val="bottom"/>
            <w:tcBorders>
              <w:top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Derivative Financial instrument issued following the July Placement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8,990,794</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8,990,794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adjustments recognized in profit or loss</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(1,068,191)</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(1,068,191)</w:t>
            </w:r>
          </w:p>
        </w:tc>
      </w:tr>
      <w:tr>
        <w:trPr>
          <w:trHeight w:val="196"/>
        </w:trPr>
        <w:tc>
          <w:tcPr>
            <w:tcW w:w="20" w:type="dxa"/>
            <w:vAlign w:val="bottom"/>
          </w:tcPr>
          <w:p>
            <w:pPr>
              <w:spacing w:after="0"/>
              <w:rPr>
                <w:sz w:val="17"/>
                <w:szCs w:val="17"/>
                <w:color w:val="auto"/>
              </w:rPr>
            </w:pPr>
          </w:p>
        </w:tc>
        <w:tc>
          <w:tcPr>
            <w:tcW w:w="6700" w:type="dxa"/>
            <w:vAlign w:val="bottom"/>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7,922,603</w:t>
            </w:r>
          </w:p>
        </w:tc>
        <w:tc>
          <w:tcPr>
            <w:tcW w:w="1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7,922,603</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For the amount recognized at December 31, 2016, the effect, when some of these underlying parameters would deviate up or down, is presented in the below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Time to</w:t>
            </w:r>
          </w:p>
        </w:tc>
      </w:tr>
      <w:tr>
        <w:trPr>
          <w:trHeight w:val="162"/>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Volatility</w:t>
            </w:r>
          </w:p>
        </w:tc>
        <w:tc>
          <w:tcPr>
            <w:tcW w:w="1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maturity</w:t>
            </w:r>
          </w:p>
        </w:tc>
      </w:tr>
      <w:tr>
        <w:trPr>
          <w:trHeight w:val="162"/>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(up / down</w:t>
            </w:r>
          </w:p>
        </w:tc>
        <w:tc>
          <w:tcPr>
            <w:tcW w:w="16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(up / down</w:t>
            </w:r>
          </w:p>
        </w:tc>
      </w:tr>
      <w:tr>
        <w:trPr>
          <w:trHeight w:val="175"/>
        </w:trPr>
        <w:tc>
          <w:tcPr>
            <w:tcW w:w="116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10% pts)</w:t>
            </w:r>
          </w:p>
        </w:tc>
        <w:tc>
          <w:tcPr>
            <w:tcW w:w="16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6 months)</w:t>
            </w:r>
          </w:p>
        </w:tc>
      </w:tr>
      <w:tr>
        <w:trPr>
          <w:trHeight w:val="156"/>
        </w:trPr>
        <w:tc>
          <w:tcPr>
            <w:tcW w:w="116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0" w:type="dxa"/>
            <w:vAlign w:val="bottom"/>
            <w:tcBorders>
              <w:top w:val="single" w:sz="8" w:color="auto"/>
            </w:tcBorders>
          </w:tcPr>
          <w:p>
            <w:pPr>
              <w:ind w:left="46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up</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8,972,313</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8,686,827</w:t>
            </w:r>
          </w:p>
        </w:tc>
        <w:tc>
          <w:tcPr>
            <w:tcW w:w="16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Base case, reported fair value</w:t>
            </w:r>
          </w:p>
        </w:tc>
        <w:tc>
          <w:tcPr>
            <w:tcW w:w="10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w w:val="97"/>
              </w:rPr>
              <w:t>7,922,603</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7,922,603</w:t>
            </w: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down</w:t>
            </w:r>
          </w:p>
        </w:tc>
        <w:tc>
          <w:tcPr>
            <w:tcW w:w="1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7"/>
              </w:rPr>
              <w:t>6,825,999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7,046,248</w:t>
            </w:r>
          </w:p>
        </w:tc>
        <w:tc>
          <w:tcPr>
            <w:tcW w:w="160" w:type="dxa"/>
            <w:vAlign w:val="bottom"/>
            <w:shd w:val="clear" w:color="auto" w:fill="CCEEFF"/>
          </w:tcPr>
          <w:p>
            <w:pPr>
              <w:spacing w:after="0"/>
              <w:rPr>
                <w:sz w:val="17"/>
                <w:szCs w:val="17"/>
                <w:color w:val="auto"/>
              </w:rPr>
            </w:pPr>
          </w:p>
        </w:tc>
      </w:tr>
      <w:tr>
        <w:trPr>
          <w:trHeight w:val="43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22. Financial commitments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8"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As of December 31, 2016, the Group was committed to making the following payments under non-cancellable operating leases related to its facilities.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b w:val="1"/>
                <w:bCs w:val="1"/>
                <w:color w:val="auto"/>
              </w:rPr>
              <w:t>Land and</w:t>
            </w:r>
          </w:p>
        </w:tc>
        <w:tc>
          <w:tcPr>
            <w:tcW w:w="1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Land and</w:t>
            </w:r>
          </w:p>
        </w:tc>
      </w:tr>
      <w:tr>
        <w:trPr>
          <w:trHeight w:val="175"/>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b w:val="1"/>
                <w:bCs w:val="1"/>
                <w:color w:val="auto"/>
              </w:rPr>
              <w:t>Buildings</w:t>
            </w:r>
          </w:p>
        </w:tc>
        <w:tc>
          <w:tcPr>
            <w:tcW w:w="1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Buildings</w:t>
            </w:r>
          </w:p>
        </w:tc>
      </w:tr>
      <w:tr>
        <w:trPr>
          <w:trHeight w:val="156"/>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85"/>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840" w:type="dxa"/>
            <w:vAlign w:val="bottom"/>
          </w:tcPr>
          <w:p>
            <w:pPr>
              <w:jc w:val="right"/>
              <w:ind w:right="30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40" w:type="dxa"/>
            <w:vAlign w:val="bottom"/>
          </w:tcPr>
          <w:p>
            <w:pPr>
              <w:jc w:val="right"/>
              <w:ind w:right="30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 which expire: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Within one year</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151,240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270,350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Beyond one year</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196"/>
        </w:trPr>
        <w:tc>
          <w:tcPr>
            <w:tcW w:w="714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151,240</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270,350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Events after the reporting date</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8, 2017 the board of the Company approved a share consolidation where every 50 existing ordinary shares of £0.001 each shall be consolidated into one ordinary share of £0.05. Prior to the consolidation the total number of issued shares as at December 31, 2016 would read as a total of 2,568,053,160 shares and after the consolidation this number would read as a total of 51,361,063 shares. Earnings per share information in these consolidated financial statements has been retrospectively adjusted, to reflect the consolidation as if it had occurred at the beginning of the earliest period presented.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163830</wp:posOffset>
            </wp:positionV>
            <wp:extent cx="1929765" cy="7543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297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400" w:type="dxa"/>
            <w:vAlign w:val="bottom"/>
          </w:tcPr>
          <w:p>
            <w:pPr>
              <w:spacing w:after="0"/>
              <w:rPr>
                <w:sz w:val="24"/>
                <w:szCs w:val="24"/>
                <w:color w:val="auto"/>
              </w:rPr>
            </w:pPr>
          </w:p>
        </w:tc>
        <w:tc>
          <w:tcPr>
            <w:tcW w:w="4100" w:type="dxa"/>
            <w:vAlign w:val="bottom"/>
            <w:gridSpan w:val="2"/>
          </w:tcPr>
          <w:p>
            <w:pPr>
              <w:ind w:left="1840"/>
              <w:spacing w:after="0"/>
              <w:rPr>
                <w:sz w:val="20"/>
                <w:szCs w:val="20"/>
                <w:color w:val="auto"/>
              </w:rPr>
            </w:pPr>
            <w:r>
              <w:rPr>
                <w:rFonts w:ascii="Arial" w:cs="Arial" w:eastAsia="Arial" w:hAnsi="Arial"/>
                <w:sz w:val="24"/>
                <w:szCs w:val="24"/>
                <w:b w:val="1"/>
                <w:bCs w:val="1"/>
                <w:color w:val="auto"/>
              </w:rPr>
              <w:t>Representing</w:t>
            </w:r>
          </w:p>
        </w:tc>
        <w:tc>
          <w:tcPr>
            <w:tcW w:w="5920" w:type="dxa"/>
            <w:vAlign w:val="bottom"/>
            <w:gridSpan w:val="2"/>
          </w:tcPr>
          <w:p>
            <w:pPr>
              <w:ind w:left="780"/>
              <w:spacing w:after="0"/>
              <w:rPr>
                <w:sz w:val="20"/>
                <w:szCs w:val="20"/>
                <w:color w:val="auto"/>
              </w:rPr>
            </w:pPr>
            <w:r>
              <w:rPr>
                <w:rFonts w:ascii="Arial" w:cs="Arial" w:eastAsia="Arial" w:hAnsi="Arial"/>
                <w:sz w:val="24"/>
                <w:szCs w:val="24"/>
                <w:b w:val="1"/>
                <w:bCs w:val="1"/>
                <w:color w:val="auto"/>
              </w:rPr>
              <w:t>Ordinary Shares</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20" w:type="dxa"/>
            <w:vAlign w:val="bottom"/>
            <w:tcBorders>
              <w:bottom w:val="single" w:sz="8" w:color="auto"/>
            </w:tcBorders>
            <w:gridSpan w:val="2"/>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20" w:type="dxa"/>
            <w:vAlign w:val="bottom"/>
            <w:gridSpan w:val="3"/>
          </w:tcPr>
          <w:p>
            <w:pPr>
              <w:jc w:val="center"/>
              <w:ind w:right="3978"/>
              <w:spacing w:after="0"/>
              <w:rPr>
                <w:sz w:val="20"/>
                <w:szCs w:val="20"/>
                <w:color w:val="auto"/>
              </w:rPr>
            </w:pPr>
            <w:r>
              <w:rPr>
                <w:rFonts w:ascii="Arial" w:cs="Arial" w:eastAsia="Arial" w:hAnsi="Arial"/>
                <w:sz w:val="22"/>
                <w:szCs w:val="22"/>
                <w:b w:val="1"/>
                <w:bCs w:val="1"/>
                <w:color w:val="auto"/>
                <w:w w:val="97"/>
              </w:rPr>
              <w:t>PRELIMINARY PROSPECTUS</w:t>
            </w:r>
          </w:p>
        </w:tc>
        <w:tc>
          <w:tcPr>
            <w:tcW w:w="0" w:type="dxa"/>
            <w:vAlign w:val="bottom"/>
          </w:tcPr>
          <w:p>
            <w:pPr>
              <w:spacing w:after="0"/>
              <w:rPr>
                <w:sz w:val="1"/>
                <w:szCs w:val="1"/>
                <w:color w:val="auto"/>
              </w:rPr>
            </w:pPr>
          </w:p>
        </w:tc>
      </w:tr>
      <w:tr>
        <w:trPr>
          <w:trHeight w:val="206"/>
        </w:trPr>
        <w:tc>
          <w:tcPr>
            <w:tcW w:w="1400" w:type="dxa"/>
            <w:vAlign w:val="bottom"/>
            <w:vMerge w:val="restart"/>
          </w:tcPr>
          <w:p>
            <w:pPr>
              <w:spacing w:after="0"/>
              <w:rPr>
                <w:sz w:val="20"/>
                <w:szCs w:val="20"/>
                <w:color w:val="auto"/>
              </w:rPr>
            </w:pPr>
            <w:r>
              <w:rPr>
                <w:rFonts w:ascii="Arial" w:cs="Arial" w:eastAsia="Arial" w:hAnsi="Arial"/>
                <w:sz w:val="24"/>
                <w:szCs w:val="24"/>
                <w:b w:val="1"/>
                <w:bCs w:val="1"/>
                <w:color w:val="auto"/>
              </w:rPr>
              <w:t>Jefferies</w:t>
            </w:r>
          </w:p>
        </w:tc>
        <w:tc>
          <w:tcPr>
            <w:tcW w:w="27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100" w:type="dxa"/>
            <w:vAlign w:val="bottom"/>
            <w:vMerge w:val="restart"/>
          </w:tcPr>
          <w:p>
            <w:pPr>
              <w:ind w:left="3500"/>
              <w:spacing w:after="0"/>
              <w:rPr>
                <w:sz w:val="20"/>
                <w:szCs w:val="20"/>
                <w:color w:val="auto"/>
              </w:rPr>
            </w:pPr>
            <w:r>
              <w:rPr>
                <w:rFonts w:ascii="Arial" w:cs="Arial" w:eastAsia="Arial" w:hAnsi="Arial"/>
                <w:sz w:val="24"/>
                <w:szCs w:val="24"/>
                <w:b w:val="1"/>
                <w:bCs w:val="1"/>
                <w:color w:val="auto"/>
                <w:w w:val="98"/>
              </w:rPr>
              <w:t>Stifel</w:t>
            </w:r>
          </w:p>
        </w:tc>
        <w:tc>
          <w:tcPr>
            <w:tcW w:w="0" w:type="dxa"/>
            <w:vAlign w:val="bottom"/>
          </w:tcPr>
          <w:p>
            <w:pPr>
              <w:spacing w:after="0"/>
              <w:rPr>
                <w:sz w:val="1"/>
                <w:szCs w:val="1"/>
                <w:color w:val="auto"/>
              </w:rPr>
            </w:pPr>
          </w:p>
        </w:tc>
      </w:tr>
      <w:tr>
        <w:trPr>
          <w:trHeight w:val="498"/>
        </w:trPr>
        <w:tc>
          <w:tcPr>
            <w:tcW w:w="140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20" w:type="dxa"/>
            <w:vAlign w:val="bottom"/>
            <w:gridSpan w:val="3"/>
          </w:tcPr>
          <w:p>
            <w:pPr>
              <w:jc w:val="center"/>
              <w:ind w:right="3978"/>
              <w:spacing w:after="0"/>
              <w:rPr>
                <w:sz w:val="20"/>
                <w:szCs w:val="20"/>
                <w:color w:val="auto"/>
              </w:rPr>
            </w:pPr>
            <w:r>
              <w:rPr>
                <w:rFonts w:ascii="Arial" w:cs="Arial" w:eastAsia="Arial" w:hAnsi="Arial"/>
                <w:sz w:val="24"/>
                <w:szCs w:val="24"/>
                <w:b w:val="1"/>
                <w:bCs w:val="1"/>
                <w:color w:val="auto"/>
              </w:rPr>
              <w:t>Wedbush PacGrow</w:t>
            </w: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10020" w:type="dxa"/>
            <w:vAlign w:val="bottom"/>
            <w:gridSpan w:val="4"/>
          </w:tcPr>
          <w:p>
            <w:pPr>
              <w:jc w:val="center"/>
              <w:ind w:right="1278"/>
              <w:spacing w:after="0"/>
              <w:rPr>
                <w:sz w:val="20"/>
                <w:szCs w:val="20"/>
                <w:color w:val="auto"/>
              </w:rPr>
            </w:pPr>
            <w:r>
              <w:rPr>
                <w:rFonts w:ascii="Arial" w:cs="Arial" w:eastAsia="Arial" w:hAnsi="Arial"/>
                <w:sz w:val="24"/>
                <w:szCs w:val="24"/>
                <w:b w:val="1"/>
                <w:bCs w:val="1"/>
                <w:color w:val="auto"/>
              </w:rPr>
              <w:t>SunTrust Robinson Humphrey</w:t>
            </w:r>
          </w:p>
        </w:tc>
        <w:tc>
          <w:tcPr>
            <w:tcW w:w="0" w:type="dxa"/>
            <w:vAlign w:val="bottom"/>
          </w:tcPr>
          <w:p>
            <w:pPr>
              <w:spacing w:after="0"/>
              <w:rPr>
                <w:sz w:val="1"/>
                <w:szCs w:val="1"/>
                <w:color w:val="auto"/>
              </w:rPr>
            </w:pPr>
          </w:p>
        </w:tc>
      </w:tr>
      <w:tr>
        <w:trPr>
          <w:trHeight w:val="426"/>
        </w:trPr>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jc w:val="right"/>
              <w:ind w:right="555"/>
              <w:spacing w:after="0"/>
              <w:rPr>
                <w:sz w:val="20"/>
                <w:szCs w:val="20"/>
                <w:color w:val="auto"/>
              </w:rPr>
            </w:pPr>
            <w:r>
              <w:rPr>
                <w:rFonts w:ascii="Arial" w:cs="Arial" w:eastAsia="Arial" w:hAnsi="Arial"/>
                <w:sz w:val="18"/>
                <w:szCs w:val="18"/>
                <w:b w:val="1"/>
                <w:bCs w:val="1"/>
                <w:color w:val="auto"/>
              </w:rPr>
              <w:t>, 2017</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00" w:type="dxa"/>
            <w:vAlign w:val="bottom"/>
          </w:tcPr>
          <w:p>
            <w:pPr>
              <w:spacing w:after="0"/>
              <w:rPr>
                <w:sz w:val="20"/>
                <w:szCs w:val="20"/>
                <w:color w:val="auto"/>
              </w:rPr>
            </w:pPr>
            <w:r>
              <w:rPr>
                <w:rFonts w:ascii="Arial" w:cs="Arial" w:eastAsia="Arial" w:hAnsi="Arial"/>
                <w:sz w:val="18"/>
                <w:szCs w:val="18"/>
                <w:color w:val="auto"/>
              </w:rPr>
              <w:t>Until</w:t>
            </w:r>
          </w:p>
        </w:tc>
        <w:tc>
          <w:tcPr>
            <w:tcW w:w="10020" w:type="dxa"/>
            <w:vAlign w:val="bottom"/>
            <w:gridSpan w:val="4"/>
          </w:tcPr>
          <w:p>
            <w:pPr>
              <w:ind w:left="380"/>
              <w:spacing w:after="0"/>
              <w:rPr>
                <w:sz w:val="20"/>
                <w:szCs w:val="20"/>
                <w:color w:val="auto"/>
              </w:rPr>
            </w:pPr>
            <w:r>
              <w:rPr>
                <w:rFonts w:ascii="Arial" w:cs="Arial" w:eastAsia="Arial" w:hAnsi="Arial"/>
                <w:sz w:val="18"/>
                <w:szCs w:val="18"/>
                <w:color w:val="auto"/>
                <w:w w:val="97"/>
              </w:rPr>
              <w:t>, 2017 (25 days after the date of this prospectus), all dealers that buy, sell or trade ADSs, whether or not participating in this</w:t>
            </w:r>
          </w:p>
        </w:tc>
        <w:tc>
          <w:tcPr>
            <w:tcW w:w="0" w:type="dxa"/>
            <w:vAlign w:val="bottom"/>
          </w:tcPr>
          <w:p>
            <w:pPr>
              <w:spacing w:after="0"/>
              <w:rPr>
                <w:sz w:val="1"/>
                <w:szCs w:val="1"/>
                <w:color w:val="auto"/>
              </w:rPr>
            </w:pPr>
          </w:p>
        </w:tc>
      </w:tr>
    </w:tbl>
    <w:p>
      <w:pPr>
        <w:ind w:right="320"/>
        <w:spacing w:after="0" w:line="239" w:lineRule="auto"/>
        <w:rPr>
          <w:sz w:val="20"/>
          <w:szCs w:val="20"/>
          <w:color w:val="auto"/>
        </w:rPr>
      </w:pPr>
      <w:r>
        <w:rPr>
          <w:rFonts w:ascii="Arial" w:cs="Arial" w:eastAsia="Arial" w:hAnsi="Arial"/>
          <w:sz w:val="18"/>
          <w:szCs w:val="18"/>
          <w:color w:val="auto"/>
        </w:rPr>
        <w:t>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24662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PART II — INFORMATION NOT REQUIRED IN THE PROSPECTUS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Members of the registrant's board of directors and its officers have the benefit of the following indemnification provisions in the registrant's Articles of Association: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Current and former members of the registrant's board of directors or officers shall be reimbursed for:</w:t>
      </w:r>
    </w:p>
    <w:p>
      <w:pPr>
        <w:spacing w:after="0" w:line="212" w:lineRule="exact"/>
        <w:rPr>
          <w:sz w:val="20"/>
          <w:szCs w:val="20"/>
          <w:color w:val="auto"/>
        </w:rPr>
      </w:pPr>
    </w:p>
    <w:p>
      <w:pPr>
        <w:ind w:left="540" w:right="240" w:firstLine="8"/>
        <w:spacing w:after="0" w:line="239" w:lineRule="auto"/>
        <w:tabs>
          <w:tab w:leader="none" w:pos="8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208" w:lineRule="exact"/>
        <w:rPr>
          <w:rFonts w:ascii="Arial" w:cs="Arial" w:eastAsia="Arial" w:hAnsi="Arial"/>
          <w:sz w:val="18"/>
          <w:szCs w:val="18"/>
          <w:color w:val="auto"/>
        </w:rPr>
      </w:pPr>
    </w:p>
    <w:p>
      <w:pPr>
        <w:ind w:left="540" w:firstLine="8"/>
        <w:spacing w:after="0" w:line="236" w:lineRule="auto"/>
        <w:tabs>
          <w:tab w:leader="none" w:pos="8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case of current or former members of the registrant's board of directors, there shall be no entitlement to reimbursement as referred to above for (i) any liability incurred to the registrant or any associated company,(ii)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21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this offering.</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Recent sales of unregistered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Capital Stock</w:t>
      </w:r>
    </w:p>
    <w:p>
      <w:pPr>
        <w:spacing w:after="0" w:line="232" w:lineRule="exact"/>
        <w:rPr>
          <w:sz w:val="20"/>
          <w:szCs w:val="20"/>
          <w:color w:val="auto"/>
        </w:rPr>
      </w:pPr>
    </w:p>
    <w:p>
      <w:pPr>
        <w:ind w:left="1080" w:right="1000" w:hanging="532"/>
        <w:spacing w:after="0" w:line="183" w:lineRule="auto"/>
        <w:tabs>
          <w:tab w:leader="none" w:pos="1080" w:val="left"/>
        </w:tabs>
        <w:numPr>
          <w:ilvl w:val="0"/>
          <w:numId w:val="168"/>
        </w:numPr>
        <w:rPr>
          <w:rFonts w:ascii="Arial" w:cs="Arial" w:eastAsia="Arial" w:hAnsi="Arial"/>
          <w:sz w:val="29"/>
          <w:szCs w:val="29"/>
          <w:color w:val="auto"/>
          <w:vertAlign w:val="superscript"/>
        </w:rPr>
      </w:pPr>
      <w:r>
        <w:rPr>
          <w:rFonts w:ascii="Arial" w:cs="Arial" w:eastAsia="Arial" w:hAnsi="Arial"/>
          <w:sz w:val="18"/>
          <w:szCs w:val="18"/>
          <w:color w:val="auto"/>
        </w:rPr>
        <w:t>On March 25, 2014, the registrant issued 12,746,496 ordinary shares to certain new and existing investors for aggregate consideration of £14.0 million.</w:t>
      </w:r>
    </w:p>
    <w:p>
      <w:pPr>
        <w:spacing w:after="0" w:line="195" w:lineRule="exact"/>
        <w:rPr>
          <w:rFonts w:ascii="Arial" w:cs="Arial" w:eastAsia="Arial" w:hAnsi="Arial"/>
          <w:sz w:val="29"/>
          <w:szCs w:val="29"/>
          <w:color w:val="auto"/>
          <w:vertAlign w:val="superscript"/>
        </w:rPr>
      </w:pPr>
    </w:p>
    <w:p>
      <w:pPr>
        <w:ind w:left="1080" w:right="180" w:hanging="532"/>
        <w:spacing w:after="0" w:line="183" w:lineRule="auto"/>
        <w:tabs>
          <w:tab w:leader="none" w:pos="1080" w:val="left"/>
        </w:tabs>
        <w:numPr>
          <w:ilvl w:val="0"/>
          <w:numId w:val="168"/>
        </w:numPr>
        <w:rPr>
          <w:rFonts w:ascii="Arial" w:cs="Arial" w:eastAsia="Arial" w:hAnsi="Arial"/>
          <w:sz w:val="29"/>
          <w:szCs w:val="29"/>
          <w:color w:val="auto"/>
          <w:vertAlign w:val="superscript"/>
        </w:rPr>
      </w:pPr>
      <w:r>
        <w:rPr>
          <w:rFonts w:ascii="Arial" w:cs="Arial" w:eastAsia="Arial" w:hAnsi="Arial"/>
          <w:sz w:val="18"/>
          <w:szCs w:val="18"/>
          <w:color w:val="auto"/>
        </w:rPr>
        <w:t>On July 29, 2016, the registrant issued 31,115,926 units, with each unit consisting of one ordinary share and a warrant to purchase 0.4 of an ordinary share, to certain new and existing investors for aggregate consideration of £44.7 million.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Since January 1, 2014, the registrant has granted stock options to purchase an aggregate of 2,654,000 ordinary shares with exercise prices ranging from £1.10 to £3.30 per share, to certain employees and directors in connection with services provided to the registrant by such parties, as follows:</w:t>
      </w:r>
    </w:p>
    <w:p>
      <w:pPr>
        <w:sectPr>
          <w:pgSz w:w="11900" w:h="16838" w:orient="portrait"/>
          <w:cols w:equalWidth="0" w:num="1">
            <w:col w:w="11400"/>
          </w:cols>
          <w:pgMar w:left="240" w:top="14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64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price</w:t>
            </w:r>
          </w:p>
        </w:tc>
      </w:tr>
      <w:tr>
        <w:trPr>
          <w:trHeight w:val="17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4860" w:type="dxa"/>
            <w:vAlign w:val="bottom"/>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r>
      <w:tr>
        <w:trPr>
          <w:trHeight w:val="196"/>
        </w:trPr>
        <w:tc>
          <w:tcPr>
            <w:tcW w:w="5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May 15, 2014</w:t>
            </w:r>
          </w:p>
        </w:tc>
        <w:tc>
          <w:tcPr>
            <w:tcW w:w="78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5"/>
              </w:rPr>
              <w:t>180,000</w:t>
            </w: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1.75</w:t>
            </w: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November 11, 2014</w:t>
            </w:r>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w w:val="95"/>
              </w:rPr>
              <w:t>120,000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29, 2015</w:t>
            </w:r>
          </w:p>
        </w:tc>
        <w:tc>
          <w:tcPr>
            <w:tcW w:w="7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5"/>
              </w:rPr>
              <w:t>652,000</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February 9, 2016</w:t>
            </w:r>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w w:val="95"/>
              </w:rPr>
              <w:t>192,000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w:t>
            </w:r>
          </w:p>
        </w:tc>
      </w:tr>
      <w:tr>
        <w:trPr>
          <w:trHeight w:val="203"/>
        </w:trPr>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9, 2016</w:t>
            </w:r>
          </w:p>
        </w:tc>
        <w:tc>
          <w:tcPr>
            <w:tcW w:w="7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5"/>
              </w:rPr>
              <w:t>100,000</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3.30</w:t>
            </w: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August 3, 2016</w:t>
            </w:r>
          </w:p>
        </w:tc>
        <w:tc>
          <w:tcPr>
            <w:tcW w:w="780" w:type="dxa"/>
            <w:vAlign w:val="bottom"/>
          </w:tcPr>
          <w:p>
            <w:pPr>
              <w:ind w:left="140"/>
              <w:spacing w:after="0" w:line="202" w:lineRule="exact"/>
              <w:rPr>
                <w:sz w:val="20"/>
                <w:szCs w:val="20"/>
                <w:color w:val="auto"/>
              </w:rPr>
            </w:pPr>
            <w:r>
              <w:rPr>
                <w:rFonts w:ascii="Arial" w:cs="Arial" w:eastAsia="Arial" w:hAnsi="Arial"/>
                <w:sz w:val="18"/>
                <w:szCs w:val="18"/>
                <w:color w:val="auto"/>
                <w:w w:val="95"/>
              </w:rPr>
              <w:t>810,000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1.80</w:t>
            </w:r>
          </w:p>
        </w:tc>
      </w:tr>
      <w:tr>
        <w:trPr>
          <w:trHeight w:val="203"/>
        </w:trPr>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13, 2016</w:t>
            </w:r>
          </w:p>
        </w:tc>
        <w:tc>
          <w:tcPr>
            <w:tcW w:w="7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5"/>
              </w:rPr>
              <w:t>300,000</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1.89</w:t>
            </w:r>
          </w:p>
        </w:tc>
      </w:tr>
      <w:tr>
        <w:trPr>
          <w:trHeight w:val="214"/>
        </w:trPr>
        <w:tc>
          <w:tcPr>
            <w:tcW w:w="5600" w:type="dxa"/>
            <w:vAlign w:val="bottom"/>
            <w:gridSpan w:val="2"/>
          </w:tcPr>
          <w:p>
            <w:pPr>
              <w:spacing w:after="0"/>
              <w:rPr>
                <w:sz w:val="20"/>
                <w:szCs w:val="20"/>
                <w:color w:val="auto"/>
              </w:rPr>
            </w:pPr>
            <w:r>
              <w:rPr>
                <w:rFonts w:ascii="Arial" w:cs="Arial" w:eastAsia="Arial" w:hAnsi="Arial"/>
                <w:sz w:val="18"/>
                <w:szCs w:val="18"/>
                <w:color w:val="auto"/>
              </w:rPr>
              <w:t>September 26, 2016</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300,000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August 6, 2014, the registrant issued a warrant to purchase 200,000 ordinary shares to its nominated advisor at an exercise price of £1.10 for 133,333 ordinary shares and £1.75 for the remaining 66,667 ordinary shares.</w:t>
      </w:r>
    </w:p>
    <w:p>
      <w:pPr>
        <w:spacing w:after="0" w:line="1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July 29, 2016, the registrant issued warrants to purchase an aggregate of 12,446,370 ordinary shares to certain new and existing investors at an exercise price of £1.7238.</w:t>
      </w:r>
    </w:p>
    <w:p>
      <w:pPr>
        <w:spacing w:after="0" w:line="200" w:lineRule="exact"/>
        <w:rPr>
          <w:sz w:val="20"/>
          <w:szCs w:val="20"/>
          <w:color w:val="auto"/>
        </w:rPr>
      </w:pPr>
    </w:p>
    <w:p>
      <w:pPr>
        <w:sectPr>
          <w:pgSz w:w="11900" w:h="16838" w:orient="portrait"/>
          <w:cols w:equalWidth="0" w:num="2">
            <w:col w:w="760" w:space="320"/>
            <w:col w:w="10320"/>
          </w:cols>
          <w:pgMar w:left="240" w:top="143" w:right="259" w:bottom="1440" w:gutter="0" w:footer="0" w:header="0"/>
          <w:type w:val="continuous"/>
        </w:sectPr>
      </w:pPr>
    </w:p>
    <w:p>
      <w:pPr>
        <w:spacing w:after="0" w:line="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 of 1933, as amended, or the Securities Act.</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statements</w:t>
      </w:r>
    </w:p>
    <w:p>
      <w:pPr>
        <w:spacing w:after="0" w:line="212" w:lineRule="exact"/>
        <w:rPr>
          <w:sz w:val="20"/>
          <w:szCs w:val="20"/>
          <w:color w:val="auto"/>
        </w:rPr>
      </w:pPr>
    </w:p>
    <w:p>
      <w:pPr>
        <w:ind w:left="540" w:right="400" w:firstLine="8"/>
        <w:spacing w:after="0" w:line="264" w:lineRule="auto"/>
        <w:tabs>
          <w:tab w:leader="none" w:pos="949"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65" w:lineRule="exact"/>
        <w:rPr>
          <w:rFonts w:ascii="Arial" w:cs="Arial" w:eastAsia="Arial" w:hAnsi="Arial"/>
          <w:sz w:val="18"/>
          <w:szCs w:val="18"/>
          <w:color w:val="auto"/>
        </w:rPr>
      </w:pPr>
    </w:p>
    <w:p>
      <w:pPr>
        <w:ind w:left="540" w:right="500" w:firstLine="8"/>
        <w:spacing w:after="0" w:line="264" w:lineRule="auto"/>
        <w:tabs>
          <w:tab w:leader="none" w:pos="949"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4" w:lineRule="exact"/>
        <w:rPr>
          <w:sz w:val="20"/>
          <w:szCs w:val="20"/>
          <w:color w:val="auto"/>
        </w:rPr>
      </w:pPr>
    </w:p>
    <w:p>
      <w:pPr>
        <w:ind w:left="540" w:hanging="532"/>
        <w:spacing w:after="0" w:line="299"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62" w:lineRule="exact"/>
        <w:rPr>
          <w:rFonts w:ascii="Arial" w:cs="Arial" w:eastAsia="Arial" w:hAnsi="Arial"/>
          <w:sz w:val="16"/>
          <w:szCs w:val="16"/>
          <w:color w:val="auto"/>
        </w:rPr>
      </w:pPr>
    </w:p>
    <w:p>
      <w:pPr>
        <w:ind w:left="540" w:right="40" w:hanging="532"/>
        <w:spacing w:after="0" w:line="269"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80" w:hanging="532"/>
        <w:spacing w:after="0" w:line="237" w:lineRule="auto"/>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5" w:lineRule="exact"/>
        <w:rPr>
          <w:rFonts w:ascii="Arial" w:cs="Arial" w:eastAsia="Arial" w:hAnsi="Arial"/>
          <w:sz w:val="18"/>
          <w:szCs w:val="18"/>
          <w:color w:val="auto"/>
        </w:rPr>
      </w:pPr>
    </w:p>
    <w:p>
      <w:pPr>
        <w:ind w:left="1080" w:right="360" w:hanging="532"/>
        <w:spacing w:after="0" w:line="238" w:lineRule="auto"/>
        <w:tabs>
          <w:tab w:leader="none" w:pos="10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w:t>
      </w:r>
    </w:p>
    <w:tbl>
      <w:tblPr>
        <w:tblLayout w:type="fixed"/>
        <w:tblInd w:w="0" w:type="dxa"/>
        <w:tblCellMar>
          <w:top w:w="0" w:type="dxa"/>
          <w:left w:w="0" w:type="dxa"/>
          <w:bottom w:w="0" w:type="dxa"/>
          <w:right w:w="0" w:type="dxa"/>
        </w:tblCellMar>
      </w:tblP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thereunto duly authorized, in</w:t>
            </w:r>
          </w:p>
        </w:tc>
        <w:tc>
          <w:tcPr>
            <w:tcW w:w="3700" w:type="dxa"/>
            <w:vAlign w:val="bottom"/>
            <w:gridSpan w:val="2"/>
          </w:tcPr>
          <w:p>
            <w:pPr>
              <w:ind w:left="700"/>
              <w:spacing w:after="0"/>
              <w:rPr>
                <w:sz w:val="20"/>
                <w:szCs w:val="20"/>
                <w:color w:val="auto"/>
              </w:rPr>
            </w:pPr>
            <w:r>
              <w:rPr>
                <w:rFonts w:ascii="Arial" w:cs="Arial" w:eastAsia="Arial" w:hAnsi="Arial"/>
                <w:sz w:val="18"/>
                <w:szCs w:val="18"/>
                <w:color w:val="auto"/>
              </w:rPr>
              <w:t>, the United Kingdom on</w:t>
            </w:r>
          </w:p>
        </w:tc>
        <w:tc>
          <w:tcPr>
            <w:tcW w:w="3680" w:type="dxa"/>
            <w:vAlign w:val="bottom"/>
          </w:tcPr>
          <w:p>
            <w:pPr>
              <w:ind w:left="300"/>
              <w:spacing w:after="0"/>
              <w:rPr>
                <w:sz w:val="20"/>
                <w:szCs w:val="20"/>
                <w:color w:val="auto"/>
              </w:rPr>
            </w:pPr>
            <w:r>
              <w:rPr>
                <w:rFonts w:ascii="Arial" w:cs="Arial" w:eastAsia="Arial" w:hAnsi="Arial"/>
                <w:sz w:val="18"/>
                <w:szCs w:val="18"/>
                <w:color w:val="auto"/>
              </w:rPr>
              <w:t>, 2017.</w:t>
            </w:r>
          </w:p>
        </w:tc>
      </w:tr>
      <w:tr>
        <w:trPr>
          <w:trHeight w:val="419"/>
        </w:trPr>
        <w:tc>
          <w:tcPr>
            <w:tcW w:w="2940" w:type="dxa"/>
            <w:vAlign w:val="bottom"/>
          </w:tcPr>
          <w:p>
            <w:pPr>
              <w:spacing w:after="0"/>
              <w:rPr>
                <w:sz w:val="24"/>
                <w:szCs w:val="24"/>
                <w:color w:val="auto"/>
              </w:rPr>
            </w:pPr>
          </w:p>
        </w:tc>
        <w:tc>
          <w:tcPr>
            <w:tcW w:w="7380" w:type="dxa"/>
            <w:vAlign w:val="bottom"/>
            <w:gridSpan w:val="3"/>
          </w:tcPr>
          <w:p>
            <w:pPr>
              <w:ind w:left="2700"/>
              <w:spacing w:after="0"/>
              <w:rPr>
                <w:sz w:val="20"/>
                <w:szCs w:val="20"/>
                <w:color w:val="auto"/>
              </w:rPr>
            </w:pPr>
            <w:r>
              <w:rPr>
                <w:rFonts w:ascii="Arial" w:cs="Arial" w:eastAsia="Arial" w:hAnsi="Arial"/>
                <w:sz w:val="18"/>
                <w:szCs w:val="18"/>
                <w:color w:val="auto"/>
              </w:rPr>
              <w:t>VERONA PHARMA PLC</w:t>
            </w:r>
          </w:p>
        </w:tc>
      </w:tr>
      <w:tr>
        <w:trPr>
          <w:trHeight w:val="446"/>
        </w:trPr>
        <w:tc>
          <w:tcPr>
            <w:tcW w:w="2940" w:type="dxa"/>
            <w:vAlign w:val="bottom"/>
          </w:tcPr>
          <w:p>
            <w:pPr>
              <w:spacing w:after="0"/>
              <w:rPr>
                <w:sz w:val="24"/>
                <w:szCs w:val="24"/>
                <w:color w:val="auto"/>
              </w:rPr>
            </w:pPr>
          </w:p>
        </w:tc>
        <w:tc>
          <w:tcPr>
            <w:tcW w:w="370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4"/>
                <w:szCs w:val="24"/>
                <w:color w:val="auto"/>
              </w:rPr>
            </w:pPr>
          </w:p>
        </w:tc>
      </w:tr>
      <w:tr>
        <w:trPr>
          <w:trHeight w:val="83"/>
        </w:trPr>
        <w:tc>
          <w:tcPr>
            <w:tcW w:w="29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r>
      <w:tr>
        <w:trPr>
          <w:trHeight w:val="280"/>
        </w:trPr>
        <w:tc>
          <w:tcPr>
            <w:tcW w:w="2940" w:type="dxa"/>
            <w:vAlign w:val="bottom"/>
          </w:tcPr>
          <w:p>
            <w:pPr>
              <w:spacing w:after="0"/>
              <w:rPr>
                <w:sz w:val="24"/>
                <w:szCs w:val="24"/>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Name:</w:t>
            </w:r>
          </w:p>
        </w:tc>
        <w:tc>
          <w:tcPr>
            <w:tcW w:w="3680" w:type="dxa"/>
            <w:vAlign w:val="bottom"/>
          </w:tcPr>
          <w:p>
            <w:pPr>
              <w:ind w:left="80"/>
              <w:spacing w:after="0"/>
              <w:rPr>
                <w:sz w:val="20"/>
                <w:szCs w:val="20"/>
                <w:color w:val="auto"/>
              </w:rPr>
            </w:pPr>
            <w:r>
              <w:rPr>
                <w:rFonts w:ascii="Arial" w:cs="Arial" w:eastAsia="Arial" w:hAnsi="Arial"/>
                <w:sz w:val="18"/>
                <w:szCs w:val="18"/>
                <w:color w:val="auto"/>
              </w:rPr>
              <w:t>Jan-Anders Karlsson, Ph.D.</w:t>
            </w:r>
          </w:p>
        </w:tc>
      </w:tr>
      <w:tr>
        <w:trPr>
          <w:trHeight w:val="211"/>
        </w:trPr>
        <w:tc>
          <w:tcPr>
            <w:tcW w:w="2940" w:type="dxa"/>
            <w:vAlign w:val="bottom"/>
          </w:tcPr>
          <w:p>
            <w:pPr>
              <w:spacing w:after="0"/>
              <w:rPr>
                <w:sz w:val="18"/>
                <w:szCs w:val="18"/>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446"/>
        </w:trPr>
        <w:tc>
          <w:tcPr>
            <w:tcW w:w="2940" w:type="dxa"/>
            <w:vAlign w:val="bottom"/>
          </w:tcPr>
          <w:p>
            <w:pPr>
              <w:spacing w:after="0"/>
              <w:rPr>
                <w:sz w:val="24"/>
                <w:szCs w:val="24"/>
                <w:color w:val="auto"/>
              </w:rPr>
            </w:pPr>
          </w:p>
        </w:tc>
        <w:tc>
          <w:tcPr>
            <w:tcW w:w="3700" w:type="dxa"/>
            <w:vAlign w:val="bottom"/>
            <w:gridSpan w:val="2"/>
          </w:tcPr>
          <w:p>
            <w:pPr>
              <w:ind w:left="2700"/>
              <w:spacing w:after="0"/>
              <w:rPr>
                <w:sz w:val="20"/>
                <w:szCs w:val="20"/>
                <w:color w:val="auto"/>
              </w:rPr>
            </w:pPr>
            <w:r>
              <w:rPr>
                <w:rFonts w:ascii="Arial" w:cs="Arial" w:eastAsia="Arial" w:hAnsi="Arial"/>
                <w:sz w:val="18"/>
                <w:szCs w:val="18"/>
                <w:color w:val="auto"/>
              </w:rPr>
              <w:t>By:</w:t>
            </w:r>
          </w:p>
        </w:tc>
        <w:tc>
          <w:tcPr>
            <w:tcW w:w="3680" w:type="dxa"/>
            <w:vAlign w:val="bottom"/>
          </w:tcPr>
          <w:p>
            <w:pPr>
              <w:spacing w:after="0"/>
              <w:rPr>
                <w:sz w:val="24"/>
                <w:szCs w:val="24"/>
                <w:color w:val="auto"/>
              </w:rPr>
            </w:pPr>
          </w:p>
        </w:tc>
      </w:tr>
      <w:tr>
        <w:trPr>
          <w:trHeight w:val="83"/>
        </w:trPr>
        <w:tc>
          <w:tcPr>
            <w:tcW w:w="29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r>
      <w:tr>
        <w:trPr>
          <w:trHeight w:val="280"/>
        </w:trPr>
        <w:tc>
          <w:tcPr>
            <w:tcW w:w="2940" w:type="dxa"/>
            <w:vAlign w:val="bottom"/>
          </w:tcPr>
          <w:p>
            <w:pPr>
              <w:spacing w:after="0"/>
              <w:rPr>
                <w:sz w:val="24"/>
                <w:szCs w:val="24"/>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Name:</w:t>
            </w:r>
          </w:p>
        </w:tc>
        <w:tc>
          <w:tcPr>
            <w:tcW w:w="3680" w:type="dxa"/>
            <w:vAlign w:val="bottom"/>
          </w:tcPr>
          <w:p>
            <w:pPr>
              <w:ind w:left="80"/>
              <w:spacing w:after="0"/>
              <w:rPr>
                <w:sz w:val="20"/>
                <w:szCs w:val="20"/>
                <w:color w:val="auto"/>
              </w:rPr>
            </w:pPr>
            <w:r>
              <w:rPr>
                <w:rFonts w:ascii="Arial" w:cs="Arial" w:eastAsia="Arial" w:hAnsi="Arial"/>
                <w:sz w:val="18"/>
                <w:szCs w:val="18"/>
                <w:color w:val="auto"/>
              </w:rPr>
              <w:t>Piers Morgan</w:t>
            </w:r>
          </w:p>
        </w:tc>
      </w:tr>
      <w:tr>
        <w:trPr>
          <w:trHeight w:val="211"/>
        </w:trPr>
        <w:tc>
          <w:tcPr>
            <w:tcW w:w="2940" w:type="dxa"/>
            <w:vAlign w:val="bottom"/>
          </w:tcPr>
          <w:p>
            <w:pPr>
              <w:spacing w:after="0"/>
              <w:rPr>
                <w:sz w:val="18"/>
                <w:szCs w:val="18"/>
                <w:color w:val="auto"/>
              </w:rPr>
            </w:pPr>
          </w:p>
        </w:tc>
        <w:tc>
          <w:tcPr>
            <w:tcW w:w="3700" w:type="dxa"/>
            <w:vAlign w:val="bottom"/>
            <w:gridSpan w:val="2"/>
          </w:tcPr>
          <w:p>
            <w:pPr>
              <w:ind w:left="3120"/>
              <w:spacing w:after="0"/>
              <w:rPr>
                <w:sz w:val="20"/>
                <w:szCs w:val="20"/>
                <w:color w:val="auto"/>
              </w:rPr>
            </w:pPr>
            <w:r>
              <w:rPr>
                <w:rFonts w:ascii="Arial" w:cs="Arial" w:eastAsia="Arial" w:hAnsi="Arial"/>
                <w:sz w:val="18"/>
                <w:szCs w:val="18"/>
                <w:color w:val="auto"/>
              </w:rPr>
              <w:t>Title:</w:t>
            </w:r>
          </w:p>
        </w:tc>
        <w:tc>
          <w:tcPr>
            <w:tcW w:w="36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Jan-Anders Karlsson and Piers Morgan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w:t>
      </w:r>
    </w:p>
    <w:tbl>
      <w:tblPr>
        <w:tblLayout w:type="fixed"/>
        <w:tblInd w:w="0" w:type="dxa"/>
        <w:tblCellMar>
          <w:top w:w="0" w:type="dxa"/>
          <w:left w:w="0" w:type="dxa"/>
          <w:bottom w:w="0" w:type="dxa"/>
          <w:right w:w="0" w:type="dxa"/>
        </w:tblCellMar>
      </w:tblPr>
      <w:tr>
        <w:trPr>
          <w:trHeight w:val="211"/>
        </w:trPr>
        <w:tc>
          <w:tcPr>
            <w:tcW w:w="1160" w:type="dxa"/>
            <w:vAlign w:val="bottom"/>
          </w:tcPr>
          <w:p>
            <w:pPr>
              <w:spacing w:after="0"/>
              <w:rPr>
                <w:sz w:val="20"/>
                <w:szCs w:val="20"/>
                <w:color w:val="auto"/>
              </w:rPr>
            </w:pPr>
            <w:r>
              <w:rPr>
                <w:rFonts w:ascii="Arial" w:cs="Arial" w:eastAsia="Arial" w:hAnsi="Arial"/>
                <w:sz w:val="18"/>
                <w:szCs w:val="18"/>
                <w:color w:val="auto"/>
              </w:rPr>
              <w:t>on</w:t>
            </w:r>
          </w:p>
        </w:tc>
        <w:tc>
          <w:tcPr>
            <w:tcW w:w="4400" w:type="dxa"/>
            <w:vAlign w:val="bottom"/>
            <w:gridSpan w:val="3"/>
          </w:tcPr>
          <w:p>
            <w:pPr>
              <w:ind w:left="460"/>
              <w:spacing w:after="0"/>
              <w:rPr>
                <w:sz w:val="20"/>
                <w:szCs w:val="20"/>
                <w:color w:val="auto"/>
              </w:rPr>
            </w:pPr>
            <w:r>
              <w:rPr>
                <w:rFonts w:ascii="Arial" w:cs="Arial" w:eastAsia="Arial" w:hAnsi="Arial"/>
                <w:sz w:val="18"/>
                <w:szCs w:val="18"/>
                <w:color w:val="auto"/>
              </w:rPr>
              <w:t>, 2017 in the capacities indicated:</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11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7"/>
              </w:rPr>
              <w:t>Chief Executive Officer and Member of the Board</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Jan-Anders Karlsson, Ph.D.</w:t>
            </w:r>
          </w:p>
        </w:tc>
        <w:tc>
          <w:tcPr>
            <w:tcW w:w="5860" w:type="dxa"/>
            <w:vAlign w:val="bottom"/>
            <w:gridSpan w:val="3"/>
          </w:tcPr>
          <w:p>
            <w:pPr>
              <w:jc w:val="center"/>
              <w:ind w:right="800"/>
              <w:spacing w:after="0" w:line="195" w:lineRule="exact"/>
              <w:rPr>
                <w:sz w:val="20"/>
                <w:szCs w:val="20"/>
                <w:color w:val="auto"/>
              </w:rPr>
            </w:pPr>
            <w:r>
              <w:rPr>
                <w:rFonts w:ascii="Arial" w:cs="Arial" w:eastAsia="Arial" w:hAnsi="Arial"/>
                <w:sz w:val="18"/>
                <w:szCs w:val="18"/>
                <w:color w:val="auto"/>
                <w:w w:val="98"/>
              </w:rPr>
              <w:t>(Principal Executive Officer)</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00" w:type="dxa"/>
            <w:vAlign w:val="bottom"/>
            <w:gridSpan w:val="3"/>
            <w:vMerge w:val="continue"/>
          </w:tcPr>
          <w:p>
            <w:pPr>
              <w:spacing w:after="0"/>
              <w:rPr>
                <w:sz w:val="8"/>
                <w:szCs w:val="8"/>
                <w:color w:val="auto"/>
              </w:rPr>
            </w:pPr>
          </w:p>
        </w:tc>
        <w:tc>
          <w:tcPr>
            <w:tcW w:w="2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8"/>
              </w:rPr>
              <w:t>Chief Financial Officer</w:t>
            </w: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5860" w:type="dxa"/>
            <w:vAlign w:val="bottom"/>
            <w:gridSpan w:val="3"/>
            <w:vMerge w:val="restart"/>
          </w:tcPr>
          <w:p>
            <w:pPr>
              <w:jc w:val="center"/>
              <w:ind w:right="800"/>
              <w:spacing w:after="0" w:line="202" w:lineRule="exact"/>
              <w:rPr>
                <w:sz w:val="20"/>
                <w:szCs w:val="20"/>
                <w:color w:val="auto"/>
              </w:rPr>
            </w:pPr>
            <w:r>
              <w:rPr>
                <w:rFonts w:ascii="Arial" w:cs="Arial" w:eastAsia="Arial" w:hAnsi="Arial"/>
                <w:sz w:val="18"/>
                <w:szCs w:val="18"/>
                <w:color w:val="auto"/>
                <w:w w:val="97"/>
              </w:rPr>
              <w:t>(Principal Financial Officer and Principal Accounting</w:t>
            </w:r>
          </w:p>
        </w:tc>
        <w:tc>
          <w:tcPr>
            <w:tcW w:w="0" w:type="dxa"/>
            <w:vAlign w:val="bottom"/>
          </w:tcPr>
          <w:p>
            <w:pPr>
              <w:spacing w:after="0"/>
              <w:rPr>
                <w:sz w:val="1"/>
                <w:szCs w:val="1"/>
                <w:color w:val="auto"/>
              </w:rPr>
            </w:pPr>
          </w:p>
        </w:tc>
      </w:tr>
      <w:tr>
        <w:trPr>
          <w:trHeight w:val="91"/>
        </w:trPr>
        <w:tc>
          <w:tcPr>
            <w:tcW w:w="1160" w:type="dxa"/>
            <w:vAlign w:val="bottom"/>
          </w:tcPr>
          <w:p>
            <w:pPr>
              <w:spacing w:after="0"/>
              <w:rPr>
                <w:sz w:val="7"/>
                <w:szCs w:val="7"/>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Piers Morgan</w:t>
            </w:r>
          </w:p>
        </w:tc>
        <w:tc>
          <w:tcPr>
            <w:tcW w:w="5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5860" w:type="dxa"/>
            <w:vAlign w:val="bottom"/>
            <w:gridSpan w:val="3"/>
          </w:tcPr>
          <w:p>
            <w:pPr>
              <w:jc w:val="center"/>
              <w:ind w:right="800"/>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60" w:type="dxa"/>
            <w:vAlign w:val="bottom"/>
            <w:gridSpan w:val="3"/>
            <w:vMerge w:val="restart"/>
          </w:tcPr>
          <w:p>
            <w:pPr>
              <w:jc w:val="center"/>
              <w:ind w:right="800"/>
              <w:spacing w:after="0"/>
              <w:rPr>
                <w:sz w:val="20"/>
                <w:szCs w:val="20"/>
                <w:color w:val="auto"/>
              </w:rPr>
            </w:pPr>
            <w:r>
              <w:rPr>
                <w:rFonts w:ascii="Arial" w:cs="Arial" w:eastAsia="Arial" w:hAnsi="Arial"/>
                <w:sz w:val="18"/>
                <w:szCs w:val="18"/>
                <w:color w:val="auto"/>
                <w:w w:val="98"/>
              </w:rPr>
              <w:t>Chairman of the Board</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440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7"/>
              </w:rPr>
              <w:t>David Ebsworth, Ph.D.</w:t>
            </w:r>
          </w:p>
        </w:tc>
        <w:tc>
          <w:tcPr>
            <w:tcW w:w="5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400" w:type="dxa"/>
            <w:vAlign w:val="bottom"/>
            <w:gridSpan w:val="3"/>
            <w:vMerge w:val="continue"/>
          </w:tcPr>
          <w:p>
            <w:pPr>
              <w:spacing w:after="0"/>
              <w:rPr>
                <w:sz w:val="17"/>
                <w:szCs w:val="17"/>
                <w:color w:val="auto"/>
              </w:rPr>
            </w:pPr>
          </w:p>
        </w:tc>
        <w:tc>
          <w:tcPr>
            <w:tcW w:w="2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60" w:type="dxa"/>
            <w:vAlign w:val="bottom"/>
            <w:gridSpan w:val="3"/>
          </w:tcPr>
          <w:p>
            <w:pPr>
              <w:ind w:left="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23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left="3140"/>
        <w:spacing w:after="0"/>
        <w:tabs>
          <w:tab w:leader="none" w:pos="79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Ken Cunningham, M.D.</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Patrick Humphrey, D.Sc.</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Rishi Gupta</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8"/>
          <w:szCs w:val="18"/>
          <w:color w:val="auto"/>
        </w:rPr>
        <w:t>Andrew Sinclair, Ph.D.</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color w:val="auto"/>
        </w:rPr>
        <w:t>Vikas Sinha</w:t>
      </w:r>
    </w:p>
    <w:p>
      <w:pPr>
        <w:spacing w:after="0" w:line="200" w:lineRule="exact"/>
        <w:rPr>
          <w:sz w:val="20"/>
          <w:szCs w:val="20"/>
          <w:color w:val="auto"/>
        </w:rPr>
      </w:pPr>
    </w:p>
    <w:p>
      <w:pPr>
        <w:spacing w:after="0" w:line="223"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79590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Anders Ullman, M.D., Ph.D.</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Act of 1933, as amended, the undersigned, the duly authorized representative in the United States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tcPr>
          <w:p>
            <w:pPr>
              <w:spacing w:after="0"/>
              <w:rPr>
                <w:sz w:val="20"/>
                <w:szCs w:val="20"/>
                <w:color w:val="auto"/>
              </w:rPr>
            </w:pPr>
            <w:r>
              <w:rPr>
                <w:rFonts w:ascii="Arial" w:cs="Arial" w:eastAsia="Arial" w:hAnsi="Arial"/>
                <w:sz w:val="18"/>
                <w:szCs w:val="18"/>
                <w:color w:val="auto"/>
              </w:rPr>
              <w:t>of Verona Pharma plc has signed this registration statement on</w:t>
            </w:r>
          </w:p>
        </w:tc>
        <w:tc>
          <w:tcPr>
            <w:tcW w:w="124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55245</wp:posOffset>
            </wp:positionV>
            <wp:extent cx="26498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ind w:left="6140"/>
        <w:spacing w:after="0" w:line="234" w:lineRule="auto"/>
        <w:tabs>
          <w:tab w:leader="none" w:pos="7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on behalf of National Corporate</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Research, Ltd.</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tbl>
      <w:tblPr>
        <w:tblLayout w:type="fixed"/>
        <w:tblInd w:w="116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16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75"/>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Exhibit Description</w:t>
            </w:r>
          </w:p>
        </w:tc>
      </w:tr>
      <w:tr>
        <w:trPr>
          <w:trHeight w:val="208"/>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Underwriting Agreement</w:t>
            </w:r>
          </w:p>
        </w:tc>
      </w:tr>
      <w:tr>
        <w:trPr>
          <w:trHeight w:val="446"/>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Articles of Association, as amended and as currently in effect</w:t>
            </w:r>
          </w:p>
        </w:tc>
      </w:tr>
      <w:tr>
        <w:trPr>
          <w:trHeight w:val="640"/>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Deposit Agreement</w:t>
            </w:r>
          </w:p>
        </w:tc>
      </w:tr>
      <w:tr>
        <w:trPr>
          <w:trHeight w:val="446"/>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American Depositary Receipt (included in Exhibit 4.1)</w:t>
            </w:r>
          </w:p>
        </w:tc>
      </w:tr>
      <w:tr>
        <w:trPr>
          <w:trHeight w:val="446"/>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Warrant issued to each of the investors named in Schedule A thereto</w:t>
            </w:r>
          </w:p>
        </w:tc>
      </w:tr>
      <w:tr>
        <w:trPr>
          <w:trHeight w:val="446"/>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Warrant Instrument issued to NPlus1 Singer LLP</w:t>
            </w:r>
          </w:p>
        </w:tc>
      </w:tr>
      <w:tr>
        <w:trPr>
          <w:trHeight w:val="446"/>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Opinion of Latham &amp; Watkins LLP</w:t>
            </w:r>
          </w:p>
        </w:tc>
      </w:tr>
      <w:tr>
        <w:trPr>
          <w:trHeight w:val="243"/>
        </w:trPr>
        <w:tc>
          <w:tcPr>
            <w:tcW w:w="920" w:type="dxa"/>
            <w:vAlign w:val="bottom"/>
            <w:gridSpan w:val="2"/>
          </w:tcPr>
          <w:p>
            <w:pPr>
              <w:jc w:val="right"/>
              <w:ind w:right="140"/>
              <w:spacing w:after="0" w:line="243" w:lineRule="exact"/>
              <w:rPr>
                <w:sz w:val="20"/>
                <w:szCs w:val="20"/>
                <w:color w:val="auto"/>
              </w:rPr>
            </w:pPr>
            <w:r>
              <w:rPr>
                <w:rFonts w:ascii="Arial" w:cs="Arial" w:eastAsia="Arial" w:hAnsi="Arial"/>
                <w:sz w:val="15"/>
                <w:szCs w:val="15"/>
                <w:color w:val="auto"/>
              </w:rPr>
              <w:t>10.1</w:t>
            </w:r>
            <w:r>
              <w:rPr>
                <w:rFonts w:ascii="Arial" w:cs="Arial" w:eastAsia="Arial" w:hAnsi="Arial"/>
                <w:sz w:val="28"/>
                <w:szCs w:val="28"/>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w w:val="98"/>
              </w:rPr>
              <w:t>Registration Rights Agreement dated July 29, 2016 by and among Registrant and the investors set forth</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therein</w:t>
            </w:r>
          </w:p>
        </w:tc>
      </w:tr>
      <w:tr>
        <w:trPr>
          <w:trHeight w:val="437"/>
        </w:trPr>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Intellectual Property Assignment and Licence Agreement between Vernalis Development Limited and</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Rhinopharma Limited, as predecessor to Registrant, dated February 7, 2005</w:t>
            </w:r>
          </w:p>
        </w:tc>
      </w:tr>
      <w:tr>
        <w:trPr>
          <w:trHeight w:val="437"/>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w w:val="97"/>
              </w:rPr>
              <w:t>Lease by and between the Registrant and Regus Management (UK) Limited dated October 17, 2014 and</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related Renewal Agreements dated September 30, 2015 and October 1, 2016</w:t>
            </w:r>
          </w:p>
        </w:tc>
      </w:tr>
      <w:tr>
        <w:trPr>
          <w:trHeight w:val="640"/>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10.3.1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Lease by and between the Registrant and Regus Management (UK) Limited dated October 26, 2016</w:t>
            </w:r>
          </w:p>
        </w:tc>
      </w:tr>
      <w:tr>
        <w:trPr>
          <w:trHeight w:val="446"/>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10.3.2</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Lease by and between the Registrant and Regus Management (UK) Limited dated October 26, 2016</w:t>
            </w:r>
          </w:p>
        </w:tc>
      </w:tr>
      <w:tr>
        <w:trPr>
          <w:trHeight w:val="446"/>
        </w:trPr>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EMI Option Scheme</w:t>
            </w:r>
          </w:p>
        </w:tc>
      </w:tr>
      <w:tr>
        <w:trPr>
          <w:trHeight w:val="446"/>
        </w:trPr>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Unapproved Share Option Scheme, as amended</w:t>
            </w:r>
          </w:p>
        </w:tc>
      </w:tr>
      <w:tr>
        <w:trPr>
          <w:trHeight w:val="243"/>
        </w:trPr>
        <w:tc>
          <w:tcPr>
            <w:tcW w:w="920" w:type="dxa"/>
            <w:vAlign w:val="bottom"/>
            <w:gridSpan w:val="2"/>
          </w:tcPr>
          <w:p>
            <w:pPr>
              <w:jc w:val="right"/>
              <w:ind w:right="120"/>
              <w:spacing w:after="0" w:line="243" w:lineRule="exact"/>
              <w:rPr>
                <w:sz w:val="20"/>
                <w:szCs w:val="20"/>
                <w:color w:val="auto"/>
              </w:rPr>
            </w:pPr>
            <w:r>
              <w:rPr>
                <w:rFonts w:ascii="Arial" w:cs="Arial" w:eastAsia="Arial" w:hAnsi="Arial"/>
                <w:sz w:val="15"/>
                <w:szCs w:val="15"/>
                <w:color w:val="auto"/>
              </w:rPr>
              <w:t>10.6</w:t>
            </w:r>
            <w:r>
              <w:rPr>
                <w:rFonts w:ascii="Arial" w:cs="Arial" w:eastAsia="Arial" w:hAnsi="Arial"/>
                <w:sz w:val="28"/>
                <w:szCs w:val="28"/>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April 30, 2012, as amended, between Registrant and Jan-Anders</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Karlsson</w:t>
            </w:r>
          </w:p>
        </w:tc>
      </w:tr>
      <w:tr>
        <w:trPr>
          <w:trHeight w:val="64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Offer Letter, dated December 15, 2014, between Registrant and Kenneth Newman</w:t>
            </w:r>
          </w:p>
        </w:tc>
      </w:tr>
      <w:tr>
        <w:trPr>
          <w:trHeight w:val="44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September 24, 2016, between Registrant and Piers John Morgan</w:t>
            </w:r>
          </w:p>
        </w:tc>
      </w:tr>
      <w:tr>
        <w:trPr>
          <w:trHeight w:val="44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October 1, 2016, between Registrant and Claire Poll</w:t>
            </w:r>
          </w:p>
        </w:tc>
      </w:tr>
      <w:tr>
        <w:trPr>
          <w:trHeight w:val="44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Employment Agreement, dated October 1, 2016, as amended, between Registrant and Peter Spargo</w:t>
            </w:r>
          </w:p>
        </w:tc>
      </w:tr>
      <w:tr>
        <w:trPr>
          <w:trHeight w:val="446"/>
        </w:trPr>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Form of Indemnification Agreement for board members and executive officers</w:t>
            </w:r>
          </w:p>
        </w:tc>
      </w:tr>
      <w:tr>
        <w:trPr>
          <w:trHeight w:val="243"/>
        </w:trPr>
        <w:tc>
          <w:tcPr>
            <w:tcW w:w="920" w:type="dxa"/>
            <w:vAlign w:val="bottom"/>
            <w:gridSpan w:val="2"/>
          </w:tcPr>
          <w:p>
            <w:pPr>
              <w:jc w:val="right"/>
              <w:ind w:right="140"/>
              <w:spacing w:after="0" w:line="243" w:lineRule="exact"/>
              <w:rPr>
                <w:sz w:val="20"/>
                <w:szCs w:val="20"/>
                <w:color w:val="auto"/>
              </w:rPr>
            </w:pPr>
            <w:r>
              <w:rPr>
                <w:rFonts w:ascii="Arial" w:cs="Arial" w:eastAsia="Arial" w:hAnsi="Arial"/>
                <w:sz w:val="15"/>
                <w:szCs w:val="15"/>
                <w:color w:val="auto"/>
              </w:rPr>
              <w:t>10.12</w:t>
            </w:r>
            <w:r>
              <w:rPr>
                <w:rFonts w:ascii="Arial" w:cs="Arial" w:eastAsia="Arial" w:hAnsi="Arial"/>
                <w:sz w:val="28"/>
                <w:szCs w:val="28"/>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Relationship Agreement relating to Verona Pharma plc, dated July 29, 2016, by and among the</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Registrant, OrbiMed Private Investments VI, LP and NPlus1 Singer Advisory LLP</w:t>
            </w:r>
          </w:p>
        </w:tc>
      </w:tr>
      <w:tr>
        <w:trPr>
          <w:trHeight w:val="437"/>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Relationship Agreement relating to Verona Pharma plc, dated July 29, 2016, by and among the</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Registrant, Abingworth Bioventures VI LP and NPlus1 Singer Advisory LLP</w:t>
            </w:r>
          </w:p>
        </w:tc>
      </w:tr>
      <w:tr>
        <w:trPr>
          <w:trHeight w:val="437"/>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r>
              <w:rPr>
                <w:rFonts w:ascii="Arial" w:cs="Arial" w:eastAsia="Arial" w:hAnsi="Arial"/>
                <w:sz w:val="35"/>
                <w:szCs w:val="35"/>
                <w:color w:val="auto"/>
                <w:vertAlign w:val="superscript"/>
              </w:rPr>
              <w:t>**</w:t>
            </w: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Relationship Agreement relating to Verona Pharma plc, dated July 29, 2016, by and among the</w:t>
            </w:r>
          </w:p>
        </w:tc>
      </w:tr>
      <w:tr>
        <w:trPr>
          <w:trHeight w:val="203"/>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Registrant, Vivo Ventures Fund VII, L.P., Vivo Ventures VII Affiliates Fund, L.P., Vivo Ventures</w:t>
            </w:r>
          </w:p>
        </w:tc>
      </w:tr>
      <w:tr>
        <w:trPr>
          <w:trHeight w:val="211"/>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40"/>
              <w:spacing w:after="0"/>
              <w:rPr>
                <w:sz w:val="20"/>
                <w:szCs w:val="20"/>
                <w:color w:val="auto"/>
              </w:rPr>
            </w:pPr>
            <w:r>
              <w:rPr>
                <w:rFonts w:ascii="Arial" w:cs="Arial" w:eastAsia="Arial" w:hAnsi="Arial"/>
                <w:sz w:val="18"/>
                <w:szCs w:val="18"/>
                <w:color w:val="auto"/>
              </w:rPr>
              <w:t>Fund VI, L.P., Vivo Ventures VI Affiliates Fund, L.P. and NPlus1 Singer Advisory LLP</w:t>
            </w:r>
          </w:p>
        </w:tc>
      </w:tr>
    </w:tbl>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75"/>
        </w:trPr>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674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Exhibit Description</w:t>
            </w:r>
          </w:p>
        </w:tc>
      </w:tr>
      <w:tr>
        <w:trPr>
          <w:trHeight w:val="199"/>
        </w:trPr>
        <w:tc>
          <w:tcPr>
            <w:tcW w:w="86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16.1**</w:t>
            </w:r>
          </w:p>
        </w:tc>
        <w:tc>
          <w:tcPr>
            <w:tcW w:w="8260" w:type="dxa"/>
            <w:vAlign w:val="bottom"/>
            <w:gridSpan w:val="3"/>
          </w:tcPr>
          <w:p>
            <w:pPr>
              <w:ind w:left="100"/>
              <w:spacing w:after="0" w:line="200" w:lineRule="exact"/>
              <w:rPr>
                <w:sz w:val="20"/>
                <w:szCs w:val="20"/>
                <w:color w:val="auto"/>
              </w:rPr>
            </w:pPr>
            <w:r>
              <w:rPr>
                <w:rFonts w:ascii="Arial" w:cs="Arial" w:eastAsia="Arial" w:hAnsi="Arial"/>
                <w:sz w:val="18"/>
                <w:szCs w:val="18"/>
                <w:color w:val="auto"/>
              </w:rPr>
              <w:t>Letter of UHY Hacker Young, dated December 20, 2016, regarding change in the Registrant's</w:t>
            </w:r>
          </w:p>
        </w:tc>
      </w:tr>
      <w:tr>
        <w:trPr>
          <w:trHeight w:val="211"/>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independent registered public accounting firm</w:t>
            </w:r>
          </w:p>
        </w:tc>
      </w:tr>
      <w:tr>
        <w:trPr>
          <w:trHeight w:val="640"/>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21.1</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List of Subsidiaries</w:t>
            </w:r>
          </w:p>
        </w:tc>
      </w:tr>
      <w:tr>
        <w:trPr>
          <w:trHeight w:val="446"/>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23.1</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46"/>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23.2</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446"/>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24.1</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Powers of Attorney (included on signature page to the registration statement)</w:t>
            </w:r>
          </w:p>
        </w:tc>
      </w:tr>
      <w:tr>
        <w:trPr>
          <w:trHeight w:val="348"/>
        </w:trPr>
        <w:tc>
          <w:tcPr>
            <w:tcW w:w="860" w:type="dxa"/>
            <w:vAlign w:val="bottom"/>
            <w:gridSpan w:val="2"/>
          </w:tcPr>
          <w:p>
            <w:pPr>
              <w:ind w:left="300"/>
              <w:spacing w:after="0" w:line="348" w:lineRule="exact"/>
              <w:rPr>
                <w:sz w:val="20"/>
                <w:szCs w:val="20"/>
                <w:color w:val="auto"/>
              </w:rPr>
            </w:pPr>
            <w:r>
              <w:rPr>
                <w:rFonts w:ascii="Arial" w:cs="Arial" w:eastAsia="Arial" w:hAnsi="Arial"/>
                <w:sz w:val="18"/>
                <w:szCs w:val="18"/>
                <w:color w:val="auto"/>
              </w:rPr>
              <w:t>99.1</w:t>
            </w:r>
            <w:r>
              <w:rPr>
                <w:rFonts w:ascii="Arial" w:cs="Arial" w:eastAsia="Arial" w:hAnsi="Arial"/>
                <w:sz w:val="35"/>
                <w:szCs w:val="35"/>
                <w:color w:val="auto"/>
                <w:vertAlign w:val="superscript"/>
              </w:rPr>
              <w:t>**</w:t>
            </w:r>
          </w:p>
        </w:tc>
        <w:tc>
          <w:tcPr>
            <w:tcW w:w="8260" w:type="dxa"/>
            <w:vAlign w:val="bottom"/>
            <w:gridSpan w:val="3"/>
          </w:tcPr>
          <w:p>
            <w:pPr>
              <w:ind w:left="100"/>
              <w:spacing w:after="0"/>
              <w:rPr>
                <w:sz w:val="20"/>
                <w:szCs w:val="20"/>
                <w:color w:val="auto"/>
              </w:rPr>
            </w:pPr>
            <w:r>
              <w:rPr>
                <w:rFonts w:ascii="Arial" w:cs="Arial" w:eastAsia="Arial" w:hAnsi="Arial"/>
                <w:sz w:val="18"/>
                <w:szCs w:val="18"/>
                <w:color w:val="auto"/>
              </w:rPr>
              <w:t>Request for Waiver from Requirements of Form 20-F, Item 8.A.4, dated January 27, 2017</w:t>
            </w:r>
          </w:p>
        </w:tc>
      </w:tr>
      <w:tr>
        <w:trPr>
          <w:trHeight w:val="20"/>
        </w:trPr>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6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**Previously filed.</w:t>
      </w:r>
    </w:p>
    <w:p>
      <w:pPr>
        <w:spacing w:after="0" w:line="163" w:lineRule="exact"/>
        <w:rPr>
          <w:sz w:val="20"/>
          <w:szCs w:val="20"/>
          <w:color w:val="auto"/>
        </w:rPr>
      </w:pPr>
    </w:p>
    <w:p>
      <w:pPr>
        <w:ind w:left="1680" w:hanging="531"/>
        <w:spacing w:after="0" w:line="258" w:lineRule="auto"/>
        <w:tabs>
          <w:tab w:leader="none" w:pos="168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140" w:lineRule="exact"/>
        <w:rPr>
          <w:sz w:val="20"/>
          <w:szCs w:val="20"/>
          <w:color w:val="auto"/>
        </w:rPr>
      </w:pPr>
    </w:p>
    <w:p>
      <w:pPr>
        <w:ind w:left="1680" w:hanging="531"/>
        <w:spacing w:after="0"/>
        <w:tabs>
          <w:tab w:leader="none" w:pos="168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Indicates senior management contract or compensatory plan.</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3" w:right="859" w:bottom="1440" w:gutter="0" w:footer="0" w:header="0"/>
        </w:sectPr>
      </w:pPr>
    </w:p>
    <w:bookmarkStart w:id="237" w:name="page238"/>
    <w:bookmarkEnd w:id="2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8" w:name="page239"/>
    <w:bookmarkEnd w:id="238"/>
    <w:p>
      <w:pPr>
        <w:ind w:left="10580"/>
        <w:spacing w:after="0"/>
        <w:rPr>
          <w:sz w:val="20"/>
          <w:szCs w:val="20"/>
          <w:color w:val="auto"/>
        </w:rPr>
      </w:pPr>
      <w:r>
        <w:rPr>
          <w:rFonts w:ascii="Arial" w:cs="Arial" w:eastAsia="Arial" w:hAnsi="Arial"/>
          <w:sz w:val="17"/>
          <w:szCs w:val="17"/>
          <w:b w:val="1"/>
          <w:bCs w:val="1"/>
          <w:color w:val="auto"/>
        </w:rPr>
        <w:t>Exhibit 3.1</w:t>
      </w:r>
    </w:p>
    <w:p>
      <w:pPr>
        <w:spacing w:after="0" w:line="241"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5375156</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of -</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 adopted by Special Resolution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on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February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Article No.</w:t>
            </w:r>
          </w:p>
        </w:tc>
        <w:tc>
          <w:tcPr>
            <w:tcW w:w="75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Page No.</w:t>
            </w:r>
          </w:p>
        </w:tc>
        <w:tc>
          <w:tcPr>
            <w:tcW w:w="40" w:type="dxa"/>
            <w:vAlign w:val="bottom"/>
          </w:tcPr>
          <w:p>
            <w:pPr>
              <w:spacing w:after="0"/>
              <w:rPr>
                <w:sz w:val="14"/>
                <w:szCs w:val="14"/>
                <w:color w:val="auto"/>
              </w:rPr>
            </w:pPr>
          </w:p>
        </w:tc>
      </w:tr>
      <w:tr>
        <w:trPr>
          <w:trHeight w:val="411"/>
        </w:trPr>
        <w:tc>
          <w:tcPr>
            <w:tcW w:w="980" w:type="dxa"/>
            <w:vAlign w:val="bottom"/>
          </w:tcPr>
          <w:p>
            <w:pPr>
              <w:spacing w:after="0"/>
              <w:rPr>
                <w:sz w:val="20"/>
                <w:szCs w:val="20"/>
                <w:color w:val="auto"/>
              </w:rPr>
            </w:pPr>
            <w:r>
              <w:rPr>
                <w:rFonts w:ascii="Arial" w:cs="Arial" w:eastAsia="Arial" w:hAnsi="Arial"/>
                <w:sz w:val="18"/>
                <w:szCs w:val="18"/>
                <w:color w:val="auto"/>
              </w:rPr>
              <w:t>1</w:t>
            </w:r>
          </w:p>
        </w:tc>
        <w:tc>
          <w:tcPr>
            <w:tcW w:w="7580" w:type="dxa"/>
            <w:vAlign w:val="bottom"/>
          </w:tcPr>
          <w:p>
            <w:pPr>
              <w:ind w:left="280"/>
              <w:spacing w:after="0"/>
              <w:rPr>
                <w:sz w:val="20"/>
                <w:szCs w:val="20"/>
                <w:color w:val="auto"/>
              </w:rPr>
            </w:pPr>
            <w:r>
              <w:rPr>
                <w:rFonts w:ascii="Arial" w:cs="Arial" w:eastAsia="Arial" w:hAnsi="Arial"/>
                <w:sz w:val="18"/>
                <w:szCs w:val="18"/>
                <w:color w:val="auto"/>
              </w:rPr>
              <w:t>PRELIMINARY</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w:t>
            </w:r>
          </w:p>
        </w:tc>
        <w:tc>
          <w:tcPr>
            <w:tcW w:w="7580" w:type="dxa"/>
            <w:vAlign w:val="bottom"/>
          </w:tcPr>
          <w:p>
            <w:pPr>
              <w:ind w:left="280"/>
              <w:spacing w:after="0"/>
              <w:rPr>
                <w:sz w:val="20"/>
                <w:szCs w:val="20"/>
                <w:color w:val="auto"/>
              </w:rPr>
            </w:pPr>
            <w:r>
              <w:rPr>
                <w:rFonts w:ascii="Arial" w:cs="Arial" w:eastAsia="Arial" w:hAnsi="Arial"/>
                <w:sz w:val="18"/>
                <w:szCs w:val="18"/>
                <w:color w:val="auto"/>
              </w:rPr>
              <w:t>BUSINESS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w:t>
            </w:r>
          </w:p>
        </w:tc>
        <w:tc>
          <w:tcPr>
            <w:tcW w:w="7580" w:type="dxa"/>
            <w:vAlign w:val="bottom"/>
          </w:tcPr>
          <w:p>
            <w:pPr>
              <w:ind w:left="280"/>
              <w:spacing w:after="0"/>
              <w:rPr>
                <w:sz w:val="20"/>
                <w:szCs w:val="20"/>
                <w:color w:val="auto"/>
              </w:rPr>
            </w:pPr>
            <w:r>
              <w:rPr>
                <w:rFonts w:ascii="Arial" w:cs="Arial" w:eastAsia="Arial" w:hAnsi="Arial"/>
                <w:sz w:val="18"/>
                <w:szCs w:val="18"/>
                <w:color w:val="auto"/>
              </w:rPr>
              <w:t>CAPITAL</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w:t>
            </w:r>
          </w:p>
        </w:tc>
        <w:tc>
          <w:tcPr>
            <w:tcW w:w="7580" w:type="dxa"/>
            <w:vAlign w:val="bottom"/>
          </w:tcPr>
          <w:p>
            <w:pPr>
              <w:ind w:left="280"/>
              <w:spacing w:after="0"/>
              <w:rPr>
                <w:sz w:val="20"/>
                <w:szCs w:val="20"/>
                <w:color w:val="auto"/>
              </w:rPr>
            </w:pPr>
            <w:r>
              <w:rPr>
                <w:rFonts w:ascii="Arial" w:cs="Arial" w:eastAsia="Arial" w:hAnsi="Arial"/>
                <w:sz w:val="18"/>
                <w:szCs w:val="18"/>
                <w:color w:val="auto"/>
              </w:rPr>
              <w:t>SHARE RIGHTS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5</w:t>
            </w:r>
          </w:p>
        </w:tc>
        <w:tc>
          <w:tcPr>
            <w:tcW w:w="7580" w:type="dxa"/>
            <w:vAlign w:val="bottom"/>
          </w:tcPr>
          <w:p>
            <w:pPr>
              <w:ind w:left="280"/>
              <w:spacing w:after="0"/>
              <w:rPr>
                <w:sz w:val="20"/>
                <w:szCs w:val="20"/>
                <w:color w:val="auto"/>
              </w:rPr>
            </w:pPr>
            <w:r>
              <w:rPr>
                <w:rFonts w:ascii="Arial" w:cs="Arial" w:eastAsia="Arial" w:hAnsi="Arial"/>
                <w:sz w:val="18"/>
                <w:szCs w:val="18"/>
                <w:color w:val="auto"/>
              </w:rPr>
              <w:t>SHARE CERTIFICATES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6</w:t>
            </w:r>
          </w:p>
        </w:tc>
        <w:tc>
          <w:tcPr>
            <w:tcW w:w="7580" w:type="dxa"/>
            <w:vAlign w:val="bottom"/>
          </w:tcPr>
          <w:p>
            <w:pPr>
              <w:ind w:left="280"/>
              <w:spacing w:after="0"/>
              <w:rPr>
                <w:sz w:val="20"/>
                <w:szCs w:val="20"/>
                <w:color w:val="auto"/>
              </w:rPr>
            </w:pPr>
            <w:r>
              <w:rPr>
                <w:rFonts w:ascii="Arial" w:cs="Arial" w:eastAsia="Arial" w:hAnsi="Arial"/>
                <w:sz w:val="18"/>
                <w:szCs w:val="18"/>
                <w:color w:val="auto"/>
              </w:rPr>
              <w:t>CALLS ON SHARES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7</w:t>
            </w:r>
          </w:p>
        </w:tc>
        <w:tc>
          <w:tcPr>
            <w:tcW w:w="7580" w:type="dxa"/>
            <w:vAlign w:val="bottom"/>
          </w:tcPr>
          <w:p>
            <w:pPr>
              <w:ind w:left="280"/>
              <w:spacing w:after="0"/>
              <w:rPr>
                <w:sz w:val="20"/>
                <w:szCs w:val="20"/>
                <w:color w:val="auto"/>
              </w:rPr>
            </w:pPr>
            <w:r>
              <w:rPr>
                <w:rFonts w:ascii="Arial" w:cs="Arial" w:eastAsia="Arial" w:hAnsi="Arial"/>
                <w:sz w:val="18"/>
                <w:szCs w:val="18"/>
                <w:color w:val="auto"/>
              </w:rPr>
              <w:t>FORFEITURE</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8</w:t>
            </w:r>
          </w:p>
        </w:tc>
        <w:tc>
          <w:tcPr>
            <w:tcW w:w="7580" w:type="dxa"/>
            <w:vAlign w:val="bottom"/>
          </w:tcPr>
          <w:p>
            <w:pPr>
              <w:ind w:left="280"/>
              <w:spacing w:after="0"/>
              <w:rPr>
                <w:sz w:val="20"/>
                <w:szCs w:val="20"/>
                <w:color w:val="auto"/>
              </w:rPr>
            </w:pPr>
            <w:r>
              <w:rPr>
                <w:rFonts w:ascii="Arial" w:cs="Arial" w:eastAsia="Arial" w:hAnsi="Arial"/>
                <w:sz w:val="18"/>
                <w:szCs w:val="18"/>
                <w:color w:val="auto"/>
              </w:rPr>
              <w:t>LIEN</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9</w:t>
            </w:r>
          </w:p>
        </w:tc>
        <w:tc>
          <w:tcPr>
            <w:tcW w:w="7580" w:type="dxa"/>
            <w:vAlign w:val="bottom"/>
          </w:tcPr>
          <w:p>
            <w:pPr>
              <w:ind w:left="280"/>
              <w:spacing w:after="0"/>
              <w:rPr>
                <w:sz w:val="20"/>
                <w:szCs w:val="20"/>
                <w:color w:val="auto"/>
              </w:rPr>
            </w:pPr>
            <w:r>
              <w:rPr>
                <w:rFonts w:ascii="Arial" w:cs="Arial" w:eastAsia="Arial" w:hAnsi="Arial"/>
                <w:sz w:val="18"/>
                <w:szCs w:val="18"/>
                <w:color w:val="auto"/>
              </w:rPr>
              <w:t>TRANSFER OF SHARES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w:t>
            </w:r>
          </w:p>
        </w:tc>
        <w:tc>
          <w:tcPr>
            <w:tcW w:w="7580" w:type="dxa"/>
            <w:vAlign w:val="bottom"/>
          </w:tcPr>
          <w:p>
            <w:pPr>
              <w:ind w:left="280"/>
              <w:spacing w:after="0"/>
              <w:rPr>
                <w:sz w:val="20"/>
                <w:szCs w:val="20"/>
                <w:color w:val="auto"/>
              </w:rPr>
            </w:pPr>
            <w:r>
              <w:rPr>
                <w:rFonts w:ascii="Arial" w:cs="Arial" w:eastAsia="Arial" w:hAnsi="Arial"/>
                <w:sz w:val="18"/>
                <w:szCs w:val="18"/>
                <w:color w:val="auto"/>
              </w:rPr>
              <w:t>TRANSMISSION OF SHARES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7580" w:type="dxa"/>
            <w:vAlign w:val="bottom"/>
          </w:tcPr>
          <w:p>
            <w:pPr>
              <w:ind w:left="280"/>
              <w:spacing w:after="0"/>
              <w:rPr>
                <w:sz w:val="20"/>
                <w:szCs w:val="20"/>
                <w:color w:val="auto"/>
              </w:rPr>
            </w:pPr>
            <w:r>
              <w:rPr>
                <w:rFonts w:ascii="Arial" w:cs="Arial" w:eastAsia="Arial" w:hAnsi="Arial"/>
                <w:sz w:val="18"/>
                <w:szCs w:val="18"/>
                <w:color w:val="auto"/>
              </w:rPr>
              <w:t>FAILURE TO DISCLOSE INTERESTS IN SHARES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12</w:t>
            </w:r>
          </w:p>
        </w:tc>
        <w:tc>
          <w:tcPr>
            <w:tcW w:w="7580" w:type="dxa"/>
            <w:vAlign w:val="bottom"/>
          </w:tcPr>
          <w:p>
            <w:pPr>
              <w:ind w:left="280"/>
              <w:spacing w:after="0"/>
              <w:rPr>
                <w:sz w:val="20"/>
                <w:szCs w:val="20"/>
                <w:color w:val="auto"/>
              </w:rPr>
            </w:pPr>
            <w:r>
              <w:rPr>
                <w:rFonts w:ascii="Arial" w:cs="Arial" w:eastAsia="Arial" w:hAnsi="Arial"/>
                <w:sz w:val="18"/>
                <w:szCs w:val="18"/>
                <w:color w:val="auto"/>
              </w:rPr>
              <w:t>STOCK</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13</w:t>
            </w:r>
          </w:p>
        </w:tc>
        <w:tc>
          <w:tcPr>
            <w:tcW w:w="7580" w:type="dxa"/>
            <w:vAlign w:val="bottom"/>
          </w:tcPr>
          <w:p>
            <w:pPr>
              <w:ind w:left="280"/>
              <w:spacing w:after="0"/>
              <w:rPr>
                <w:sz w:val="20"/>
                <w:szCs w:val="20"/>
                <w:color w:val="auto"/>
              </w:rPr>
            </w:pPr>
            <w:r>
              <w:rPr>
                <w:rFonts w:ascii="Arial" w:cs="Arial" w:eastAsia="Arial" w:hAnsi="Arial"/>
                <w:sz w:val="18"/>
                <w:szCs w:val="18"/>
                <w:color w:val="auto"/>
              </w:rPr>
              <w:t>ALTERATIONS TO CAPITAL</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14</w:t>
            </w:r>
          </w:p>
        </w:tc>
        <w:tc>
          <w:tcPr>
            <w:tcW w:w="7580" w:type="dxa"/>
            <w:vAlign w:val="bottom"/>
          </w:tcPr>
          <w:p>
            <w:pPr>
              <w:ind w:left="280"/>
              <w:spacing w:after="0"/>
              <w:rPr>
                <w:sz w:val="20"/>
                <w:szCs w:val="20"/>
                <w:color w:val="auto"/>
              </w:rPr>
            </w:pPr>
            <w:r>
              <w:rPr>
                <w:rFonts w:ascii="Arial" w:cs="Arial" w:eastAsia="Arial" w:hAnsi="Arial"/>
                <w:sz w:val="18"/>
                <w:szCs w:val="18"/>
                <w:color w:val="auto"/>
              </w:rPr>
              <w:t>MODIFICATION OF CLASS RIGHTS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15</w:t>
            </w:r>
          </w:p>
        </w:tc>
        <w:tc>
          <w:tcPr>
            <w:tcW w:w="7580" w:type="dxa"/>
            <w:vAlign w:val="bottom"/>
          </w:tcPr>
          <w:p>
            <w:pPr>
              <w:ind w:left="280"/>
              <w:spacing w:after="0"/>
              <w:rPr>
                <w:sz w:val="20"/>
                <w:szCs w:val="20"/>
                <w:color w:val="auto"/>
              </w:rPr>
            </w:pPr>
            <w:r>
              <w:rPr>
                <w:rFonts w:ascii="Arial" w:cs="Arial" w:eastAsia="Arial" w:hAnsi="Arial"/>
                <w:sz w:val="18"/>
                <w:szCs w:val="18"/>
                <w:color w:val="auto"/>
              </w:rPr>
              <w:t>GENERAL MEETINGS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16</w:t>
            </w:r>
          </w:p>
        </w:tc>
        <w:tc>
          <w:tcPr>
            <w:tcW w:w="7580" w:type="dxa"/>
            <w:vAlign w:val="bottom"/>
          </w:tcPr>
          <w:p>
            <w:pPr>
              <w:ind w:left="280"/>
              <w:spacing w:after="0"/>
              <w:rPr>
                <w:sz w:val="20"/>
                <w:szCs w:val="20"/>
                <w:color w:val="auto"/>
              </w:rPr>
            </w:pPr>
            <w:r>
              <w:rPr>
                <w:rFonts w:ascii="Arial" w:cs="Arial" w:eastAsia="Arial" w:hAnsi="Arial"/>
                <w:sz w:val="18"/>
                <w:szCs w:val="18"/>
                <w:color w:val="auto"/>
              </w:rPr>
              <w:t>NOTICE OF GENERAL MEETINGS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17</w:t>
            </w:r>
          </w:p>
        </w:tc>
        <w:tc>
          <w:tcPr>
            <w:tcW w:w="7580" w:type="dxa"/>
            <w:vAlign w:val="bottom"/>
          </w:tcPr>
          <w:p>
            <w:pPr>
              <w:ind w:left="280"/>
              <w:spacing w:after="0"/>
              <w:rPr>
                <w:sz w:val="20"/>
                <w:szCs w:val="20"/>
                <w:color w:val="auto"/>
              </w:rPr>
            </w:pPr>
            <w:r>
              <w:rPr>
                <w:rFonts w:ascii="Arial" w:cs="Arial" w:eastAsia="Arial" w:hAnsi="Arial"/>
                <w:sz w:val="18"/>
                <w:szCs w:val="18"/>
                <w:color w:val="auto"/>
              </w:rPr>
              <w:t>PROCEEDINGS AT GENERAL MEETINGS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18</w:t>
            </w:r>
          </w:p>
        </w:tc>
        <w:tc>
          <w:tcPr>
            <w:tcW w:w="7580" w:type="dxa"/>
            <w:vAlign w:val="bottom"/>
          </w:tcPr>
          <w:p>
            <w:pPr>
              <w:ind w:left="280"/>
              <w:spacing w:after="0"/>
              <w:rPr>
                <w:sz w:val="20"/>
                <w:szCs w:val="20"/>
                <w:color w:val="auto"/>
              </w:rPr>
            </w:pPr>
            <w:r>
              <w:rPr>
                <w:rFonts w:ascii="Arial" w:cs="Arial" w:eastAsia="Arial" w:hAnsi="Arial"/>
                <w:sz w:val="18"/>
                <w:szCs w:val="18"/>
                <w:color w:val="auto"/>
              </w:rPr>
              <w:t>VOTES OF MEMBERS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19</w:t>
            </w:r>
          </w:p>
        </w:tc>
        <w:tc>
          <w:tcPr>
            <w:tcW w:w="7580" w:type="dxa"/>
            <w:vAlign w:val="bottom"/>
          </w:tcPr>
          <w:p>
            <w:pPr>
              <w:ind w:left="280"/>
              <w:spacing w:after="0"/>
              <w:rPr>
                <w:sz w:val="20"/>
                <w:szCs w:val="20"/>
                <w:color w:val="auto"/>
              </w:rPr>
            </w:pPr>
            <w:r>
              <w:rPr>
                <w:rFonts w:ascii="Arial" w:cs="Arial" w:eastAsia="Arial" w:hAnsi="Arial"/>
                <w:sz w:val="18"/>
                <w:szCs w:val="18"/>
                <w:color w:val="auto"/>
              </w:rPr>
              <w:t>TERMINATION OF PROXY’S AUTHORITY</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w:t>
            </w:r>
          </w:p>
        </w:tc>
        <w:tc>
          <w:tcPr>
            <w:tcW w:w="7580" w:type="dxa"/>
            <w:vAlign w:val="bottom"/>
          </w:tcPr>
          <w:p>
            <w:pPr>
              <w:ind w:left="280"/>
              <w:spacing w:after="0"/>
              <w:rPr>
                <w:sz w:val="20"/>
                <w:szCs w:val="20"/>
                <w:color w:val="auto"/>
              </w:rPr>
            </w:pPr>
            <w:r>
              <w:rPr>
                <w:rFonts w:ascii="Arial" w:cs="Arial" w:eastAsia="Arial" w:hAnsi="Arial"/>
                <w:sz w:val="18"/>
                <w:szCs w:val="18"/>
                <w:color w:val="auto"/>
              </w:rPr>
              <w:t>CORPORATIONS ACTING BY REPRESENTATIVES AT MEETINGS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7580" w:type="dxa"/>
            <w:vAlign w:val="bottom"/>
          </w:tcPr>
          <w:p>
            <w:pPr>
              <w:ind w:left="280"/>
              <w:spacing w:after="0"/>
              <w:rPr>
                <w:sz w:val="20"/>
                <w:szCs w:val="20"/>
                <w:color w:val="auto"/>
              </w:rPr>
            </w:pPr>
            <w:r>
              <w:rPr>
                <w:rFonts w:ascii="Arial" w:cs="Arial" w:eastAsia="Arial" w:hAnsi="Arial"/>
                <w:sz w:val="18"/>
                <w:szCs w:val="18"/>
                <w:color w:val="auto"/>
              </w:rPr>
              <w:t>DIRECTORS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22</w:t>
            </w:r>
          </w:p>
        </w:tc>
        <w:tc>
          <w:tcPr>
            <w:tcW w:w="7580" w:type="dxa"/>
            <w:vAlign w:val="bottom"/>
          </w:tcPr>
          <w:p>
            <w:pPr>
              <w:ind w:left="280"/>
              <w:spacing w:after="0"/>
              <w:rPr>
                <w:sz w:val="20"/>
                <w:szCs w:val="20"/>
                <w:color w:val="auto"/>
              </w:rPr>
            </w:pPr>
            <w:r>
              <w:rPr>
                <w:rFonts w:ascii="Arial" w:cs="Arial" w:eastAsia="Arial" w:hAnsi="Arial"/>
                <w:sz w:val="18"/>
                <w:szCs w:val="18"/>
                <w:color w:val="auto"/>
              </w:rPr>
              <w:t>INTERESTS OF DIRECTORS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w:t>
            </w:r>
          </w:p>
        </w:tc>
        <w:tc>
          <w:tcPr>
            <w:tcW w:w="7580" w:type="dxa"/>
            <w:vAlign w:val="bottom"/>
          </w:tcPr>
          <w:p>
            <w:pPr>
              <w:ind w:left="280"/>
              <w:spacing w:after="0"/>
              <w:rPr>
                <w:sz w:val="20"/>
                <w:szCs w:val="20"/>
                <w:color w:val="auto"/>
              </w:rPr>
            </w:pPr>
            <w:r>
              <w:rPr>
                <w:rFonts w:ascii="Arial" w:cs="Arial" w:eastAsia="Arial" w:hAnsi="Arial"/>
                <w:sz w:val="18"/>
                <w:szCs w:val="18"/>
                <w:color w:val="auto"/>
              </w:rPr>
              <w:t>MANAGING AND OTHER EXECUTIVE DIRECTORS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24</w:t>
            </w:r>
          </w:p>
        </w:tc>
        <w:tc>
          <w:tcPr>
            <w:tcW w:w="7580" w:type="dxa"/>
            <w:vAlign w:val="bottom"/>
          </w:tcPr>
          <w:p>
            <w:pPr>
              <w:ind w:left="280"/>
              <w:spacing w:after="0"/>
              <w:rPr>
                <w:sz w:val="20"/>
                <w:szCs w:val="20"/>
                <w:color w:val="auto"/>
              </w:rPr>
            </w:pPr>
            <w:r>
              <w:rPr>
                <w:rFonts w:ascii="Arial" w:cs="Arial" w:eastAsia="Arial" w:hAnsi="Arial"/>
                <w:sz w:val="18"/>
                <w:szCs w:val="18"/>
                <w:color w:val="auto"/>
              </w:rPr>
              <w:t>POWERS OF DIRECTORS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25</w:t>
            </w:r>
          </w:p>
        </w:tc>
        <w:tc>
          <w:tcPr>
            <w:tcW w:w="7580" w:type="dxa"/>
            <w:vAlign w:val="bottom"/>
          </w:tcPr>
          <w:p>
            <w:pPr>
              <w:ind w:left="280"/>
              <w:spacing w:after="0"/>
              <w:rPr>
                <w:sz w:val="20"/>
                <w:szCs w:val="20"/>
                <w:color w:val="auto"/>
              </w:rPr>
            </w:pPr>
            <w:r>
              <w:rPr>
                <w:rFonts w:ascii="Arial" w:cs="Arial" w:eastAsia="Arial" w:hAnsi="Arial"/>
                <w:sz w:val="18"/>
                <w:szCs w:val="18"/>
                <w:color w:val="auto"/>
              </w:rPr>
              <w:t>POWERS OF BORROWING AND MORTGAGING</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26</w:t>
            </w:r>
          </w:p>
        </w:tc>
        <w:tc>
          <w:tcPr>
            <w:tcW w:w="7580" w:type="dxa"/>
            <w:vAlign w:val="bottom"/>
          </w:tcPr>
          <w:p>
            <w:pPr>
              <w:ind w:left="280"/>
              <w:spacing w:after="0"/>
              <w:rPr>
                <w:sz w:val="20"/>
                <w:szCs w:val="20"/>
                <w:color w:val="auto"/>
              </w:rPr>
            </w:pPr>
            <w:r>
              <w:rPr>
                <w:rFonts w:ascii="Arial" w:cs="Arial" w:eastAsia="Arial" w:hAnsi="Arial"/>
                <w:sz w:val="18"/>
                <w:szCs w:val="18"/>
                <w:color w:val="auto"/>
              </w:rPr>
              <w:t>ROTATION, RETIREMENT AND REMOVAL OF DIRECTORS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27</w:t>
            </w:r>
          </w:p>
        </w:tc>
        <w:tc>
          <w:tcPr>
            <w:tcW w:w="7580" w:type="dxa"/>
            <w:vAlign w:val="bottom"/>
          </w:tcPr>
          <w:p>
            <w:pPr>
              <w:ind w:left="280"/>
              <w:spacing w:after="0"/>
              <w:rPr>
                <w:sz w:val="20"/>
                <w:szCs w:val="20"/>
                <w:color w:val="auto"/>
              </w:rPr>
            </w:pPr>
            <w:r>
              <w:rPr>
                <w:rFonts w:ascii="Arial" w:cs="Arial" w:eastAsia="Arial" w:hAnsi="Arial"/>
                <w:sz w:val="18"/>
                <w:szCs w:val="18"/>
                <w:color w:val="auto"/>
              </w:rPr>
              <w:t>PROCEEDINGS OF THE BOARD</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28</w:t>
            </w:r>
          </w:p>
        </w:tc>
        <w:tc>
          <w:tcPr>
            <w:tcW w:w="7580" w:type="dxa"/>
            <w:vAlign w:val="bottom"/>
          </w:tcPr>
          <w:p>
            <w:pPr>
              <w:ind w:left="280"/>
              <w:spacing w:after="0"/>
              <w:rPr>
                <w:sz w:val="20"/>
                <w:szCs w:val="20"/>
                <w:color w:val="auto"/>
              </w:rPr>
            </w:pPr>
            <w:r>
              <w:rPr>
                <w:rFonts w:ascii="Arial" w:cs="Arial" w:eastAsia="Arial" w:hAnsi="Arial"/>
                <w:sz w:val="18"/>
                <w:szCs w:val="18"/>
                <w:color w:val="auto"/>
              </w:rPr>
              <w:t>ALTERNATE DIRECTORS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29</w:t>
            </w:r>
          </w:p>
        </w:tc>
        <w:tc>
          <w:tcPr>
            <w:tcW w:w="7580" w:type="dxa"/>
            <w:vAlign w:val="bottom"/>
          </w:tcPr>
          <w:p>
            <w:pPr>
              <w:ind w:left="280"/>
              <w:spacing w:after="0"/>
              <w:rPr>
                <w:sz w:val="20"/>
                <w:szCs w:val="20"/>
                <w:color w:val="auto"/>
              </w:rPr>
            </w:pPr>
            <w:r>
              <w:rPr>
                <w:rFonts w:ascii="Arial" w:cs="Arial" w:eastAsia="Arial" w:hAnsi="Arial"/>
                <w:sz w:val="18"/>
                <w:szCs w:val="18"/>
                <w:color w:val="auto"/>
              </w:rPr>
              <w:t>THE SEAL</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30</w:t>
            </w:r>
          </w:p>
        </w:tc>
        <w:tc>
          <w:tcPr>
            <w:tcW w:w="7580" w:type="dxa"/>
            <w:vAlign w:val="bottom"/>
          </w:tcPr>
          <w:p>
            <w:pPr>
              <w:ind w:left="280"/>
              <w:spacing w:after="0"/>
              <w:rPr>
                <w:sz w:val="20"/>
                <w:szCs w:val="20"/>
                <w:color w:val="auto"/>
              </w:rPr>
            </w:pPr>
            <w:r>
              <w:rPr>
                <w:rFonts w:ascii="Arial" w:cs="Arial" w:eastAsia="Arial" w:hAnsi="Arial"/>
                <w:sz w:val="18"/>
                <w:szCs w:val="18"/>
                <w:color w:val="auto"/>
              </w:rPr>
              <w:t>SECRETARY</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7580" w:type="dxa"/>
            <w:vAlign w:val="bottom"/>
          </w:tcPr>
          <w:p>
            <w:pPr>
              <w:ind w:left="280"/>
              <w:spacing w:after="0"/>
              <w:rPr>
                <w:sz w:val="20"/>
                <w:szCs w:val="20"/>
                <w:color w:val="auto"/>
              </w:rPr>
            </w:pPr>
            <w:r>
              <w:rPr>
                <w:rFonts w:ascii="Arial" w:cs="Arial" w:eastAsia="Arial" w:hAnsi="Arial"/>
                <w:sz w:val="18"/>
                <w:szCs w:val="18"/>
                <w:color w:val="auto"/>
              </w:rPr>
              <w:t>AUTHENTICATION OF DOCUMENTS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7580" w:type="dxa"/>
            <w:vAlign w:val="bottom"/>
          </w:tcPr>
          <w:p>
            <w:pPr>
              <w:ind w:left="280"/>
              <w:spacing w:after="0"/>
              <w:rPr>
                <w:sz w:val="20"/>
                <w:szCs w:val="20"/>
                <w:color w:val="auto"/>
              </w:rPr>
            </w:pPr>
            <w:r>
              <w:rPr>
                <w:rFonts w:ascii="Arial" w:cs="Arial" w:eastAsia="Arial" w:hAnsi="Arial"/>
                <w:sz w:val="18"/>
                <w:szCs w:val="18"/>
                <w:color w:val="auto"/>
              </w:rPr>
              <w:t>REGISTERS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33</w:t>
            </w:r>
          </w:p>
        </w:tc>
        <w:tc>
          <w:tcPr>
            <w:tcW w:w="758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34</w:t>
            </w:r>
          </w:p>
        </w:tc>
        <w:tc>
          <w:tcPr>
            <w:tcW w:w="7580" w:type="dxa"/>
            <w:vAlign w:val="bottom"/>
          </w:tcPr>
          <w:p>
            <w:pPr>
              <w:ind w:left="280"/>
              <w:spacing w:after="0"/>
              <w:rPr>
                <w:sz w:val="20"/>
                <w:szCs w:val="20"/>
                <w:color w:val="auto"/>
              </w:rPr>
            </w:pPr>
            <w:r>
              <w:rPr>
                <w:rFonts w:ascii="Arial" w:cs="Arial" w:eastAsia="Arial" w:hAnsi="Arial"/>
                <w:sz w:val="18"/>
                <w:szCs w:val="18"/>
                <w:color w:val="auto"/>
              </w:rPr>
              <w:t>CAPITALISATION OF PROFITS AND RESERVES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35</w:t>
            </w:r>
          </w:p>
        </w:tc>
        <w:tc>
          <w:tcPr>
            <w:tcW w:w="7580" w:type="dxa"/>
            <w:vAlign w:val="bottom"/>
          </w:tcPr>
          <w:p>
            <w:pPr>
              <w:ind w:left="280"/>
              <w:spacing w:after="0"/>
              <w:rPr>
                <w:sz w:val="20"/>
                <w:szCs w:val="20"/>
                <w:color w:val="auto"/>
              </w:rPr>
            </w:pPr>
            <w:r>
              <w:rPr>
                <w:rFonts w:ascii="Arial" w:cs="Arial" w:eastAsia="Arial" w:hAnsi="Arial"/>
                <w:sz w:val="18"/>
                <w:szCs w:val="18"/>
                <w:color w:val="auto"/>
              </w:rPr>
              <w:t>ACCOUNTS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36</w:t>
            </w:r>
          </w:p>
        </w:tc>
        <w:tc>
          <w:tcPr>
            <w:tcW w:w="7580" w:type="dxa"/>
            <w:vAlign w:val="bottom"/>
          </w:tcPr>
          <w:p>
            <w:pPr>
              <w:ind w:left="280"/>
              <w:spacing w:after="0"/>
              <w:rPr>
                <w:sz w:val="20"/>
                <w:szCs w:val="20"/>
                <w:color w:val="auto"/>
              </w:rPr>
            </w:pPr>
            <w:r>
              <w:rPr>
                <w:rFonts w:ascii="Arial" w:cs="Arial" w:eastAsia="Arial" w:hAnsi="Arial"/>
                <w:sz w:val="18"/>
                <w:szCs w:val="18"/>
                <w:color w:val="auto"/>
              </w:rPr>
              <w:t>AUDIT</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37</w:t>
            </w:r>
          </w:p>
        </w:tc>
        <w:tc>
          <w:tcPr>
            <w:tcW w:w="7580" w:type="dxa"/>
            <w:vAlign w:val="bottom"/>
          </w:tcPr>
          <w:p>
            <w:pPr>
              <w:ind w:left="280"/>
              <w:spacing w:after="0"/>
              <w:rPr>
                <w:sz w:val="20"/>
                <w:szCs w:val="20"/>
                <w:color w:val="auto"/>
              </w:rPr>
            </w:pPr>
            <w:r>
              <w:rPr>
                <w:rFonts w:ascii="Arial" w:cs="Arial" w:eastAsia="Arial" w:hAnsi="Arial"/>
                <w:sz w:val="18"/>
                <w:szCs w:val="18"/>
                <w:color w:val="auto"/>
              </w:rPr>
              <w:t>UNTRACED SHAREHOLDERS</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348"/>
        </w:trPr>
        <w:tc>
          <w:tcPr>
            <w:tcW w:w="980" w:type="dxa"/>
            <w:vAlign w:val="bottom"/>
            <w:tcBorders>
              <w:bottom w:val="single" w:sz="8" w:color="808080"/>
            </w:tcBorders>
          </w:tcPr>
          <w:p>
            <w:pPr>
              <w:spacing w:after="0"/>
              <w:rPr>
                <w:sz w:val="24"/>
                <w:szCs w:val="24"/>
                <w:color w:val="auto"/>
              </w:rPr>
            </w:pPr>
          </w:p>
        </w:tc>
        <w:tc>
          <w:tcPr>
            <w:tcW w:w="75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450"/>
              <w:spacing w:after="0"/>
              <w:rPr>
                <w:sz w:val="20"/>
                <w:szCs w:val="20"/>
                <w:color w:val="auto"/>
              </w:rPr>
            </w:pPr>
            <w:r>
              <w:rPr>
                <w:rFonts w:ascii="Arial" w:cs="Arial" w:eastAsia="Arial" w:hAnsi="Arial"/>
                <w:sz w:val="18"/>
                <w:szCs w:val="18"/>
                <w:color w:val="auto"/>
                <w:w w:val="79"/>
              </w:rPr>
              <w:t>38</w:t>
            </w:r>
          </w:p>
        </w:tc>
        <w:tc>
          <w:tcPr>
            <w:tcW w:w="7780" w:type="dxa"/>
            <w:vAlign w:val="bottom"/>
          </w:tcPr>
          <w:p>
            <w:pPr>
              <w:ind w:left="540"/>
              <w:spacing w:after="0"/>
              <w:rPr>
                <w:sz w:val="20"/>
                <w:szCs w:val="20"/>
                <w:color w:val="auto"/>
              </w:rPr>
            </w:pPr>
            <w:r>
              <w:rPr>
                <w:rFonts w:ascii="Arial" w:cs="Arial" w:eastAsia="Arial" w:hAnsi="Arial"/>
                <w:sz w:val="18"/>
                <w:szCs w:val="18"/>
                <w:color w:val="auto"/>
              </w:rPr>
              <w:t>NOTICES</w:t>
            </w:r>
          </w:p>
        </w:tc>
        <w:tc>
          <w:tcPr>
            <w:tcW w:w="2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20" w:type="dxa"/>
            <w:vAlign w:val="bottom"/>
          </w:tcPr>
          <w:p>
            <w:pPr>
              <w:jc w:val="right"/>
              <w:ind w:right="450"/>
              <w:spacing w:after="0"/>
              <w:rPr>
                <w:sz w:val="20"/>
                <w:szCs w:val="20"/>
                <w:color w:val="auto"/>
              </w:rPr>
            </w:pPr>
            <w:r>
              <w:rPr>
                <w:rFonts w:ascii="Arial" w:cs="Arial" w:eastAsia="Arial" w:hAnsi="Arial"/>
                <w:sz w:val="18"/>
                <w:szCs w:val="18"/>
                <w:color w:val="auto"/>
                <w:w w:val="79"/>
              </w:rPr>
              <w:t>39</w:t>
            </w:r>
          </w:p>
        </w:tc>
        <w:tc>
          <w:tcPr>
            <w:tcW w:w="7780" w:type="dxa"/>
            <w:vAlign w:val="bottom"/>
          </w:tcPr>
          <w:p>
            <w:pPr>
              <w:ind w:left="540"/>
              <w:spacing w:after="0"/>
              <w:rPr>
                <w:sz w:val="20"/>
                <w:szCs w:val="20"/>
                <w:color w:val="auto"/>
              </w:rPr>
            </w:pPr>
            <w:r>
              <w:rPr>
                <w:rFonts w:ascii="Arial" w:cs="Arial" w:eastAsia="Arial" w:hAnsi="Arial"/>
                <w:sz w:val="18"/>
                <w:szCs w:val="18"/>
                <w:color w:val="auto"/>
              </w:rPr>
              <w:t>WINDING UP</w:t>
            </w:r>
          </w:p>
        </w:tc>
        <w:tc>
          <w:tcPr>
            <w:tcW w:w="2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20" w:type="dxa"/>
            <w:vAlign w:val="bottom"/>
          </w:tcPr>
          <w:p>
            <w:pPr>
              <w:jc w:val="right"/>
              <w:ind w:right="450"/>
              <w:spacing w:after="0"/>
              <w:rPr>
                <w:sz w:val="20"/>
                <w:szCs w:val="20"/>
                <w:color w:val="auto"/>
              </w:rPr>
            </w:pPr>
            <w:r>
              <w:rPr>
                <w:rFonts w:ascii="Arial" w:cs="Arial" w:eastAsia="Arial" w:hAnsi="Arial"/>
                <w:sz w:val="18"/>
                <w:szCs w:val="18"/>
                <w:color w:val="auto"/>
                <w:w w:val="79"/>
              </w:rPr>
              <w:t>40</w:t>
            </w:r>
          </w:p>
        </w:tc>
        <w:tc>
          <w:tcPr>
            <w:tcW w:w="7780" w:type="dxa"/>
            <w:vAlign w:val="bottom"/>
          </w:tcPr>
          <w:p>
            <w:pPr>
              <w:ind w:left="540"/>
              <w:spacing w:after="0"/>
              <w:rPr>
                <w:sz w:val="20"/>
                <w:szCs w:val="20"/>
                <w:color w:val="auto"/>
              </w:rPr>
            </w:pPr>
            <w:r>
              <w:rPr>
                <w:rFonts w:ascii="Arial" w:cs="Arial" w:eastAsia="Arial" w:hAnsi="Arial"/>
                <w:sz w:val="18"/>
                <w:szCs w:val="18"/>
                <w:color w:val="auto"/>
              </w:rPr>
              <w:t>INDEMNITY</w:t>
            </w:r>
          </w:p>
        </w:tc>
        <w:tc>
          <w:tcPr>
            <w:tcW w:w="2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20" w:type="dxa"/>
            <w:vAlign w:val="bottom"/>
          </w:tcPr>
          <w:p>
            <w:pPr>
              <w:jc w:val="right"/>
              <w:ind w:right="450"/>
              <w:spacing w:after="0"/>
              <w:rPr>
                <w:sz w:val="20"/>
                <w:szCs w:val="20"/>
                <w:color w:val="auto"/>
              </w:rPr>
            </w:pPr>
            <w:r>
              <w:rPr>
                <w:rFonts w:ascii="Arial" w:cs="Arial" w:eastAsia="Arial" w:hAnsi="Arial"/>
                <w:sz w:val="18"/>
                <w:szCs w:val="18"/>
                <w:color w:val="auto"/>
                <w:w w:val="79"/>
              </w:rPr>
              <w:t>41</w:t>
            </w:r>
          </w:p>
        </w:tc>
        <w:tc>
          <w:tcPr>
            <w:tcW w:w="7780" w:type="dxa"/>
            <w:vAlign w:val="bottom"/>
          </w:tcPr>
          <w:p>
            <w:pPr>
              <w:ind w:left="540"/>
              <w:spacing w:after="0"/>
              <w:rPr>
                <w:sz w:val="20"/>
                <w:szCs w:val="20"/>
                <w:color w:val="auto"/>
              </w:rPr>
            </w:pPr>
            <w:r>
              <w:rPr>
                <w:rFonts w:ascii="Arial" w:cs="Arial" w:eastAsia="Arial" w:hAnsi="Arial"/>
                <w:sz w:val="18"/>
                <w:szCs w:val="18"/>
                <w:color w:val="auto"/>
              </w:rPr>
              <w:t>POWER TO APPOINT A PRESIDENT OF THE COMPANY</w:t>
            </w:r>
          </w:p>
        </w:tc>
        <w:tc>
          <w:tcPr>
            <w:tcW w:w="29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20" w:type="dxa"/>
            <w:vAlign w:val="bottom"/>
          </w:tcPr>
          <w:p>
            <w:pPr>
              <w:jc w:val="right"/>
              <w:ind w:right="450"/>
              <w:spacing w:after="0"/>
              <w:rPr>
                <w:sz w:val="20"/>
                <w:szCs w:val="20"/>
                <w:color w:val="auto"/>
              </w:rPr>
            </w:pPr>
            <w:r>
              <w:rPr>
                <w:rFonts w:ascii="Arial" w:cs="Arial" w:eastAsia="Arial" w:hAnsi="Arial"/>
                <w:sz w:val="18"/>
                <w:szCs w:val="18"/>
                <w:color w:val="auto"/>
                <w:w w:val="79"/>
              </w:rPr>
              <w:t>42</w:t>
            </w:r>
          </w:p>
        </w:tc>
        <w:tc>
          <w:tcPr>
            <w:tcW w:w="7780" w:type="dxa"/>
            <w:vAlign w:val="bottom"/>
          </w:tcPr>
          <w:p>
            <w:pPr>
              <w:ind w:left="540"/>
              <w:spacing w:after="0"/>
              <w:rPr>
                <w:sz w:val="20"/>
                <w:szCs w:val="20"/>
                <w:color w:val="auto"/>
              </w:rPr>
            </w:pPr>
            <w:r>
              <w:rPr>
                <w:rFonts w:ascii="Arial" w:cs="Arial" w:eastAsia="Arial" w:hAnsi="Arial"/>
                <w:sz w:val="18"/>
                <w:szCs w:val="18"/>
                <w:color w:val="auto"/>
              </w:rPr>
              <w:t>SHARE WARRANTS</w:t>
            </w:r>
          </w:p>
        </w:tc>
        <w:tc>
          <w:tcPr>
            <w:tcW w:w="2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48"/>
        </w:trPr>
        <w:tc>
          <w:tcPr>
            <w:tcW w:w="720" w:type="dxa"/>
            <w:vAlign w:val="bottom"/>
            <w:tcBorders>
              <w:bottom w:val="single" w:sz="8" w:color="808080"/>
            </w:tcBorders>
          </w:tcPr>
          <w:p>
            <w:pPr>
              <w:spacing w:after="0"/>
              <w:rPr>
                <w:sz w:val="24"/>
                <w:szCs w:val="24"/>
                <w:color w:val="auto"/>
              </w:rPr>
            </w:pPr>
          </w:p>
        </w:tc>
        <w:tc>
          <w:tcPr>
            <w:tcW w:w="778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of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adopted by Special Resolution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February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175260</wp:posOffset>
            </wp:positionV>
            <wp:extent cx="18268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w:t>
      </w:r>
    </w:p>
    <w:p>
      <w:pPr>
        <w:spacing w:after="0" w:line="225" w:lineRule="exact"/>
        <w:rPr>
          <w:sz w:val="20"/>
          <w:szCs w:val="20"/>
          <w:color w:val="auto"/>
        </w:rPr>
      </w:pPr>
    </w:p>
    <w:p>
      <w:pPr>
        <w:ind w:left="1140" w:right="280" w:hanging="647"/>
        <w:spacing w:after="0" w:line="259" w:lineRule="auto"/>
        <w:tabs>
          <w:tab w:leader="none" w:pos="11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The following regulations shall be the Articles of Association of the Company and the regulations contained in the Model Articles of Association applicable to the Company under or pursuant to the 2006 Act, or in Table A in the schedule to The Companies (Tables A to F) Regulations 1985 and in any Table A applicable to the Company under any former enactment relating to companies, shall not apply to the Company except in so far as they are repeated or contained in these Articles.</w:t>
      </w:r>
    </w:p>
    <w:p>
      <w:pPr>
        <w:spacing w:after="0" w:line="18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these Articles: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2006 Act</w:t>
      </w:r>
      <w:r>
        <w:rPr>
          <w:rFonts w:ascii="Arial" w:cs="Arial" w:eastAsia="Arial" w:hAnsi="Arial"/>
          <w:sz w:val="18"/>
          <w:szCs w:val="18"/>
          <w:color w:val="auto"/>
        </w:rPr>
        <w:t>” means the Companies Act 2006 including any modification or re-enactment thereof for the time being in force;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these Articles</w:t>
      </w:r>
      <w:r>
        <w:rPr>
          <w:rFonts w:ascii="Arial" w:cs="Arial" w:eastAsia="Arial" w:hAnsi="Arial"/>
          <w:sz w:val="18"/>
          <w:szCs w:val="18"/>
          <w:color w:val="auto"/>
        </w:rPr>
        <w:t>” means these Articles of Association as herein contained or as from time to time altered;</w:t>
      </w:r>
    </w:p>
    <w:p>
      <w:pPr>
        <w:spacing w:after="0" w:line="225" w:lineRule="exact"/>
        <w:rPr>
          <w:sz w:val="20"/>
          <w:szCs w:val="20"/>
          <w:color w:val="auto"/>
        </w:rPr>
      </w:pPr>
    </w:p>
    <w:p>
      <w:pPr>
        <w:ind w:left="76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Board</w:t>
      </w:r>
      <w:r>
        <w:rPr>
          <w:rFonts w:ascii="Arial" w:cs="Arial" w:eastAsia="Arial" w:hAnsi="Arial"/>
          <w:sz w:val="18"/>
          <w:szCs w:val="18"/>
          <w:color w:val="auto"/>
        </w:rPr>
        <w:t>” means the board of Directors of the Company or the Directors present at a duly convened meeting of Directors at which a quorum is present;</w:t>
      </w:r>
    </w:p>
    <w:p>
      <w:pPr>
        <w:spacing w:after="0" w:line="162" w:lineRule="exact"/>
        <w:rPr>
          <w:sz w:val="20"/>
          <w:szCs w:val="20"/>
          <w:color w:val="auto"/>
        </w:rPr>
      </w:pPr>
    </w:p>
    <w:p>
      <w:pPr>
        <w:ind w:left="760"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share</w:t>
      </w:r>
      <w:r>
        <w:rPr>
          <w:rFonts w:ascii="Arial" w:cs="Arial" w:eastAsia="Arial" w:hAnsi="Arial"/>
          <w:sz w:val="18"/>
          <w:szCs w:val="18"/>
          <w:color w:val="auto"/>
        </w:rPr>
        <w:t>” means a share which is not an uncertificated share and references to a share held in certificated form shall be construed accordingly;</w:t>
      </w:r>
    </w:p>
    <w:p>
      <w:pPr>
        <w:spacing w:after="0" w:line="162" w:lineRule="exact"/>
        <w:rPr>
          <w:sz w:val="20"/>
          <w:szCs w:val="20"/>
          <w:color w:val="auto"/>
        </w:rPr>
      </w:pPr>
    </w:p>
    <w:p>
      <w:pPr>
        <w:ind w:lef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when the notice is received or deemed to be received and the day for which it is given or on which it is to take effect;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Company</w:t>
      </w:r>
      <w:r>
        <w:rPr>
          <w:rFonts w:ascii="Arial" w:cs="Arial" w:eastAsia="Arial" w:hAnsi="Arial"/>
          <w:sz w:val="18"/>
          <w:szCs w:val="18"/>
          <w:color w:val="auto"/>
        </w:rPr>
        <w:t>” means Verona Pharma plc;</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shall have the same meaning as in the Electronic Communications Act 2000;</w:t>
      </w:r>
    </w:p>
    <w:p>
      <w:pPr>
        <w:spacing w:after="0" w:line="225" w:lineRule="exact"/>
        <w:rPr>
          <w:sz w:val="20"/>
          <w:szCs w:val="20"/>
          <w:color w:val="auto"/>
        </w:rPr>
      </w:pPr>
    </w:p>
    <w:p>
      <w:pPr>
        <w:ind w:left="760" w:right="7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holder of a share for the time being held on behalf of another person on the terms of a depositary agreement or a depositary receipt or a similar document;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Directors</w:t>
      </w:r>
      <w:r>
        <w:rPr>
          <w:rFonts w:ascii="Arial" w:cs="Arial" w:eastAsia="Arial" w:hAnsi="Arial"/>
          <w:sz w:val="18"/>
          <w:szCs w:val="18"/>
          <w:color w:val="auto"/>
        </w:rPr>
        <w:t>” means the directors for the time being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shall have the same meaning as in Section 1168 of the 2006 Act;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form</w:t>
      </w:r>
      <w:r>
        <w:rPr>
          <w:rFonts w:ascii="Arial" w:cs="Arial" w:eastAsia="Arial" w:hAnsi="Arial"/>
          <w:sz w:val="18"/>
          <w:szCs w:val="18"/>
          <w:color w:val="auto"/>
        </w:rPr>
        <w:t>” and “electronic means” have the meaning given to them in Section 1169 of the 2006 Act;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means executed under seal, under hand or in any other way;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 means a general meeting of the Members of the Company;</w:t>
      </w:r>
    </w:p>
    <w:p>
      <w:pPr>
        <w:spacing w:after="0" w:line="225" w:lineRule="exact"/>
        <w:rPr>
          <w:sz w:val="20"/>
          <w:szCs w:val="20"/>
          <w:color w:val="auto"/>
        </w:rPr>
      </w:pPr>
    </w:p>
    <w:p>
      <w:pPr>
        <w:ind w:left="760" w:right="40"/>
        <w:spacing w:after="0" w:line="282" w:lineRule="auto"/>
        <w:rPr>
          <w:sz w:val="20"/>
          <w:szCs w:val="20"/>
          <w:color w:val="auto"/>
        </w:rPr>
      </w:pPr>
      <w:r>
        <w:rPr>
          <w:rFonts w:ascii="Arial" w:cs="Arial" w:eastAsia="Arial" w:hAnsi="Arial"/>
          <w:sz w:val="18"/>
          <w:szCs w:val="18"/>
          <w:b w:val="1"/>
          <w:bCs w:val="1"/>
          <w:color w:val="auto"/>
        </w:rPr>
        <w:t xml:space="preserve">“the Group” </w:t>
      </w:r>
      <w:r>
        <w:rPr>
          <w:rFonts w:ascii="Arial" w:cs="Arial" w:eastAsia="Arial" w:hAnsi="Arial"/>
          <w:sz w:val="18"/>
          <w:szCs w:val="18"/>
          <w:color w:val="auto"/>
        </w:rPr>
        <w:t>means the Company and any company which is for the time being its holding company and any company which is for the time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a subsidiary of the Company or of such holding company;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London Stock Exchange</w:t>
      </w:r>
      <w:r>
        <w:rPr>
          <w:rFonts w:ascii="Arial" w:cs="Arial" w:eastAsia="Arial" w:hAnsi="Arial"/>
          <w:sz w:val="18"/>
          <w:szCs w:val="18"/>
          <w:color w:val="auto"/>
        </w:rPr>
        <w:t>” means the London Stock Exchange plc;</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w:t>
      </w:r>
      <w:r>
        <w:rPr>
          <w:rFonts w:ascii="Arial" w:cs="Arial" w:eastAsia="Arial" w:hAnsi="Arial"/>
          <w:sz w:val="16"/>
          <w:szCs w:val="16"/>
          <w:color w:val="auto"/>
        </w:rPr>
        <w:t>” means in respect of any share in the Company the person or person named for the time being in the Register as the holder(s) thereof;</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calendar month;</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market known as NASDAQ operated by The NASDAQ OMX Group, Inc.;</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Rules</w:t>
      </w:r>
      <w:r>
        <w:rPr>
          <w:rFonts w:ascii="Arial" w:cs="Arial" w:eastAsia="Arial" w:hAnsi="Arial"/>
          <w:sz w:val="18"/>
          <w:szCs w:val="18"/>
          <w:color w:val="auto"/>
        </w:rPr>
        <w:t>” means the rules of NASDAQ;</w:t>
      </w:r>
    </w:p>
    <w:p>
      <w:pPr>
        <w:sectPr>
          <w:pgSz w:w="11900" w:h="16838" w:orient="portrait"/>
          <w:cols w:equalWidth="0" w:num="1">
            <w:col w:w="11400"/>
          </w:cols>
          <w:pgMar w:left="240" w:top="337" w:right="259" w:bottom="0" w:gutter="0" w:footer="0" w:header="0"/>
        </w:sectPr>
      </w:pPr>
    </w:p>
    <w:bookmarkStart w:id="240" w:name="page241"/>
    <w:bookmarkEnd w:id="240"/>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Office</w:t>
      </w:r>
      <w:r>
        <w:rPr>
          <w:rFonts w:ascii="Arial" w:cs="Arial" w:eastAsia="Arial" w:hAnsi="Arial"/>
          <w:sz w:val="18"/>
          <w:szCs w:val="18"/>
          <w:color w:val="auto"/>
        </w:rPr>
        <w:t>” means the registered office for the time being of the Company;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of one twentieth of a pound Sterling (£0.05) each in the Company;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 Up</w:t>
      </w:r>
      <w:r>
        <w:rPr>
          <w:rFonts w:ascii="Arial" w:cs="Arial" w:eastAsia="Arial" w:hAnsi="Arial"/>
          <w:sz w:val="18"/>
          <w:szCs w:val="18"/>
          <w:color w:val="auto"/>
        </w:rPr>
        <w:t>” means paid up and/or credited as paid up;</w:t>
      </w:r>
    </w:p>
    <w:p>
      <w:pPr>
        <w:spacing w:after="0" w:line="225" w:lineRule="exact"/>
        <w:rPr>
          <w:sz w:val="20"/>
          <w:szCs w:val="20"/>
          <w:color w:val="auto"/>
        </w:rPr>
      </w:pPr>
    </w:p>
    <w:p>
      <w:pPr>
        <w:ind w:left="64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Prescribed Rate</w:t>
      </w:r>
      <w:r>
        <w:rPr>
          <w:rFonts w:ascii="Arial" w:cs="Arial" w:eastAsia="Arial" w:hAnsi="Arial"/>
          <w:sz w:val="16"/>
          <w:szCs w:val="16"/>
          <w:color w:val="auto"/>
        </w:rPr>
        <w:t>” means an annual rate of interest equal to four per cent. above the base lending rate (or any equivalent thereof or successor thereto) published from time to time by Barclays Bank plc in London, but not exceeding a maximum rate of 15 per cent. being the base lending rate in effect at the close of business in London on the day immediately preceding the day on which such rate falls to be determined;</w:t>
      </w:r>
    </w:p>
    <w:p>
      <w:pPr>
        <w:spacing w:after="0" w:line="142" w:lineRule="exact"/>
        <w:rPr>
          <w:sz w:val="20"/>
          <w:szCs w:val="20"/>
          <w:color w:val="auto"/>
        </w:rPr>
      </w:pPr>
    </w:p>
    <w:p>
      <w:pPr>
        <w:jc w:val="both"/>
        <w:ind w:left="644"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recognised person</w:t>
      </w:r>
      <w:r>
        <w:rPr>
          <w:rFonts w:ascii="Arial" w:cs="Arial" w:eastAsia="Arial" w:hAnsi="Arial"/>
          <w:sz w:val="18"/>
          <w:szCs w:val="18"/>
          <w:color w:val="auto"/>
        </w:rPr>
        <w:t>” means a recognised clearing house or a nominee of a recognised clearing house or of a recognised investment exchange who is designated as mentioned in Section 778(2) of the 2006 Act;</w:t>
      </w:r>
    </w:p>
    <w:p>
      <w:pPr>
        <w:spacing w:after="0" w:line="16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Register</w:t>
      </w:r>
      <w:r>
        <w:rPr>
          <w:rFonts w:ascii="Arial" w:cs="Arial" w:eastAsia="Arial" w:hAnsi="Arial"/>
          <w:sz w:val="18"/>
          <w:szCs w:val="18"/>
          <w:color w:val="auto"/>
        </w:rPr>
        <w:t>” means the register of Members of the Company;</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Regulations</w:t>
      </w:r>
      <w:r>
        <w:rPr>
          <w:rFonts w:ascii="Arial" w:cs="Arial" w:eastAsia="Arial" w:hAnsi="Arial"/>
          <w:sz w:val="18"/>
          <w:szCs w:val="18"/>
          <w:color w:val="auto"/>
        </w:rPr>
        <w:t>” means the Uncertificated Securities Regulations 2001 (SI 2001 No. 3755);</w:t>
      </w:r>
    </w:p>
    <w:p>
      <w:pPr>
        <w:spacing w:after="0" w:line="225" w:lineRule="exact"/>
        <w:rPr>
          <w:sz w:val="20"/>
          <w:szCs w:val="20"/>
          <w:color w:val="auto"/>
        </w:rPr>
      </w:pPr>
    </w:p>
    <w:p>
      <w:pPr>
        <w:ind w:left="644" w:right="1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the relevant system</w:t>
      </w:r>
      <w:r>
        <w:rPr>
          <w:rFonts w:ascii="Arial" w:cs="Arial" w:eastAsia="Arial" w:hAnsi="Arial"/>
          <w:sz w:val="17"/>
          <w:szCs w:val="17"/>
          <w:color w:val="auto"/>
        </w:rPr>
        <w:t>” means the computer-based system, and procedures, which enable title to units of a security to be evidenced and transferred without a written instrument, and which facilitate supplementary and incidental matters in accordance with the Regulations;</w:t>
      </w:r>
    </w:p>
    <w:p>
      <w:pPr>
        <w:spacing w:after="0" w:line="13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Seal</w:t>
      </w:r>
      <w:r>
        <w:rPr>
          <w:rFonts w:ascii="Arial" w:cs="Arial" w:eastAsia="Arial" w:hAnsi="Arial"/>
          <w:sz w:val="18"/>
          <w:szCs w:val="18"/>
          <w:color w:val="auto"/>
        </w:rPr>
        <w:t>” means the common seal of the Company;</w:t>
      </w:r>
    </w:p>
    <w:p>
      <w:pPr>
        <w:spacing w:after="0" w:line="225" w:lineRule="exact"/>
        <w:rPr>
          <w:sz w:val="20"/>
          <w:szCs w:val="20"/>
          <w:color w:val="auto"/>
        </w:rPr>
      </w:pPr>
    </w:p>
    <w:p>
      <w:pPr>
        <w:ind w:left="644"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Secretary</w:t>
      </w:r>
      <w:r>
        <w:rPr>
          <w:rFonts w:ascii="Arial" w:cs="Arial" w:eastAsia="Arial" w:hAnsi="Arial"/>
          <w:sz w:val="18"/>
          <w:szCs w:val="18"/>
          <w:color w:val="auto"/>
        </w:rPr>
        <w:t>” means the secretary of the Company and (subject to the provisions of the Act) any joint assistant or deputy secretary and any person appointed by the Directors to perform any of the duties of the secretary;</w:t>
      </w:r>
    </w:p>
    <w:p>
      <w:pPr>
        <w:spacing w:after="0" w:line="166"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Statutes</w:t>
      </w:r>
      <w:r>
        <w:rPr>
          <w:rFonts w:ascii="Arial" w:cs="Arial" w:eastAsia="Arial" w:hAnsi="Arial"/>
          <w:sz w:val="18"/>
          <w:szCs w:val="18"/>
          <w:color w:val="auto"/>
        </w:rPr>
        <w:t>” means the 2006 Act and every other statute (including any orders, regulations or other subordinate legislation made under them) for the time being in force concerning companies and affecting the Company;</w:t>
      </w:r>
    </w:p>
    <w:p>
      <w:pPr>
        <w:spacing w:after="0" w:line="16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Sterling</w:t>
      </w:r>
      <w:r>
        <w:rPr>
          <w:rFonts w:ascii="Arial" w:cs="Arial" w:eastAsia="Arial" w:hAnsi="Arial"/>
          <w:sz w:val="18"/>
          <w:szCs w:val="18"/>
          <w:color w:val="auto"/>
        </w:rPr>
        <w:t>” and “£” means the lawful currency of the United Kingdom;</w:t>
      </w:r>
    </w:p>
    <w:p>
      <w:pPr>
        <w:spacing w:after="0" w:line="225" w:lineRule="exact"/>
        <w:rPr>
          <w:sz w:val="20"/>
          <w:szCs w:val="20"/>
          <w:color w:val="auto"/>
        </w:rPr>
      </w:pPr>
    </w:p>
    <w:p>
      <w:pPr>
        <w:ind w:left="644"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w:t>
      </w:r>
      <w:r>
        <w:rPr>
          <w:rFonts w:ascii="Arial" w:cs="Arial" w:eastAsia="Arial" w:hAnsi="Arial"/>
          <w:sz w:val="18"/>
          <w:szCs w:val="18"/>
          <w:color w:val="auto"/>
        </w:rPr>
        <w:t>” means in relation to any share or other security of the Company that title to it is evidenced and transferred by means of the relevant system;</w:t>
      </w:r>
    </w:p>
    <w:p>
      <w:pPr>
        <w:spacing w:after="0" w:line="16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United Kingdom</w:t>
      </w:r>
      <w:r>
        <w:rPr>
          <w:rFonts w:ascii="Arial" w:cs="Arial" w:eastAsia="Arial" w:hAnsi="Arial"/>
          <w:sz w:val="18"/>
          <w:szCs w:val="18"/>
          <w:color w:val="auto"/>
        </w:rPr>
        <w:t>” means Great Britain and Northern Ireland; and</w:t>
      </w:r>
    </w:p>
    <w:p>
      <w:pPr>
        <w:spacing w:after="0" w:line="225" w:lineRule="exact"/>
        <w:rPr>
          <w:sz w:val="20"/>
          <w:szCs w:val="20"/>
          <w:color w:val="auto"/>
        </w:rPr>
      </w:pPr>
    </w:p>
    <w:p>
      <w:pPr>
        <w:jc w:val="both"/>
        <w:ind w:left="64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Writing</w:t>
      </w:r>
      <w:r>
        <w:rPr>
          <w:rFonts w:ascii="Arial" w:cs="Arial" w:eastAsia="Arial" w:hAnsi="Arial"/>
          <w:sz w:val="18"/>
          <w:szCs w:val="18"/>
          <w:color w:val="auto"/>
        </w:rPr>
        <w:t>” means written, printed, lithographed, or photographed, or visibly expressed in all or any of these or any other modes of representing or reproducing words, including materials transmitted by electronic communications which are capable of being printed out in hard copy plain text format.</w:t>
      </w:r>
    </w:p>
    <w:p>
      <w:pPr>
        <w:spacing w:after="0" w:line="176"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Words importing the singular number only shall include the plural number, and vice versa.</w:t>
      </w:r>
    </w:p>
    <w:p>
      <w:pPr>
        <w:spacing w:after="0" w:line="225"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Words importing the masculine gender only shall include the feminine gender.</w:t>
      </w:r>
    </w:p>
    <w:p>
      <w:pPr>
        <w:spacing w:after="0" w:line="225"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Words importing persons shall include corporations.</w:t>
      </w:r>
    </w:p>
    <w:p>
      <w:pPr>
        <w:spacing w:after="0" w:line="225" w:lineRule="exact"/>
        <w:rPr>
          <w:sz w:val="20"/>
          <w:szCs w:val="20"/>
          <w:color w:val="auto"/>
        </w:rPr>
      </w:pPr>
    </w:p>
    <w:p>
      <w:pPr>
        <w:ind w:left="1024" w:right="20" w:hanging="647"/>
        <w:spacing w:after="0" w:line="282" w:lineRule="auto"/>
        <w:tabs>
          <w:tab w:leader="none" w:pos="1004"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The expressions “</w:t>
      </w:r>
      <w:r>
        <w:rPr>
          <w:rFonts w:ascii="Arial" w:cs="Arial" w:eastAsia="Arial" w:hAnsi="Arial"/>
          <w:sz w:val="18"/>
          <w:szCs w:val="18"/>
          <w:b w:val="1"/>
          <w:bCs w:val="1"/>
          <w:color w:val="auto"/>
        </w:rPr>
        <w:t>share</w:t>
      </w:r>
      <w:r>
        <w:rPr>
          <w:rFonts w:ascii="Arial" w:cs="Arial" w:eastAsia="Arial" w:hAnsi="Arial"/>
          <w:sz w:val="18"/>
          <w:szCs w:val="18"/>
          <w:color w:val="auto"/>
        </w:rPr>
        <w:t>” and “</w:t>
      </w:r>
      <w:r>
        <w:rPr>
          <w:rFonts w:ascii="Arial" w:cs="Arial" w:eastAsia="Arial" w:hAnsi="Arial"/>
          <w:sz w:val="18"/>
          <w:szCs w:val="18"/>
          <w:b w:val="1"/>
          <w:bCs w:val="1"/>
          <w:color w:val="auto"/>
        </w:rPr>
        <w:t>shareholder</w:t>
      </w:r>
      <w:r>
        <w:rPr>
          <w:rFonts w:ascii="Arial" w:cs="Arial" w:eastAsia="Arial" w:hAnsi="Arial"/>
          <w:sz w:val="18"/>
          <w:szCs w:val="18"/>
          <w:color w:val="auto"/>
        </w:rPr>
        <w:t>” shall include stock and stockholder. The expressions “</w:t>
      </w:r>
      <w:r>
        <w:rPr>
          <w:rFonts w:ascii="Arial" w:cs="Arial" w:eastAsia="Arial" w:hAnsi="Arial"/>
          <w:sz w:val="18"/>
          <w:szCs w:val="18"/>
          <w:b w:val="1"/>
          <w:bCs w:val="1"/>
          <w:color w:val="auto"/>
        </w:rPr>
        <w:t>debenture</w:t>
      </w:r>
      <w:r>
        <w:rPr>
          <w:rFonts w:ascii="Arial" w:cs="Arial" w:eastAsia="Arial" w:hAnsi="Arial"/>
          <w:sz w:val="18"/>
          <w:szCs w:val="18"/>
          <w:color w:val="auto"/>
        </w:rPr>
        <w:t>” and “</w:t>
      </w:r>
      <w:r>
        <w:rPr>
          <w:rFonts w:ascii="Arial" w:cs="Arial" w:eastAsia="Arial" w:hAnsi="Arial"/>
          <w:sz w:val="18"/>
          <w:szCs w:val="18"/>
          <w:b w:val="1"/>
          <w:bCs w:val="1"/>
          <w:color w:val="auto"/>
        </w:rPr>
        <w:t>debenture holder</w:t>
      </w:r>
      <w:r>
        <w:rPr>
          <w:rFonts w:ascii="Arial" w:cs="Arial" w:eastAsia="Arial" w:hAnsi="Arial"/>
          <w:sz w:val="18"/>
          <w:szCs w:val="18"/>
          <w:color w:val="auto"/>
        </w:rPr>
        <w:t>” shall include debenture stock and debenture stockholder.</w:t>
      </w:r>
    </w:p>
    <w:p>
      <w:pPr>
        <w:spacing w:after="0" w:line="162" w:lineRule="exact"/>
        <w:rPr>
          <w:sz w:val="20"/>
          <w:szCs w:val="20"/>
          <w:color w:val="auto"/>
        </w:rPr>
      </w:pPr>
    </w:p>
    <w:p>
      <w:pPr>
        <w:ind w:left="1024" w:right="24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color w:val="auto"/>
        </w:rPr>
        <w:t>Subject as aforesaid, any words or expressions defined in the Statutes or the Regulations shall (except where the subject or context forbids) bear the same meaning in these Articles.</w:t>
      </w:r>
    </w:p>
    <w:p>
      <w:pPr>
        <w:spacing w:after="0" w:line="170" w:lineRule="exact"/>
        <w:rPr>
          <w:sz w:val="20"/>
          <w:szCs w:val="20"/>
          <w:color w:val="auto"/>
        </w:rPr>
      </w:pPr>
    </w:p>
    <w:p>
      <w:pPr>
        <w:ind w:left="1024" w:right="10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color w:val="auto"/>
        </w:rPr>
        <w:t>References to any Statute, statutory provision or regulation shall be construed as relating to any statutory modification or reenactment for the time being in force.</w:t>
      </w:r>
    </w:p>
    <w:p>
      <w:pPr>
        <w:spacing w:after="0" w:line="170"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color w:val="auto"/>
        </w:rPr>
        <w:t>The headings contained in these Articles are included for convenience only and shall not affect the construction of these Articles.</w:t>
      </w:r>
    </w:p>
    <w:p>
      <w:pPr>
        <w:spacing w:after="0" w:line="225" w:lineRule="exact"/>
        <w:rPr>
          <w:sz w:val="20"/>
          <w:szCs w:val="20"/>
          <w:color w:val="auto"/>
        </w:rPr>
      </w:pPr>
    </w:p>
    <w:p>
      <w:pPr>
        <w:ind w:left="1024" w:right="28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A special resolution shall be effective for any purpose for which an ordinary resolution is expressed to be required under any provisions of these Articles.</w:t>
      </w:r>
    </w:p>
    <w:p>
      <w:pPr>
        <w:spacing w:after="0" w:line="170" w:lineRule="exact"/>
        <w:rPr>
          <w:sz w:val="20"/>
          <w:szCs w:val="20"/>
          <w:color w:val="auto"/>
        </w:rPr>
      </w:pPr>
    </w:p>
    <w:p>
      <w:pPr>
        <w:ind w:left="644" w:hanging="644"/>
        <w:spacing w:after="0"/>
        <w:tabs>
          <w:tab w:leader="none" w:pos="644"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024" w:right="60" w:hanging="647"/>
        <w:spacing w:after="0" w:line="259" w:lineRule="auto"/>
        <w:tabs>
          <w:tab w:leader="none" w:pos="10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Any branch or kind of business which by these Articles, is either expressly or by implication authorised to be undertaken by the Company may be undertaken by the Company at such time as the Board shall think fit, and further, may be suffered by them to be in abeyance, whether such branch or kind of business may have been actually commenced or not, so long as the Board may deem it expedient not to commence or proceed with such branch or kind of business.</w:t>
      </w:r>
    </w:p>
    <w:p>
      <w:pPr>
        <w:spacing w:after="0" w:line="187" w:lineRule="exact"/>
        <w:rPr>
          <w:sz w:val="20"/>
          <w:szCs w:val="20"/>
          <w:color w:val="auto"/>
        </w:rPr>
      </w:pPr>
    </w:p>
    <w:p>
      <w:pPr>
        <w:ind w:left="644" w:hanging="644"/>
        <w:spacing w:after="0"/>
        <w:tabs>
          <w:tab w:leader="none" w:pos="644"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CAPITAL</w:t>
      </w:r>
    </w:p>
    <w:p>
      <w:pPr>
        <w:spacing w:after="0" w:line="225" w:lineRule="exact"/>
        <w:rPr>
          <w:sz w:val="20"/>
          <w:szCs w:val="20"/>
          <w:color w:val="auto"/>
        </w:rPr>
      </w:pPr>
    </w:p>
    <w:p>
      <w:pPr>
        <w:ind w:left="1024" w:right="36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Without prejudice to any special rights or privileges, including those conferring rights of pre-emption, for the time being conferred on the holders of any class of shares (which special rights shall not be modified, varied or abrogated except with such consent or sanction as is provided for by Article</w:t>
      </w:r>
    </w:p>
    <w:p>
      <w:pPr>
        <w:sectPr>
          <w:pgSz w:w="11900" w:h="16838" w:orient="portrait"/>
          <w:cols w:equalWidth="0" w:num="1">
            <w:col w:w="11284"/>
          </w:cols>
          <w:pgMar w:left="356" w:top="121" w:right="259" w:bottom="0" w:gutter="0" w:footer="0" w:header="0"/>
        </w:sectPr>
      </w:pPr>
    </w:p>
    <w:bookmarkStart w:id="241" w:name="page242"/>
    <w:bookmarkEnd w:id="241"/>
    <w:p>
      <w:pPr>
        <w:jc w:val="center"/>
        <w:ind w:right="9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4" w:right="160"/>
        <w:spacing w:after="0" w:line="259" w:lineRule="auto"/>
        <w:rPr>
          <w:sz w:val="20"/>
          <w:szCs w:val="20"/>
          <w:color w:val="auto"/>
        </w:rPr>
      </w:pPr>
      <w:r>
        <w:rPr>
          <w:rFonts w:ascii="Arial" w:cs="Arial" w:eastAsia="Arial" w:hAnsi="Arial"/>
          <w:sz w:val="18"/>
          <w:szCs w:val="18"/>
          <w:color w:val="auto"/>
        </w:rPr>
        <w:t>14.1), any share in the Company (whether forming part of the present capital or not) may be issued with or have attached thereto such preferred, deferred, or other special rights or privileges, or subject to such conditions or restrictions, whether in regard to dividend, return of capital, voting or otherwise, as the Company may from time to time by ordinary resolution direct, or failing such direction or such specific direction, as the Board may determine.</w:t>
      </w:r>
    </w:p>
    <w:p>
      <w:pPr>
        <w:spacing w:after="0" w:line="183"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The liability of the Members is limited to the amount, if unpaid, on the shares held by them.</w:t>
      </w:r>
    </w:p>
    <w:p>
      <w:pPr>
        <w:spacing w:after="0" w:line="225" w:lineRule="exact"/>
        <w:rPr>
          <w:sz w:val="20"/>
          <w:szCs w:val="20"/>
          <w:color w:val="auto"/>
        </w:rPr>
      </w:pPr>
    </w:p>
    <w:p>
      <w:pPr>
        <w:ind w:left="644" w:hanging="644"/>
        <w:spacing w:after="0"/>
        <w:tabs>
          <w:tab w:leader="none" w:pos="644"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SHARE RIGHTS</w:t>
      </w:r>
    </w:p>
    <w:p>
      <w:pPr>
        <w:spacing w:after="0" w:line="225" w:lineRule="exact"/>
        <w:rPr>
          <w:sz w:val="20"/>
          <w:szCs w:val="20"/>
          <w:color w:val="auto"/>
        </w:rPr>
      </w:pPr>
    </w:p>
    <w:p>
      <w:pPr>
        <w:jc w:val="both"/>
        <w:ind w:left="1024" w:right="12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Save as expressly permitted by Statutes the Company shall not give financial assistance, whether directly or indirectly, for the purpose of the acquisition of any shares in the Company or its holding company (if any) or for reducing or discharging any liability incurred for the purpose of any such acquisition.</w:t>
      </w:r>
    </w:p>
    <w:p>
      <w:pPr>
        <w:spacing w:after="0" w:line="181" w:lineRule="exact"/>
        <w:rPr>
          <w:sz w:val="20"/>
          <w:szCs w:val="20"/>
          <w:color w:val="auto"/>
        </w:rPr>
      </w:pPr>
    </w:p>
    <w:p>
      <w:pPr>
        <w:ind w:left="1024" w:right="40" w:hanging="647"/>
        <w:spacing w:after="0" w:line="259" w:lineRule="auto"/>
        <w:tabs>
          <w:tab w:leader="none" w:pos="10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Subject to the Statutes and to the authority of the Company in General Meeting required by the Statutes, the Directors shall have unconditional authority to allot, grant options or warrants over, offer or otherwise deal with or dispose of any unissued shares of the Company (whether forming part of the original or any increased capital) to such persons, at such times and generally on such terms and conditions as the Directors may determine.</w:t>
      </w:r>
    </w:p>
    <w:p>
      <w:pPr>
        <w:spacing w:after="0" w:line="187" w:lineRule="exact"/>
        <w:rPr>
          <w:sz w:val="20"/>
          <w:szCs w:val="20"/>
          <w:color w:val="auto"/>
        </w:rPr>
      </w:pPr>
    </w:p>
    <w:p>
      <w:pPr>
        <w:ind w:left="1024" w:right="20" w:hanging="647"/>
        <w:spacing w:after="0" w:line="291" w:lineRule="auto"/>
        <w:tabs>
          <w:tab w:leader="none" w:pos="100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The Company may in connection with the issue of any shares or sale for cash of treasury shares exercise all powers of paying commission and brokerage conferred or permitted by the Statutes. In addition to all other powers of paying commissions, the Company (or the Board on behalf of the Company) may exercise the powers conferred by the Statutes in applying its shares or capital moneys in paying commissions to persons subscribing or procuring subscriptions for shares of the Company or agreeing so to do, whether absolutely or conditionally, provided that the percentage rate or the amount of the commission paid or agreed to be paid shall be disclosed in the manner required by the Statutes and shall not exceed 10% of the price at which the shares in respect whereof the commission is paid are issued or an amount equivalent thereto. The Company (or the Board on behalf of the Company) may also, on any issue of shares, pay such brokerage as may be lawful.</w:t>
      </w:r>
    </w:p>
    <w:p>
      <w:pPr>
        <w:spacing w:after="0" w:line="167" w:lineRule="exact"/>
        <w:rPr>
          <w:sz w:val="20"/>
          <w:szCs w:val="20"/>
          <w:color w:val="auto"/>
        </w:rPr>
      </w:pPr>
    </w:p>
    <w:p>
      <w:pPr>
        <w:ind w:left="1024" w:right="32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If two or more persons are registered as joint holders of any share, any one of such persons may give effectual receipts for any dividend or other moneys payable in respect of such share.</w:t>
      </w:r>
    </w:p>
    <w:p>
      <w:pPr>
        <w:spacing w:after="0" w:line="170" w:lineRule="exact"/>
        <w:rPr>
          <w:sz w:val="20"/>
          <w:szCs w:val="20"/>
          <w:color w:val="auto"/>
        </w:rPr>
      </w:pPr>
    </w:p>
    <w:p>
      <w:pPr>
        <w:ind w:left="1024" w:right="200" w:hanging="647"/>
        <w:spacing w:after="0" w:line="273" w:lineRule="auto"/>
        <w:tabs>
          <w:tab w:leader="none" w:pos="10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color w:val="auto"/>
        </w:rPr>
        <w:t>The Company shall keep the Register and such other registers and associated indices in relation to its Members as may be required by the Statutes and shall maintain such registers and indices in accordance with the Statutes. Save as required by the Statutes or provided by these Articles or otherwise required by law, no person shall be recognised by the Company as holding any share upon any trust, and the Company shall not be bound by or required to recognise any equitable, contingent, future or partial interest in any share or (except only as by these Articles otherwise expressly provided or as by the Statutes required or pursuant to an order of Court) any right whatsoever in respect of any share, other than an absolute right to the entirety thereof in the registered holder.</w:t>
      </w:r>
    </w:p>
    <w:p>
      <w:pPr>
        <w:spacing w:after="0" w:line="178"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color w:val="auto"/>
        </w:rPr>
        <w:t>Subject to the provisions of the Statutes and to any rights conferred on the holders of any other shares, the Company may:</w:t>
      </w:r>
    </w:p>
    <w:p>
      <w:pPr>
        <w:spacing w:after="0" w:line="229" w:lineRule="exact"/>
        <w:rPr>
          <w:sz w:val="20"/>
          <w:szCs w:val="20"/>
          <w:color w:val="auto"/>
        </w:rPr>
      </w:pPr>
    </w:p>
    <w:p>
      <w:pPr>
        <w:ind w:left="1544" w:right="660" w:hanging="511"/>
        <w:spacing w:after="0" w:line="277" w:lineRule="auto"/>
        <w:tabs>
          <w:tab w:leader="none" w:pos="152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the sanction of a special resolution issue shares which are to be redeemed or are liable to be redeemed at the option of the Company or</w:t>
      </w:r>
    </w:p>
    <w:p>
      <w:pPr>
        <w:spacing w:after="0" w:line="17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24" w:right="200"/>
        <w:spacing w:after="0" w:line="264" w:lineRule="auto"/>
        <w:rPr>
          <w:sz w:val="20"/>
          <w:szCs w:val="20"/>
          <w:color w:val="auto"/>
        </w:rPr>
      </w:pPr>
      <w:r>
        <w:rPr>
          <w:rFonts w:ascii="Arial" w:cs="Arial" w:eastAsia="Arial" w:hAnsi="Arial"/>
          <w:sz w:val="18"/>
          <w:szCs w:val="18"/>
          <w:color w:val="auto"/>
        </w:rPr>
        <w:t>of the shareholder on such terms and in such manner as may be provided by these Articles save that the date on or by which, or dates between which, any such shares are to be or may be redeemed may be fixed by the Board (and if so fixed, the date or dates must be fixed before the shares are issued); and</w:t>
      </w:r>
    </w:p>
    <w:p>
      <w:pPr>
        <w:spacing w:after="0" w:line="181" w:lineRule="exact"/>
        <w:rPr>
          <w:sz w:val="20"/>
          <w:szCs w:val="20"/>
          <w:color w:val="auto"/>
        </w:rPr>
      </w:pPr>
    </w:p>
    <w:p>
      <w:pPr>
        <w:ind w:left="1544" w:right="100" w:hanging="511"/>
        <w:spacing w:after="0" w:line="257" w:lineRule="auto"/>
        <w:tabs>
          <w:tab w:leader="none" w:pos="153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with the authority of such ordinary or special resolution as may be required by the Statutes, purchase its own shares (including any redeemable shares) or enter into such agreement (contingent or otherwise) in relation to the purchase of all or any of its own shares on such terms and in such manner as may be approved by such resolution and permitted by the Statutes, provided that no purchase by the Company of its own shares will take place unless it has been sanctioned by the holders of any class of shares in the capital of the Company in accordance with Article 14.1.</w:t>
      </w:r>
    </w:p>
    <w:p>
      <w:pPr>
        <w:spacing w:after="0" w:line="184" w:lineRule="exact"/>
        <w:rPr>
          <w:sz w:val="20"/>
          <w:szCs w:val="20"/>
          <w:color w:val="auto"/>
        </w:rPr>
      </w:pPr>
    </w:p>
    <w:p>
      <w:pPr>
        <w:ind w:left="644" w:hanging="644"/>
        <w:spacing w:after="0"/>
        <w:tabs>
          <w:tab w:leader="none" w:pos="644"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225" w:lineRule="exact"/>
        <w:rPr>
          <w:sz w:val="20"/>
          <w:szCs w:val="20"/>
          <w:color w:val="auto"/>
        </w:rPr>
      </w:pPr>
    </w:p>
    <w:p>
      <w:pPr>
        <w:ind w:left="1024" w:hanging="647"/>
        <w:spacing w:after="0" w:line="286" w:lineRule="auto"/>
        <w:tabs>
          <w:tab w:leader="none" w:pos="10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Every Member (except a recognised person in respect of whom the Company is not by law required to complete and have ready for delivery a certificate) shall without payment be entitled to receive within 2 months after the allotment of shares to him or lodgement of a transfer of shares duly stamped (or adjudicated as exempt from stamp duty) to or by him (or within such other period as the conditions of issue shall provide) one certificate for all the certificated shares of each class registered or remaining registered in his name, provided that in the case of joint holders the Company shall not be bound to issue more than one certificate to all the joint holders, and delivery of such certificate to any one of them shall be sufficient delivery to all. Any two or more certificates representing shares of any one class held by any Member may at his request be cancelled and a single new certificate for such shares issued in lieu without charge. In the case of shares held jointly by several persons any such request mentioned in this Article may only be made by the joint holder who is first named in the Register. Every definitive share certificate shall be issued under the Seal (or a securities seal or, in the case of shares on a branch register, an official seal for use in the relevant territory) any of which seals may be affixed by laser printer or in such other manner as the Board having regard to the terms of issue, the Statutes and the London Stock Exchange may authorise, or signed (whether personally or otherwise and including by facsimile signature, howsoever applied) by a director and the secretary or by two directors, and shall specify the number and class of shares to which it relates and the amount paid up thereon. No definitive certificate shall be issued representing shares of more than one class. Unless the Directors otherwise determine no definitive certificate shall be issued in respect of shares held by a recognised clearing house or a nominee of a recognised</w:t>
      </w:r>
    </w:p>
    <w:p>
      <w:pPr>
        <w:sectPr>
          <w:pgSz w:w="11900" w:h="16838" w:orient="portrait"/>
          <w:cols w:equalWidth="0" w:num="1">
            <w:col w:w="11304"/>
          </w:cols>
          <w:pgMar w:left="356" w:top="125" w:right="239" w:bottom="0" w:gutter="0" w:footer="0" w:header="0"/>
        </w:sectPr>
      </w:pPr>
    </w:p>
    <w:bookmarkStart w:id="242" w:name="page243"/>
    <w:bookmarkEnd w:id="242"/>
    <w:p>
      <w:pPr>
        <w:spacing w:after="0" w:line="103" w:lineRule="exact"/>
        <w:rPr>
          <w:sz w:val="20"/>
          <w:szCs w:val="20"/>
          <w:color w:val="auto"/>
        </w:rPr>
      </w:pPr>
    </w:p>
    <w:p>
      <w:pPr>
        <w:ind w:left="1024"/>
        <w:spacing w:after="0" w:line="277" w:lineRule="auto"/>
        <w:rPr>
          <w:sz w:val="20"/>
          <w:szCs w:val="20"/>
          <w:color w:val="auto"/>
        </w:rPr>
      </w:pPr>
      <w:r>
        <w:rPr>
          <w:rFonts w:ascii="Arial" w:cs="Arial" w:eastAsia="Arial" w:hAnsi="Arial"/>
          <w:sz w:val="18"/>
          <w:szCs w:val="18"/>
          <w:color w:val="auto"/>
        </w:rPr>
        <w:t>clearing house or a recognised investment exchange. Where a holder of any share has transferred a part of the shares comprised in his holding, he shall be entitled to a certificate for the balance without charge.</w:t>
      </w:r>
    </w:p>
    <w:p>
      <w:pPr>
        <w:spacing w:after="0" w:line="166" w:lineRule="exact"/>
        <w:rPr>
          <w:sz w:val="20"/>
          <w:szCs w:val="20"/>
          <w:color w:val="auto"/>
        </w:rPr>
      </w:pPr>
    </w:p>
    <w:p>
      <w:pPr>
        <w:ind w:left="1024" w:right="20" w:hanging="653"/>
        <w:spacing w:after="0" w:line="302" w:lineRule="auto"/>
        <w:tabs>
          <w:tab w:leader="none" w:pos="10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If any such certificate is worn out, defaced, destroyed or lost, it may be replaced by a new certificate without payment (other than exceptional out of pocket expenses) on such evidence being produced as the Board may require and, in the case of wearing out or defacement, on delivery up of the old certificate and in the case of destruction or loss on execution of such indemnity (if any) as the Board may require prior to the issue of a replacement certificate. The Company shall be entitled to destroy any old certificate which has been replaced.</w:t>
      </w:r>
    </w:p>
    <w:p>
      <w:pPr>
        <w:spacing w:after="0" w:line="154" w:lineRule="exact"/>
        <w:rPr>
          <w:sz w:val="20"/>
          <w:szCs w:val="20"/>
          <w:color w:val="auto"/>
        </w:rPr>
      </w:pPr>
    </w:p>
    <w:p>
      <w:pPr>
        <w:ind w:left="1024" w:right="30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The Board may by resolution decide, either generally or in any particular case or cases, that any signatures or certificates for shares or any form of security at any time issued by the Company need not be autographic but may</w:t>
      </w:r>
    </w:p>
    <w:p>
      <w:pPr>
        <w:spacing w:after="0" w:line="174"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4"/>
        <w:spacing w:after="0"/>
        <w:rPr>
          <w:sz w:val="20"/>
          <w:szCs w:val="20"/>
          <w:color w:val="auto"/>
        </w:rPr>
      </w:pPr>
      <w:r>
        <w:rPr>
          <w:rFonts w:ascii="Arial" w:cs="Arial" w:eastAsia="Arial" w:hAnsi="Arial"/>
          <w:sz w:val="16"/>
          <w:szCs w:val="16"/>
          <w:color w:val="auto"/>
        </w:rPr>
        <w:t>be applied to the certificate by some mechanical means or may be printed on them or that the certificates need not be signed by any person.</w:t>
      </w:r>
    </w:p>
    <w:p>
      <w:pPr>
        <w:spacing w:after="0" w:line="244"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color w:val="auto"/>
        </w:rPr>
        <w:t>The Directors are authorised:</w:t>
      </w:r>
    </w:p>
    <w:p>
      <w:pPr>
        <w:spacing w:after="0" w:line="229" w:lineRule="exact"/>
        <w:rPr>
          <w:sz w:val="20"/>
          <w:szCs w:val="20"/>
          <w:color w:val="auto"/>
        </w:rPr>
      </w:pPr>
    </w:p>
    <w:p>
      <w:pPr>
        <w:ind w:left="1404" w:right="180" w:hanging="385"/>
        <w:spacing w:after="0" w:line="277" w:lineRule="auto"/>
        <w:tabs>
          <w:tab w:leader="none" w:pos="140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issue any securities of the Company which may be held, evidenced and transferred through a relevant system in uncertificated form; and</w:t>
      </w:r>
    </w:p>
    <w:p>
      <w:pPr>
        <w:spacing w:after="0" w:line="170" w:lineRule="exact"/>
        <w:rPr>
          <w:rFonts w:ascii="Arial" w:cs="Arial" w:eastAsia="Arial" w:hAnsi="Arial"/>
          <w:sz w:val="18"/>
          <w:szCs w:val="18"/>
          <w:color w:val="auto"/>
        </w:rPr>
      </w:pPr>
    </w:p>
    <w:p>
      <w:pPr>
        <w:ind w:left="1404" w:right="140" w:hanging="385"/>
        <w:spacing w:after="0" w:line="277" w:lineRule="auto"/>
        <w:tabs>
          <w:tab w:leader="none" w:pos="14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to convert any securities of the Company into securities held in uncertificated form, and </w:t>
      </w:r>
      <w:r>
        <w:rPr>
          <w:rFonts w:ascii="Arial" w:cs="Arial" w:eastAsia="Arial" w:hAnsi="Arial"/>
          <w:sz w:val="18"/>
          <w:szCs w:val="18"/>
          <w:u w:val="single" w:color="auto"/>
          <w:color w:val="auto"/>
        </w:rPr>
        <w:t>vice versa</w:t>
      </w:r>
      <w:r>
        <w:rPr>
          <w:rFonts w:ascii="Arial" w:cs="Arial" w:eastAsia="Arial" w:hAnsi="Arial"/>
          <w:sz w:val="18"/>
          <w:szCs w:val="18"/>
          <w:color w:val="auto"/>
        </w:rPr>
        <w:t>, in accordance with the Statutes and the Regulations.</w:t>
      </w:r>
    </w:p>
    <w:p>
      <w:pPr>
        <w:spacing w:after="0" w:line="166" w:lineRule="exact"/>
        <w:rPr>
          <w:sz w:val="20"/>
          <w:szCs w:val="20"/>
          <w:color w:val="auto"/>
        </w:rPr>
      </w:pPr>
    </w:p>
    <w:p>
      <w:pPr>
        <w:ind w:left="1024" w:right="160" w:hanging="647"/>
        <w:spacing w:after="0" w:line="276" w:lineRule="auto"/>
        <w:tabs>
          <w:tab w:leader="none" w:pos="100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color w:val="auto"/>
        </w:rPr>
        <w:t>Unless otherwise determined by the Directors and permitted by the Regulations, no person shall be entitled to receive a certificate in respect of any share for so long as the title to that share is evidenced otherwise than by a certificate and for so long as transfers of that share may be made otherwise than by a written instrument by virtue of the Regulations. The Directors shall have power to implement any arrangements they may, in their absolute discretion, think fit in relation to the evidencing and transfer of uncertificated shares (subject always to the Regulations and the facilities and requirements of the relevant system concerned).</w:t>
      </w:r>
    </w:p>
    <w:p>
      <w:pPr>
        <w:spacing w:after="0" w:line="173" w:lineRule="exact"/>
        <w:rPr>
          <w:sz w:val="20"/>
          <w:szCs w:val="20"/>
          <w:color w:val="auto"/>
        </w:rPr>
      </w:pPr>
    </w:p>
    <w:p>
      <w:pPr>
        <w:ind w:left="1024" w:hanging="647"/>
        <w:spacing w:after="0" w:line="308" w:lineRule="auto"/>
        <w:tabs>
          <w:tab w:leader="none" w:pos="1004"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color w:val="auto"/>
        </w:rPr>
        <w:t>Conversion of certificated shares into uncertificated shares and vice versa, may be made in such manner as the Directors may, in their absolute discretion, think fit (subject always to the Regulations and the facilities and requirements of the relevant system concerned).</w:t>
      </w:r>
    </w:p>
    <w:p>
      <w:pPr>
        <w:spacing w:after="0" w:line="147" w:lineRule="exact"/>
        <w:rPr>
          <w:sz w:val="20"/>
          <w:szCs w:val="20"/>
          <w:color w:val="auto"/>
        </w:rPr>
      </w:pPr>
    </w:p>
    <w:p>
      <w:pPr>
        <w:ind w:left="1024" w:right="120" w:hanging="647"/>
        <w:spacing w:after="0" w:line="312" w:lineRule="auto"/>
        <w:tabs>
          <w:tab w:leader="none" w:pos="1004"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color w:val="auto"/>
        </w:rPr>
        <w:t>The Company shall enter on the Register how many shares are held by each member in uncertificated form and in certificated form and shall maintain the Register in each case as is required by the Regulations and the relevant system concerned. Unless the Directors otherwise determine, holdings of the same holder or joint holders in certificated form and uncertificated form shall be treated as separate holdings.</w:t>
      </w:r>
    </w:p>
    <w:p>
      <w:pPr>
        <w:spacing w:after="0" w:line="147" w:lineRule="exact"/>
        <w:rPr>
          <w:sz w:val="20"/>
          <w:szCs w:val="20"/>
          <w:color w:val="auto"/>
        </w:rPr>
      </w:pPr>
    </w:p>
    <w:p>
      <w:pPr>
        <w:ind w:left="1024" w:right="80" w:hanging="647"/>
        <w:spacing w:after="0" w:line="342" w:lineRule="auto"/>
        <w:tabs>
          <w:tab w:leader="none" w:pos="1004"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color w:val="auto"/>
        </w:rPr>
        <w:t>A class of share shall not be treated as two classes by virtue only of that class comprising both certificated shares and uncertificated shares or as a result of any provision of these Articles or the Regulations which apply only in respect of certificated shares or uncertificated shares.</w:t>
      </w:r>
    </w:p>
    <w:p>
      <w:pPr>
        <w:spacing w:after="0" w:line="124" w:lineRule="exact"/>
        <w:rPr>
          <w:sz w:val="20"/>
          <w:szCs w:val="20"/>
          <w:color w:val="auto"/>
        </w:rPr>
      </w:pPr>
    </w:p>
    <w:p>
      <w:pPr>
        <w:ind w:left="1024" w:right="24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color w:val="auto"/>
        </w:rPr>
        <w:t>Neither the Company nor the relevant system shall be bound to register more than four persons as the joint holders of a share, except in the case of executors or trustees of a deceased member.</w:t>
      </w:r>
    </w:p>
    <w:p>
      <w:pPr>
        <w:spacing w:after="0" w:line="170"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color w:val="auto"/>
        </w:rPr>
        <w:t>The provisions of Articles 5.1 and 5.2 shall not apply to uncertificated shares.</w:t>
      </w:r>
    </w:p>
    <w:p>
      <w:pPr>
        <w:spacing w:after="0" w:line="225" w:lineRule="exact"/>
        <w:rPr>
          <w:sz w:val="20"/>
          <w:szCs w:val="20"/>
          <w:color w:val="auto"/>
        </w:rPr>
      </w:pPr>
    </w:p>
    <w:p>
      <w:pPr>
        <w:ind w:left="644" w:hanging="644"/>
        <w:spacing w:after="0"/>
        <w:tabs>
          <w:tab w:leader="none" w:pos="64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225" w:lineRule="exact"/>
        <w:rPr>
          <w:sz w:val="20"/>
          <w:szCs w:val="20"/>
          <w:color w:val="auto"/>
        </w:rPr>
      </w:pPr>
    </w:p>
    <w:p>
      <w:pPr>
        <w:ind w:left="1024" w:hanging="653"/>
        <w:spacing w:after="0" w:line="255" w:lineRule="auto"/>
        <w:tabs>
          <w:tab w:leader="none" w:pos="10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Board may, subject to the provisions of these Articles and to any conditions of issue, from time to time make such calls upon the Members in respect of all moneys unpaid on their shares (whether on account of the nominal value of the shares or by way of premium) as it thinks fit, provided that no call on any share shall be payable within 1 month from the date fixed for the payment of the last preceding call and that 14 days’ notice at least is given of each call specifying the time or times, place of payment and the amount called on the Members’ shares, and each Member shall be liable to pay the amount of every call so made upon him to the persons and at the times and places appointed by the Board.</w:t>
      </w:r>
    </w:p>
    <w:p>
      <w:pPr>
        <w:spacing w:after="0" w:line="193"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A call may be made payable by instalments.</w:t>
      </w:r>
    </w:p>
    <w:p>
      <w:pPr>
        <w:spacing w:after="0" w:line="229"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4" w:right="140" w:hanging="647"/>
        <w:spacing w:after="0" w:line="308" w:lineRule="auto"/>
        <w:tabs>
          <w:tab w:leader="none" w:pos="100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color w:val="auto"/>
        </w:rPr>
        <w:t>A call shall be deemed to have been made as soon as the resolution of the Board authorising such call shall have been passed and an entry in the minute book of a resolution of the Board making the call shall be conclusive evidence of the making of the call.</w:t>
      </w:r>
    </w:p>
    <w:p>
      <w:pPr>
        <w:spacing w:after="0" w:line="147"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A call may be revoked or postponed as the Board may determine.</w:t>
      </w:r>
    </w:p>
    <w:p>
      <w:pPr>
        <w:spacing w:after="0" w:line="225"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color w:val="auto"/>
        </w:rPr>
        <w:t>The joint holders of a share shall be jointly and severally liable to pay all calls and instalments in respect thereof.</w:t>
      </w:r>
    </w:p>
    <w:p>
      <w:pPr>
        <w:spacing w:after="0" w:line="225" w:lineRule="exact"/>
        <w:rPr>
          <w:sz w:val="20"/>
          <w:szCs w:val="20"/>
          <w:color w:val="auto"/>
        </w:rPr>
      </w:pPr>
    </w:p>
    <w:p>
      <w:pPr>
        <w:ind w:left="1024" w:right="40" w:hanging="647"/>
        <w:spacing w:after="0" w:line="286" w:lineRule="auto"/>
        <w:tabs>
          <w:tab w:leader="none" w:pos="1004"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color w:val="auto"/>
        </w:rPr>
        <w:t>If on the day appointed for payment thereof a call or instalment payable in respect of a share is not paid, the person from whom the amount of the call is due shall pay interest on such amount at the Prescribed Rate from the day appointed for payment thereof to the date of actual payment, but the Board shall have power to waive payment of or remit such interest or any part thereof.</w:t>
      </w:r>
    </w:p>
    <w:p>
      <w:pPr>
        <w:spacing w:after="0" w:line="166" w:lineRule="exact"/>
        <w:rPr>
          <w:sz w:val="20"/>
          <w:szCs w:val="20"/>
          <w:color w:val="auto"/>
        </w:rPr>
      </w:pPr>
    </w:p>
    <w:p>
      <w:pPr>
        <w:ind w:left="1024" w:right="80" w:hanging="647"/>
        <w:spacing w:after="0" w:line="302" w:lineRule="auto"/>
        <w:tabs>
          <w:tab w:leader="none" w:pos="1004"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color w:val="auto"/>
        </w:rPr>
        <w:t>Any sum which by the terms of issue of a share is made payable upon allotment or at any fixed date whether on account of the amount of the share or by way of premium shall for all purposes of these Articles be deemed to be a call duly made and payable on the date fixed for payment and in case of non-payment, the provisions of these Articles as to payment of interest and expenses forfeiture and the like and all other relevant provisions of the Statutes or of these Articles shall apply as if such sum were a call duly made and notified as hereby provided.</w:t>
      </w:r>
    </w:p>
    <w:p>
      <w:pPr>
        <w:sectPr>
          <w:pgSz w:w="11900" w:h="16941" w:orient="portrait"/>
          <w:cols w:equalWidth="0" w:num="1">
            <w:col w:w="11284"/>
          </w:cols>
          <w:pgMar w:left="356" w:top="125" w:right="259" w:bottom="0" w:gutter="0" w:footer="0" w:header="0"/>
        </w:sectPr>
      </w:pPr>
    </w:p>
    <w:bookmarkStart w:id="243" w:name="page244"/>
    <w:bookmarkEnd w:id="243"/>
    <w:p>
      <w:pPr>
        <w:ind w:left="1024" w:right="2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color w:val="auto"/>
        </w:rPr>
        <w:t>The Board may make arrangements upon the issue of shares for different conditions to apply as between the holders of such shares either as to the amount of calls to be paid or the time of payment of such calls with respect to such shares or both.</w:t>
      </w:r>
    </w:p>
    <w:p>
      <w:pPr>
        <w:spacing w:after="0" w:line="170" w:lineRule="exact"/>
        <w:rPr>
          <w:sz w:val="20"/>
          <w:szCs w:val="20"/>
          <w:color w:val="auto"/>
        </w:rPr>
      </w:pPr>
    </w:p>
    <w:p>
      <w:pPr>
        <w:ind w:left="1024" w:right="80" w:hanging="647"/>
        <w:spacing w:after="0" w:line="255" w:lineRule="auto"/>
        <w:tabs>
          <w:tab w:leader="none" w:pos="1004"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8"/>
          <w:szCs w:val="18"/>
          <w:color w:val="auto"/>
        </w:rPr>
        <w:t>The Board may receive from any Member willing to advance the same, all or any part of the moneys due upon his shares beyond the sums actually called up thereon, and upon all or any of the moneys so advanced the Board may (until the same would, but for such advance, become presently payable) pay or allow such interest (not exceeding, without the consent of a General Meeting, the Prescribed Rate) as may be agreed between it and such Member, in addition to the dividend payable upon such part of the shares in respect of which such advance has been made as is actually called up. No sum paid up in advance of calls shall entitle the holder of a share in respect thereof to any portion of a dividend subsequently declared in respect of any period prior to the date upon which such sum would but for such payment become presently payable.</w:t>
      </w:r>
    </w:p>
    <w:p>
      <w:pPr>
        <w:spacing w:after="0" w:line="189" w:lineRule="exact"/>
        <w:rPr>
          <w:sz w:val="20"/>
          <w:szCs w:val="20"/>
          <w:color w:val="auto"/>
        </w:rPr>
      </w:pPr>
    </w:p>
    <w:p>
      <w:pPr>
        <w:ind w:left="1024" w:right="10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8"/>
          <w:szCs w:val="18"/>
          <w:color w:val="auto"/>
        </w:rPr>
        <w:t>No Member shall be entitled to receive any dividend or to be present or vote at any General Meeting or upon a poll or to exercise any right or privilege as a Member, until he shall have paid all calls for the time being due and payable on every share held by him, whether alone or jointly with any other person, together with interest and expenses in respect of such calls.</w:t>
      </w:r>
    </w:p>
    <w:p>
      <w:pPr>
        <w:spacing w:after="0" w:line="181" w:lineRule="exact"/>
        <w:rPr>
          <w:sz w:val="20"/>
          <w:szCs w:val="20"/>
          <w:color w:val="auto"/>
        </w:rPr>
      </w:pPr>
    </w:p>
    <w:p>
      <w:pPr>
        <w:ind w:left="644" w:hanging="644"/>
        <w:spacing w:after="0"/>
        <w:tabs>
          <w:tab w:leader="none" w:pos="64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p>
    <w:p>
      <w:pPr>
        <w:spacing w:after="0" w:line="225" w:lineRule="exact"/>
        <w:rPr>
          <w:sz w:val="20"/>
          <w:szCs w:val="20"/>
          <w:color w:val="auto"/>
        </w:rPr>
      </w:pPr>
    </w:p>
    <w:p>
      <w:pPr>
        <w:ind w:left="1024" w:right="180" w:hanging="647"/>
        <w:spacing w:after="0" w:line="312" w:lineRule="auto"/>
        <w:tabs>
          <w:tab w:leader="none" w:pos="100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If a Member or person entitled by transmission fails to pay in full any call or instalment of a call on or before the day appointed for payment thereof, the Board may at any time thereafter serve a notice on him requiring payment of so much of the call or instalment as is unpaid, together with any interest and expenses which may have accrued or been incurred by the Company by way of such non-payment.</w:t>
      </w:r>
    </w:p>
    <w:p>
      <w:pPr>
        <w:spacing w:after="0" w:line="147"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color w:val="auto"/>
        </w:rPr>
        <w:t>The notice shall name a further day (not being less than 14 days from the</w:t>
      </w:r>
    </w:p>
    <w:p>
      <w:pPr>
        <w:spacing w:after="0" w:line="22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4" w:right="60"/>
        <w:spacing w:after="0" w:line="308" w:lineRule="auto"/>
        <w:rPr>
          <w:sz w:val="20"/>
          <w:szCs w:val="20"/>
          <w:color w:val="auto"/>
        </w:rPr>
      </w:pPr>
      <w:r>
        <w:rPr>
          <w:rFonts w:ascii="Arial" w:cs="Arial" w:eastAsia="Arial" w:hAnsi="Arial"/>
          <w:sz w:val="17"/>
          <w:szCs w:val="17"/>
          <w:color w:val="auto"/>
        </w:rPr>
        <w:t>date of service of the notice) on or before which, and the place where, the payment required by the notice is to be made, and shall state that in the event of non-payment in accordance therewith the shares on which the call was made will be liable to be forfeited.</w:t>
      </w:r>
    </w:p>
    <w:p>
      <w:pPr>
        <w:spacing w:after="0" w:line="143" w:lineRule="exact"/>
        <w:rPr>
          <w:sz w:val="20"/>
          <w:szCs w:val="20"/>
          <w:color w:val="auto"/>
        </w:rPr>
      </w:pPr>
    </w:p>
    <w:p>
      <w:pPr>
        <w:ind w:left="1024" w:hanging="647"/>
        <w:spacing w:after="0" w:line="276" w:lineRule="auto"/>
        <w:tabs>
          <w:tab w:leader="none" w:pos="100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color w:val="auto"/>
        </w:rPr>
        <w:t>If the requirements of any such notice as aforesaid are not complied with, any share in respect of which such notice has been given may at any time thereafter, before payment of all calls and interest and expenses due in respect thereof has been made, be forfeited by a resolution of the Board to that effect. Such forfeiture shall include all dividends declared in respect of the forfeited share and not actually paid before forfeiture. The Board may accept a surrender of any share liable to be forfeited hereunder in lieu of forfeiture and the provisions of these Articles shall apply to any share so surrendered as if it had been forfeited.</w:t>
      </w:r>
    </w:p>
    <w:p>
      <w:pPr>
        <w:spacing w:after="0" w:line="173" w:lineRule="exact"/>
        <w:rPr>
          <w:sz w:val="20"/>
          <w:szCs w:val="20"/>
          <w:color w:val="auto"/>
        </w:rPr>
      </w:pPr>
    </w:p>
    <w:p>
      <w:pPr>
        <w:ind w:left="1024" w:right="220" w:hanging="647"/>
        <w:spacing w:after="0" w:line="255" w:lineRule="auto"/>
        <w:tabs>
          <w:tab w:leader="none" w:pos="1004"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color w:val="auto"/>
        </w:rPr>
        <w:t>Subject to the provisions of the Statutes a share so forfeited or surrendered shall become the property of the Company and may be sold, re-allotted or otherwise disposed of either to the person who was before such forfeiture or surrender the holder thereof or entitled thereto, or to any other person, upon such terms and in such manner as the Board shall think fit. At any time before a sale, re-allotment or disposal the forfeiture or surrender may be cancelled on such terms as the Board may think fit. Any share not disposed of in accordance with this Article within a period of 3 years from the date of forfeiture or surrender shall, at the expiry of that period, be cancelled in accordance with the provisions of the Statutes. The Board may, if necessary, authorise some person to transfer a forfeited or surrendered share to any such other person as aforesaid.</w:t>
      </w:r>
    </w:p>
    <w:p>
      <w:pPr>
        <w:spacing w:after="0" w:line="189" w:lineRule="exact"/>
        <w:rPr>
          <w:sz w:val="20"/>
          <w:szCs w:val="20"/>
          <w:color w:val="auto"/>
        </w:rPr>
      </w:pPr>
    </w:p>
    <w:p>
      <w:pPr>
        <w:ind w:left="1024" w:right="80" w:hanging="647"/>
        <w:spacing w:after="0" w:line="271" w:lineRule="auto"/>
        <w:tabs>
          <w:tab w:leader="none" w:pos="1004"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color w:val="auto"/>
        </w:rPr>
        <w:t>A Member whose shares have been forfeited or surrendered shall cease to be a Member in respect of such shares (and shall surrender to the Company for cancellation the certificate for such shares), but shall notwithstanding the forfeiture or surrender remain liable to pay to the Company all moneys which at the date of forfeiture or surrender were presently payable by him to the Company in respect of the shares with interest thereon at the Prescribed Rate, and he shall remain liable to satisfy all (if any) of the claims and demands which the Company might have enforced in respect of the time of the forfeiture or surrender without any reduction or allowance for the value of the shares at the time of forfeiture or surrender or for any consideration received on this disposal, but his liability shall cease if and when the Company shall have received payment in full of all such moneys in respect of the shares. The Board may, if it thinks fit, waive the payment of all or part of such money and/or the interest payable thereon.</w:t>
      </w:r>
    </w:p>
    <w:p>
      <w:pPr>
        <w:spacing w:after="0" w:line="179" w:lineRule="exact"/>
        <w:rPr>
          <w:sz w:val="20"/>
          <w:szCs w:val="20"/>
          <w:color w:val="auto"/>
        </w:rPr>
      </w:pPr>
    </w:p>
    <w:p>
      <w:pPr>
        <w:ind w:left="1024" w:right="100" w:hanging="647"/>
        <w:spacing w:after="0" w:line="259" w:lineRule="auto"/>
        <w:tabs>
          <w:tab w:leader="none" w:pos="1004"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color w:val="auto"/>
        </w:rPr>
        <w:t>The forfeiture or surrender of a share shall involve the extinction at the time of the forfeiture or surrender of all interest in and all claims and demands against the Company in respect of the share and all other rights and liabilities incidental to the share as between the holder whose share is forfeited or surrendered and the Company, except only such of those rights and liabilities as are by the Articles expressly saved, or as are by the Statutes given or imposed in the case of past members.</w:t>
      </w:r>
    </w:p>
    <w:p>
      <w:pPr>
        <w:spacing w:after="0" w:line="187" w:lineRule="exact"/>
        <w:rPr>
          <w:sz w:val="20"/>
          <w:szCs w:val="20"/>
          <w:color w:val="auto"/>
        </w:rPr>
      </w:pPr>
    </w:p>
    <w:p>
      <w:pPr>
        <w:ind w:left="644" w:hanging="644"/>
        <w:spacing w:after="0"/>
        <w:tabs>
          <w:tab w:leader="none" w:pos="644"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225" w:lineRule="exact"/>
        <w:rPr>
          <w:sz w:val="20"/>
          <w:szCs w:val="20"/>
          <w:color w:val="auto"/>
        </w:rPr>
      </w:pPr>
    </w:p>
    <w:p>
      <w:pPr>
        <w:ind w:left="1024" w:right="16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The Company shall have a first and paramount lien upon every share (not being a fully paid share) registered in the name of any Member, either alone or jointly with any other person, for his or his estate’s debts liabilities and engagements, whether solely or jointly with any other person, to or with the Company in respect of that share, whether the period for the payment,</w:t>
      </w:r>
    </w:p>
    <w:p>
      <w:pPr>
        <w:spacing w:after="0" w:line="18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44" w:right="100"/>
        <w:spacing w:after="0" w:line="264" w:lineRule="auto"/>
        <w:rPr>
          <w:sz w:val="20"/>
          <w:szCs w:val="20"/>
          <w:color w:val="auto"/>
        </w:rPr>
      </w:pPr>
      <w:r>
        <w:rPr>
          <w:rFonts w:ascii="Arial" w:cs="Arial" w:eastAsia="Arial" w:hAnsi="Arial"/>
          <w:sz w:val="18"/>
          <w:szCs w:val="18"/>
          <w:color w:val="auto"/>
        </w:rPr>
        <w:t>fulfilment or discharge thereof shall have actually arrived or not. Such lien shall extend to all dividends from time to time declared in respect of every such share and any interest payable on such share but the Board may at any time declare any share to be exempt, wholly or partially, from the provisions of this Article.</w:t>
      </w:r>
    </w:p>
    <w:p>
      <w:pPr>
        <w:spacing w:after="0" w:line="177" w:lineRule="exact"/>
        <w:rPr>
          <w:sz w:val="20"/>
          <w:szCs w:val="20"/>
          <w:color w:val="auto"/>
        </w:rPr>
      </w:pPr>
    </w:p>
    <w:p>
      <w:pPr>
        <w:ind w:left="1024" w:right="160" w:hanging="653"/>
        <w:spacing w:after="0" w:line="342" w:lineRule="auto"/>
        <w:tabs>
          <w:tab w:leader="none" w:pos="100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For the purposes of enforcing such lien the Company may sell in such manner as the Board thinks fit any share on which the Company has a lien, but no sale shall be made unless some sum in respect of which the lien exists is presently payable, nor until the expiration of 14 days</w:t>
      </w:r>
    </w:p>
    <w:p>
      <w:pPr>
        <w:sectPr>
          <w:pgSz w:w="11900" w:h="16838" w:orient="portrait"/>
          <w:cols w:equalWidth="0" w:num="1">
            <w:col w:w="11304"/>
          </w:cols>
          <w:pgMar w:left="356" w:top="337" w:right="239" w:bottom="0" w:gutter="0" w:footer="0" w:header="0"/>
        </w:sectPr>
      </w:pPr>
    </w:p>
    <w:bookmarkStart w:id="244" w:name="page245"/>
    <w:bookmarkEnd w:id="244"/>
    <w:p>
      <w:pPr>
        <w:ind w:left="1024" w:right="200"/>
        <w:spacing w:after="0" w:line="277" w:lineRule="auto"/>
        <w:rPr>
          <w:sz w:val="20"/>
          <w:szCs w:val="20"/>
          <w:color w:val="auto"/>
        </w:rPr>
      </w:pPr>
      <w:r>
        <w:rPr>
          <w:rFonts w:ascii="Arial" w:cs="Arial" w:eastAsia="Arial" w:hAnsi="Arial"/>
          <w:sz w:val="18"/>
          <w:szCs w:val="18"/>
          <w:color w:val="auto"/>
        </w:rPr>
        <w:t>after a notice in writing, stating and demanding payment of the sum presently payable, and giving notice of intention to sell in default, shall have been given to the holder for the time being of the share or the person entitled thereto by transmission.</w:t>
      </w:r>
    </w:p>
    <w:p>
      <w:pPr>
        <w:spacing w:after="0" w:line="166" w:lineRule="exact"/>
        <w:rPr>
          <w:sz w:val="20"/>
          <w:szCs w:val="20"/>
          <w:color w:val="auto"/>
        </w:rPr>
      </w:pPr>
    </w:p>
    <w:p>
      <w:pPr>
        <w:ind w:left="1024" w:right="260" w:hanging="647"/>
        <w:spacing w:after="0" w:line="279" w:lineRule="auto"/>
        <w:tabs>
          <w:tab w:leader="none" w:pos="100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color w:val="auto"/>
        </w:rPr>
        <w:t>The net proceeds of such sale after payment of the costs of such sale shall be applied in or towards payment or satisfaction of the debt or liability in respect whereof the lien exists, so far as the same is presently payable, and any residue shall (subject to a like lien for debts or liabilities not presently payable as existed upon the shares prior to the sale) be paid to the holder at the time of the sale. For giving effect to any such sale the Board may authorise some person to transfer the shares sold to the purchaser thereof.</w:t>
      </w:r>
    </w:p>
    <w:p>
      <w:pPr>
        <w:spacing w:after="0" w:line="171" w:lineRule="exact"/>
        <w:rPr>
          <w:sz w:val="20"/>
          <w:szCs w:val="20"/>
          <w:color w:val="auto"/>
        </w:rPr>
      </w:pPr>
    </w:p>
    <w:p>
      <w:pPr>
        <w:ind w:left="1024" w:hanging="647"/>
        <w:spacing w:after="0" w:line="290" w:lineRule="auto"/>
        <w:tabs>
          <w:tab w:leader="none" w:pos="100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color w:val="auto"/>
        </w:rPr>
        <w:t>A statutory declaration in writing (or the use of the alternative procedure laid down in the 2006 Act that the declarant is the Secretary or a Director of the Company and that a share has been duly forfeited or surrendered or sold to satisfy a lien of the Company on a date stated in the declaration shall be conclusive evidence of the facts therein stated as against all persons claiming to be entitled to the share and such declaration and the receipt of the Company for the consideration (if any) given for the share on the sale, re-allotment or disposal thereof together with the share certificate delivered to a purchaser or allottee thereof shall (subject to the execution of a transfer if the same be required) constitute a good title to the share, and the person to whom the share is sold, re-allotted or disposed of shall be registered as the holder of the share and shall not be bound to see to the application of the purchase money (if any) nor shall his title to the share be affected by any irregularity or invalidity in the proceedings with reference to the forfeiture, surrender, sale, re-allotment or disposal of the share.</w:t>
      </w:r>
    </w:p>
    <w:p>
      <w:pPr>
        <w:spacing w:after="0" w:line="166" w:lineRule="exact"/>
        <w:rPr>
          <w:sz w:val="20"/>
          <w:szCs w:val="20"/>
          <w:color w:val="auto"/>
        </w:rPr>
      </w:pPr>
    </w:p>
    <w:p>
      <w:pPr>
        <w:ind w:left="644" w:hanging="644"/>
        <w:spacing w:after="0"/>
        <w:tabs>
          <w:tab w:leader="none" w:pos="644"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25" w:lineRule="exact"/>
        <w:rPr>
          <w:sz w:val="20"/>
          <w:szCs w:val="20"/>
          <w:color w:val="auto"/>
        </w:rPr>
      </w:pPr>
    </w:p>
    <w:p>
      <w:pPr>
        <w:ind w:left="1024" w:right="4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All transfers of uncertificated shares shall be made in accordance with and be subject to the Regulations and the facilities and requirements of the relevant system concerned and, subject thereto, in accordance with any arrangements made by the Directors pursuant to Articles 5.4 and 5.5.</w:t>
      </w:r>
    </w:p>
    <w:p>
      <w:pPr>
        <w:spacing w:after="0" w:line="181" w:lineRule="exact"/>
        <w:rPr>
          <w:sz w:val="20"/>
          <w:szCs w:val="20"/>
          <w:color w:val="auto"/>
        </w:rPr>
      </w:pPr>
    </w:p>
    <w:p>
      <w:pPr>
        <w:ind w:left="1024" w:right="660" w:hanging="647"/>
        <w:spacing w:after="0" w:line="308" w:lineRule="auto"/>
        <w:tabs>
          <w:tab w:leader="none" w:pos="100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color w:val="auto"/>
        </w:rPr>
        <w:t>Subject to the conditions and restrictions contained in these Articles, any Member may transfer all or any of his certificated shares by instrument of transfer but not more than one class of shares shall be transferred by one instrument of transfer.</w:t>
      </w:r>
    </w:p>
    <w:p>
      <w:pPr>
        <w:spacing w:after="0" w:line="147" w:lineRule="exact"/>
        <w:rPr>
          <w:sz w:val="20"/>
          <w:szCs w:val="20"/>
          <w:color w:val="auto"/>
        </w:rPr>
      </w:pPr>
    </w:p>
    <w:p>
      <w:pPr>
        <w:jc w:val="both"/>
        <w:ind w:left="1024" w:right="10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Every transfer of a certificated share must be in writing in the usual common form or in such other form as the Board may approve, and need not be under seal. The instrument of transfer of a certificated share shall be executed by or on behalf of the transferor and (except in the case of fully paid shares) by or on behalf of the transferee but need not be under seal.</w:t>
      </w:r>
    </w:p>
    <w:p>
      <w:pPr>
        <w:spacing w:after="0" w:line="181" w:lineRule="exact"/>
        <w:rPr>
          <w:sz w:val="20"/>
          <w:szCs w:val="20"/>
          <w:color w:val="auto"/>
        </w:rPr>
      </w:pPr>
    </w:p>
    <w:p>
      <w:pPr>
        <w:ind w:left="1024" w:right="72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In relation to all transfers of shares, the transferor shall be deemed to remain the holder of the shares concerned until the name of the transferee is entered in the Register in respect thereof.</w:t>
      </w:r>
    </w:p>
    <w:p>
      <w:pPr>
        <w:spacing w:after="0" w:line="174"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color w:val="auto"/>
        </w:rPr>
        <w:t>The Directors may refuse to register any transfer of certificated shares unless the instrument of transfer:</w:t>
      </w:r>
    </w:p>
    <w:p>
      <w:pPr>
        <w:spacing w:after="0" w:line="229" w:lineRule="exact"/>
        <w:rPr>
          <w:sz w:val="20"/>
          <w:szCs w:val="20"/>
          <w:color w:val="auto"/>
        </w:rPr>
      </w:pPr>
    </w:p>
    <w:p>
      <w:pPr>
        <w:ind w:left="1664" w:right="80" w:hanging="638"/>
        <w:spacing w:after="0" w:line="259" w:lineRule="auto"/>
        <w:tabs>
          <w:tab w:leader="none" w:pos="166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 duly stamped and deposited at the office of the Registrar of the Company for the time being, (or such other place as the Directors may appoint) accompanied by the certificate for the shares to which it relates (except in the case of a transfer by a recognised person to whom a certificate has not been issued) and such other evidence as the Directors may reasonably require to show the right of the transferor to make the transfer; and</w:t>
      </w:r>
    </w:p>
    <w:p>
      <w:pPr>
        <w:spacing w:after="0" w:line="186" w:lineRule="exact"/>
        <w:rPr>
          <w:rFonts w:ascii="Arial" w:cs="Arial" w:eastAsia="Arial" w:hAnsi="Arial"/>
          <w:sz w:val="18"/>
          <w:szCs w:val="18"/>
          <w:color w:val="auto"/>
        </w:rPr>
      </w:pPr>
    </w:p>
    <w:p>
      <w:pPr>
        <w:ind w:left="1664" w:hanging="645"/>
        <w:spacing w:after="0"/>
        <w:tabs>
          <w:tab w:leader="none" w:pos="166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 in respect of only one class of shares.</w:t>
      </w:r>
    </w:p>
    <w:p>
      <w:pPr>
        <w:spacing w:after="0" w:line="221" w:lineRule="exact"/>
        <w:rPr>
          <w:sz w:val="20"/>
          <w:szCs w:val="20"/>
          <w:color w:val="auto"/>
        </w:rPr>
      </w:pPr>
    </w:p>
    <w:p>
      <w:pPr>
        <w:ind w:left="1024" w:right="260" w:hanging="647"/>
        <w:spacing w:after="0" w:line="342" w:lineRule="auto"/>
        <w:tabs>
          <w:tab w:leader="none" w:pos="1004"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color w:val="auto"/>
        </w:rPr>
        <w:t>The Directors may, in their absolute discretion refuse to register any transfer of any share which is not fully paid or on which the Company has a lien provided that such refusal does not prevent dealings in the shares from taking place on an open and proper basis.</w:t>
      </w:r>
    </w:p>
    <w:p>
      <w:pPr>
        <w:spacing w:after="0" w:line="124"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color w:val="auto"/>
        </w:rPr>
        <w:t>The Directors may also refuse to register a transfer of any share (whether a certificated share or not and whether fully paid or not):</w:t>
      </w:r>
    </w:p>
    <w:p>
      <w:pPr>
        <w:spacing w:after="0" w:line="229" w:lineRule="exact"/>
        <w:rPr>
          <w:sz w:val="20"/>
          <w:szCs w:val="20"/>
          <w:color w:val="auto"/>
        </w:rPr>
      </w:pPr>
    </w:p>
    <w:p>
      <w:pPr>
        <w:ind w:left="1524" w:hanging="504"/>
        <w:spacing w:after="0"/>
        <w:tabs>
          <w:tab w:leader="none" w:pos="15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an entity which is not a natural or legal person;</w:t>
      </w:r>
    </w:p>
    <w:p>
      <w:pPr>
        <w:spacing w:after="0" w:line="225" w:lineRule="exact"/>
        <w:rPr>
          <w:rFonts w:ascii="Arial" w:cs="Arial" w:eastAsia="Arial" w:hAnsi="Arial"/>
          <w:sz w:val="18"/>
          <w:szCs w:val="18"/>
          <w:color w:val="auto"/>
        </w:rPr>
      </w:pPr>
    </w:p>
    <w:p>
      <w:pPr>
        <w:ind w:left="1524" w:right="320" w:hanging="504"/>
        <w:spacing w:after="0" w:line="291" w:lineRule="auto"/>
        <w:tabs>
          <w:tab w:leader="none" w:pos="153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to a minor, to a person in respect of whom a receiving order or adjudication order in bankruptcy has been made which remains undischarged or to a person who is then suffering from mental disorder and where any of the events specified in Articles 26.1(c) or</w:t>
      </w:r>
    </w:p>
    <w:p>
      <w:pPr>
        <w:ind w:left="1784" w:hanging="252"/>
        <w:spacing w:after="0"/>
        <w:tabs>
          <w:tab w:leader="none" w:pos="178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have occurred in relation to him; or</w:t>
      </w:r>
    </w:p>
    <w:p>
      <w:pPr>
        <w:spacing w:after="0" w:line="210" w:lineRule="exact"/>
        <w:rPr>
          <w:rFonts w:ascii="Arial" w:cs="Arial" w:eastAsia="Arial" w:hAnsi="Arial"/>
          <w:sz w:val="18"/>
          <w:szCs w:val="18"/>
          <w:color w:val="auto"/>
        </w:rPr>
      </w:pPr>
    </w:p>
    <w:p>
      <w:pPr>
        <w:ind w:left="1544" w:hanging="524"/>
        <w:spacing w:after="0"/>
        <w:tabs>
          <w:tab w:leader="none" w:pos="154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be held jointly by more than 4 persons.</w:t>
      </w:r>
    </w:p>
    <w:p>
      <w:pPr>
        <w:spacing w:after="0" w:line="221" w:lineRule="exact"/>
        <w:rPr>
          <w:sz w:val="20"/>
          <w:szCs w:val="20"/>
          <w:color w:val="auto"/>
        </w:rPr>
      </w:pPr>
    </w:p>
    <w:p>
      <w:pPr>
        <w:ind w:left="1024" w:right="84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8"/>
          <w:szCs w:val="18"/>
          <w:color w:val="auto"/>
        </w:rPr>
        <w:t>The Directors may also refuse to register a transfer of uncertificated shares in such other circumstances as may be permitted by the Regulations and the requirements of the relevant system concerned.</w:t>
      </w:r>
    </w:p>
    <w:p>
      <w:pPr>
        <w:spacing w:after="0" w:line="170" w:lineRule="exact"/>
        <w:rPr>
          <w:sz w:val="20"/>
          <w:szCs w:val="20"/>
          <w:color w:val="auto"/>
        </w:rPr>
      </w:pPr>
    </w:p>
    <w:p>
      <w:pPr>
        <w:ind w:left="1024" w:right="160" w:hanging="647"/>
        <w:spacing w:after="0" w:line="259" w:lineRule="auto"/>
        <w:tabs>
          <w:tab w:leader="none" w:pos="1004"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8"/>
          <w:szCs w:val="18"/>
          <w:color w:val="auto"/>
        </w:rPr>
        <w:t>If the Board refuses to register a transfer of any shares it shall send to the transferee notice of the refusal, as required by Section 771 of the 2006 Act, within 2 months after the date on which, in respect of certificated shares, the transfer was lodged with the Company, or, in respect of uncertificated shares, the date on which the appropriate instruction was received by or on behalf of the Company, in each case in accordance with the facilities and requirements of the relevant system concerned.</w:t>
      </w:r>
    </w:p>
    <w:p>
      <w:pPr>
        <w:spacing w:after="0" w:line="187" w:lineRule="exact"/>
        <w:rPr>
          <w:sz w:val="20"/>
          <w:szCs w:val="20"/>
          <w:color w:val="auto"/>
        </w:rPr>
      </w:pPr>
    </w:p>
    <w:p>
      <w:pPr>
        <w:ind w:left="1024" w:right="60" w:hanging="647"/>
        <w:spacing w:after="0" w:line="342" w:lineRule="auto"/>
        <w:tabs>
          <w:tab w:leader="none" w:pos="1004"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color w:val="auto"/>
        </w:rPr>
        <w:t>No fee shall be charged for registration of a transfer, probate, letters of administration, certificate of marriage or death, stop notice, power of attorney or other document relating to or affecting the title to any share or for making any entry in the Register affecting the title to any share.</w:t>
      </w:r>
    </w:p>
    <w:p>
      <w:pPr>
        <w:spacing w:after="0" w:line="124" w:lineRule="exact"/>
        <w:rPr>
          <w:sz w:val="20"/>
          <w:szCs w:val="20"/>
          <w:color w:val="auto"/>
        </w:rPr>
      </w:pPr>
    </w:p>
    <w:p>
      <w:pPr>
        <w:jc w:val="both"/>
        <w:ind w:left="1004" w:right="120" w:hanging="647"/>
        <w:spacing w:after="0" w:line="293" w:lineRule="auto"/>
        <w:tabs>
          <w:tab w:leader="none" w:pos="984"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color w:val="auto"/>
        </w:rPr>
        <w:t>All instruments of transfer which are registered may be retained by the Company, but any instrument of transfer which the Board refuses to register shall (except in case of fraud) be returned to the person depositing the same when refusal is given. Subject as hereinbefore provided the Company shall be entitled to destroy all instruments of transfer of shares and other supporting documents which have been registered at any time after the expiration of 6 years from the date of registration thereof and all dividend mandates and notification of changes of address or name and all registered share certificates which have been cancelled, and notifications of change of name or address, at any time after the expiration of 1 year from the date of cancellation thereof and it shall conclusively be presumed in favour of the</w:t>
      </w:r>
    </w:p>
    <w:p>
      <w:pPr>
        <w:sectPr>
          <w:pgSz w:w="11900" w:h="16838" w:orient="portrait"/>
          <w:cols w:equalWidth="0" w:num="1">
            <w:col w:w="11284"/>
          </w:cols>
          <w:pgMar w:left="356" w:top="125" w:right="259" w:bottom="0" w:gutter="0" w:footer="0" w:header="0"/>
        </w:sectPr>
      </w:pPr>
    </w:p>
    <w:bookmarkStart w:id="245" w:name="page246"/>
    <w:bookmarkEnd w:id="245"/>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line="277" w:lineRule="auto"/>
        <w:rPr>
          <w:sz w:val="20"/>
          <w:szCs w:val="20"/>
          <w:color w:val="auto"/>
        </w:rPr>
      </w:pPr>
      <w:r>
        <w:rPr>
          <w:rFonts w:ascii="Arial" w:cs="Arial" w:eastAsia="Arial" w:hAnsi="Arial"/>
          <w:sz w:val="18"/>
          <w:szCs w:val="18"/>
          <w:color w:val="auto"/>
        </w:rPr>
        <w:t>Company that every instrument of transfer so destroyed was a valid and effective instrument duly and properly registered and that every share certificate so destroyed was a valid certificate duly and properly cancelled provided that:</w:t>
      </w:r>
    </w:p>
    <w:p>
      <w:pPr>
        <w:spacing w:after="0" w:line="170" w:lineRule="exact"/>
        <w:rPr>
          <w:sz w:val="20"/>
          <w:szCs w:val="20"/>
          <w:color w:val="auto"/>
        </w:rPr>
      </w:pPr>
    </w:p>
    <w:p>
      <w:pPr>
        <w:ind w:left="1540" w:right="660" w:hanging="524"/>
        <w:spacing w:after="0" w:line="277" w:lineRule="auto"/>
        <w:tabs>
          <w:tab w:leader="none" w:pos="151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provisions aforesaid shall apply only to the destruction of documents in good faith and without express notice of any claim (regardless of the parties thereto) to which the document might be relevant;</w:t>
      </w:r>
    </w:p>
    <w:p>
      <w:pPr>
        <w:spacing w:after="0" w:line="170" w:lineRule="exact"/>
        <w:rPr>
          <w:rFonts w:ascii="Arial" w:cs="Arial" w:eastAsia="Arial" w:hAnsi="Arial"/>
          <w:sz w:val="18"/>
          <w:szCs w:val="18"/>
          <w:color w:val="auto"/>
        </w:rPr>
      </w:pPr>
    </w:p>
    <w:p>
      <w:pPr>
        <w:ind w:left="1520" w:right="640" w:hanging="504"/>
        <w:spacing w:after="0" w:line="308" w:lineRule="auto"/>
        <w:tabs>
          <w:tab w:leader="none" w:pos="152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nothing herein contained shall be construed as imposing on the Company any liability in respect of the destruction of any such documents earlier than as aforesaid or in any case where the conditions of Article 9.11(a) above are not fulfilled;</w:t>
      </w:r>
    </w:p>
    <w:p>
      <w:pPr>
        <w:spacing w:after="0" w:line="146" w:lineRule="exact"/>
        <w:rPr>
          <w:rFonts w:ascii="Arial" w:cs="Arial" w:eastAsia="Arial" w:hAnsi="Arial"/>
          <w:sz w:val="17"/>
          <w:szCs w:val="17"/>
          <w:color w:val="auto"/>
        </w:rPr>
      </w:pPr>
    </w:p>
    <w:p>
      <w:pPr>
        <w:ind w:left="1520" w:right="140" w:hanging="504"/>
        <w:spacing w:after="0" w:line="277" w:lineRule="auto"/>
        <w:tabs>
          <w:tab w:leader="none" w:pos="153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references herein to instruments of transfer shall include, in relation to uncertificated shares, instructions and/or notifications made in accordance with the relevant system concerned relating to the transfer of such shares;</w:t>
      </w:r>
    </w:p>
    <w:p>
      <w:pPr>
        <w:spacing w:after="0" w:line="170" w:lineRule="exact"/>
        <w:rPr>
          <w:rFonts w:ascii="Arial" w:cs="Arial" w:eastAsia="Arial" w:hAnsi="Arial"/>
          <w:sz w:val="18"/>
          <w:szCs w:val="18"/>
          <w:color w:val="auto"/>
        </w:rPr>
      </w:pPr>
    </w:p>
    <w:p>
      <w:pPr>
        <w:ind w:left="1520" w:right="280" w:hanging="504"/>
        <w:spacing w:after="0" w:line="277" w:lineRule="auto"/>
        <w:tabs>
          <w:tab w:leader="none" w:pos="152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relation to uncertificated shares, the provisions herein shall apply only to the extent the same are consistent with the Regulations; and</w:t>
      </w:r>
    </w:p>
    <w:p>
      <w:pPr>
        <w:spacing w:after="0" w:line="170" w:lineRule="exact"/>
        <w:rPr>
          <w:rFonts w:ascii="Arial" w:cs="Arial" w:eastAsia="Arial" w:hAnsi="Arial"/>
          <w:sz w:val="18"/>
          <w:szCs w:val="18"/>
          <w:color w:val="auto"/>
        </w:rPr>
      </w:pPr>
    </w:p>
    <w:p>
      <w:pPr>
        <w:ind w:left="1540" w:hanging="524"/>
        <w:spacing w:after="0"/>
        <w:tabs>
          <w:tab w:leader="none" w:pos="1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documents include references to the disposal thereof in any manner.</w:t>
      </w:r>
    </w:p>
    <w:p>
      <w:pPr>
        <w:spacing w:after="0" w:line="225"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Provided that the regulations made from time to time under the Statutes so permit, nothing in these Articles shall require title to any securities of the Company to be evidenced or transferred by any written instrument. The Board shall have the power to implement any arrangements it may think fit for such evidencing and transfer which accord with those regulations.</w:t>
      </w:r>
    </w:p>
    <w:p>
      <w:pPr>
        <w:spacing w:after="0" w:line="177" w:lineRule="exact"/>
        <w:rPr>
          <w:sz w:val="20"/>
          <w:szCs w:val="20"/>
          <w:color w:val="auto"/>
        </w:rPr>
      </w:pPr>
    </w:p>
    <w:p>
      <w:pPr>
        <w:ind w:left="1020" w:right="220" w:hanging="647"/>
        <w:spacing w:after="0" w:line="286" w:lineRule="auto"/>
        <w:tabs>
          <w:tab w:leader="none" w:pos="100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7"/>
          <w:szCs w:val="17"/>
          <w:color w:val="auto"/>
        </w:rPr>
        <w:t>Nothing in these Articles shall preclude the Board, before an allottee has been entered in the Register as the holder, from recognising a renunciation of the allotment of any share by the allottee in favour of some other person and may accord to any allottee of a share a right to effect such renunciation upon and subject to such terms and conditions as the Directors may think fit to impose.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TRANSMISSION OF SHARES</w:t>
      </w:r>
    </w:p>
    <w:p>
      <w:pPr>
        <w:spacing w:after="0" w:line="225" w:lineRule="exact"/>
        <w:rPr>
          <w:sz w:val="20"/>
          <w:szCs w:val="20"/>
          <w:color w:val="auto"/>
        </w:rPr>
      </w:pPr>
    </w:p>
    <w:p>
      <w:pPr>
        <w:ind w:left="1020" w:right="4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In case of the death of a Member the survivors or survivor where the deceased was a joint holder, and the executors or administrators of the deceased where he was a sole or only surviving holder, shall be the only persons recognised by the Company as having any title to his interest in the shares but nothing in these Articles shall release the estate of a deceased holder (whether sole or joint) from any liability in respect of any share held by him.</w:t>
      </w:r>
    </w:p>
    <w:p>
      <w:pPr>
        <w:spacing w:after="0" w:line="187" w:lineRule="exact"/>
        <w:rPr>
          <w:sz w:val="20"/>
          <w:szCs w:val="20"/>
          <w:color w:val="auto"/>
        </w:rPr>
      </w:pPr>
    </w:p>
    <w:p>
      <w:pPr>
        <w:ind w:left="1020" w:right="20" w:hanging="647"/>
        <w:spacing w:after="0" w:line="255" w:lineRule="auto"/>
        <w:tabs>
          <w:tab w:leader="none" w:pos="10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Any person becoming entitled to a share in consequence of the death or bankruptcy of a Member may upon such evidence as to title being provided as may from time to time be required by the Board and subject as hereinafter provided either be registered himself as holder of the share upon giving to the Company notice in writing of his desire to such effect or transfer such share to some other person. All the limitations, restrictions and provisions of these presents relating to the right to transfer and the registration of transfers of shares shall be applicable to any such notice or transfer as aforesaid as if the death or bankruptcy of the Member had not occurred and the notice or transfer were a transfer executed by such Member.</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hanging="647"/>
        <w:spacing w:after="0" w:line="290" w:lineRule="auto"/>
        <w:tabs>
          <w:tab w:leader="none" w:pos="10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color w:val="auto"/>
        </w:rPr>
        <w:t>Save as otherwise provided by or in accordance with these Articles, a person becoming entitled to a share in consequence of the death or bankruptcy of a Member shall (upon supplying to the Company such evidence as the Board may reasonably require as to his title to the share) be entitled to receive, and may give a discharge for, all benefits arising or accruing on or in respect of the share and the same dividends and other advantages to which he would be entitled if he were the registered holder of the share except that he shall not be entitled in respect thereof to exercise any right in respect of such share to attend or vote at the General Meeting of the Company or to any of the rights and privileges of a Member until he shall have been registered as a Member in respect of the share, provided always that the Board may at any time give notice requiring any such person to elect either to be registered himself or to transfer the share and if within 60 days the notice is not complied with such person shall be deemed to have elected to be registered as a Member in respect thereof and may be registered accordingly.</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FAILURE TO DISCLOSE INTERESTS IN SHARES</w:t>
      </w:r>
    </w:p>
    <w:p>
      <w:pPr>
        <w:spacing w:after="0" w:line="225" w:lineRule="exact"/>
        <w:rPr>
          <w:sz w:val="20"/>
          <w:szCs w:val="20"/>
          <w:color w:val="auto"/>
        </w:rPr>
      </w:pPr>
    </w:p>
    <w:p>
      <w:pPr>
        <w:ind w:left="1000" w:right="120" w:hanging="647"/>
        <w:spacing w:after="0" w:line="264" w:lineRule="auto"/>
        <w:tabs>
          <w:tab w:leader="none" w:pos="9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With the authority of the Directors, the Company may serve on any Member, or any other person appearing to be interested in shares held by that Member, a notice requiring disclosure pursuant to Section 793 of the 2006 Act in relation to all or any number of the shares which that Member holds or to which that other person is entitled or interested.</w:t>
      </w:r>
    </w:p>
    <w:p>
      <w:pPr>
        <w:spacing w:after="0" w:line="181" w:lineRule="exact"/>
        <w:rPr>
          <w:sz w:val="20"/>
          <w:szCs w:val="20"/>
          <w:color w:val="auto"/>
        </w:rPr>
      </w:pPr>
    </w:p>
    <w:p>
      <w:pPr>
        <w:ind w:left="1000" w:right="100" w:hanging="647"/>
        <w:spacing w:after="0" w:line="259" w:lineRule="auto"/>
        <w:tabs>
          <w:tab w:leader="none" w:pos="9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color w:val="auto"/>
        </w:rPr>
        <w:t>If a Member, or any other person appearing to be interested in shares held by that Member, has been issued with a notice requiring disclosure pursuant to Section 793 of the 2006 Act and has failed in relation to any shares (“</w:t>
      </w:r>
      <w:r>
        <w:rPr>
          <w:rFonts w:ascii="Arial" w:cs="Arial" w:eastAsia="Arial" w:hAnsi="Arial"/>
          <w:sz w:val="18"/>
          <w:szCs w:val="18"/>
          <w:b w:val="1"/>
          <w:bCs w:val="1"/>
          <w:color w:val="auto"/>
        </w:rPr>
        <w:t>the default shares</w:t>
      </w:r>
      <w:r>
        <w:rPr>
          <w:rFonts w:ascii="Arial" w:cs="Arial" w:eastAsia="Arial" w:hAnsi="Arial"/>
          <w:sz w:val="18"/>
          <w:szCs w:val="18"/>
          <w:color w:val="auto"/>
        </w:rPr>
        <w:t>”) to give the Company the information thereby required in the form of a disclosure statement within the prescribed period from the date of the notice requiring disclosure, the following sanctions shall apply unless the Board otherwise determines:</w:t>
      </w:r>
    </w:p>
    <w:p>
      <w:pPr>
        <w:spacing w:after="0" w:line="191" w:lineRule="exact"/>
        <w:rPr>
          <w:sz w:val="20"/>
          <w:szCs w:val="20"/>
          <w:color w:val="auto"/>
        </w:rPr>
      </w:pPr>
    </w:p>
    <w:p>
      <w:pPr>
        <w:ind w:left="1520" w:right="260" w:hanging="504"/>
        <w:spacing w:after="0" w:line="279" w:lineRule="auto"/>
        <w:tabs>
          <w:tab w:leader="none" w:pos="151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Member or any transferee who acquires shares other than by an excepted transfer shall not be entitled in respect of the default shares and any other share held by the Member or the transferee to receive notice of or be present or to vote (either in person or by representative or proxy) at any General Meeting or at any separate meeting of the holders of any class of shares, or on any poll or to exercise any other right conferred by membership in relation to any such meeting or poll; and</w:t>
      </w:r>
    </w:p>
    <w:p>
      <w:pPr>
        <w:spacing w:after="0" w:line="171" w:lineRule="exact"/>
        <w:rPr>
          <w:rFonts w:ascii="Arial" w:cs="Arial" w:eastAsia="Arial" w:hAnsi="Arial"/>
          <w:sz w:val="17"/>
          <w:szCs w:val="17"/>
          <w:color w:val="auto"/>
        </w:rPr>
      </w:pPr>
    </w:p>
    <w:p>
      <w:pPr>
        <w:ind w:left="1540" w:hanging="524"/>
        <w:spacing w:after="0"/>
        <w:tabs>
          <w:tab w:leader="none" w:pos="1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where the default shares represent at least 0.25% in nominal value of the issued shares of their class, excluding shares held in treasury;</w:t>
      </w:r>
    </w:p>
    <w:p>
      <w:pPr>
        <w:spacing w:after="0" w:line="248" w:lineRule="exact"/>
        <w:rPr>
          <w:rFonts w:ascii="Arial" w:cs="Arial" w:eastAsia="Arial" w:hAnsi="Arial"/>
          <w:sz w:val="16"/>
          <w:szCs w:val="16"/>
          <w:color w:val="auto"/>
        </w:rPr>
      </w:pPr>
    </w:p>
    <w:p>
      <w:pPr>
        <w:ind w:left="1920" w:right="40" w:hanging="392"/>
        <w:spacing w:after="0" w:line="342" w:lineRule="auto"/>
        <w:tabs>
          <w:tab w:leader="none" w:pos="193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any dividend or other money payable in respect of the default shares shall, in whole or part, be withheld by the Company, which shall not have any obligation to pay interest on it, and the Member shall not be entitled to elect to receive Ordinary Shares instead</w:t>
      </w:r>
    </w:p>
    <w:p>
      <w:pPr>
        <w:sectPr>
          <w:pgSz w:w="11900" w:h="16975" w:orient="portrait"/>
          <w:cols w:equalWidth="0" w:num="1">
            <w:col w:w="11280"/>
          </w:cols>
          <w:pgMar w:left="360" w:top="125" w:right="259" w:bottom="0" w:gutter="0" w:footer="0" w:header="0"/>
        </w:sectPr>
      </w:pPr>
    </w:p>
    <w:bookmarkStart w:id="246" w:name="page247"/>
    <w:bookmarkEnd w:id="246"/>
    <w:p>
      <w:pPr>
        <w:spacing w:after="0" w:line="8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of that dividend when that right to elect exists; and</w:t>
      </w:r>
    </w:p>
    <w:p>
      <w:pPr>
        <w:spacing w:after="0" w:line="225" w:lineRule="exact"/>
        <w:rPr>
          <w:sz w:val="20"/>
          <w:szCs w:val="20"/>
          <w:color w:val="auto"/>
        </w:rPr>
      </w:pPr>
    </w:p>
    <w:p>
      <w:pPr>
        <w:ind w:left="1560" w:hanging="412"/>
        <w:spacing w:after="0"/>
        <w:tabs>
          <w:tab w:leader="none" w:pos="15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transfer, other than an excepted transfer, of any shares held by the Member shall be registered unless:</w:t>
      </w:r>
    </w:p>
    <w:p>
      <w:pPr>
        <w:spacing w:after="0" w:line="225" w:lineRule="exact"/>
        <w:rPr>
          <w:rFonts w:ascii="Arial" w:cs="Arial" w:eastAsia="Arial" w:hAnsi="Arial"/>
          <w:sz w:val="18"/>
          <w:szCs w:val="18"/>
          <w:color w:val="auto"/>
        </w:rPr>
      </w:pPr>
    </w:p>
    <w:p>
      <w:pPr>
        <w:ind w:left="1920" w:hanging="389"/>
        <w:spacing w:after="0"/>
        <w:tabs>
          <w:tab w:leader="none" w:pos="19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Member is not himself in default as regards supplying the information required; and</w:t>
      </w:r>
    </w:p>
    <w:p>
      <w:pPr>
        <w:spacing w:after="0" w:line="225" w:lineRule="exact"/>
        <w:rPr>
          <w:rFonts w:ascii="Arial" w:cs="Arial" w:eastAsia="Arial" w:hAnsi="Arial"/>
          <w:sz w:val="18"/>
          <w:szCs w:val="18"/>
          <w:color w:val="auto"/>
        </w:rPr>
      </w:pPr>
    </w:p>
    <w:p>
      <w:pPr>
        <w:ind w:left="1920" w:right="580" w:hanging="389"/>
        <w:spacing w:after="0" w:line="277" w:lineRule="auto"/>
        <w:tabs>
          <w:tab w:leader="none" w:pos="192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Member proves to the satisfaction of the Board that no person in default as regards supplying such information is interested in any of the shares the subject of the transfer; and/or</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40" w:hanging="392"/>
        <w:spacing w:after="0" w:line="259" w:lineRule="auto"/>
        <w:tabs>
          <w:tab w:leader="none" w:pos="157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shares held by such Member in uncertificated form shall forthwith be converted into certificated form (and the Directors shall be entitled to direct the operator of the relevant system applicable to those shares to effect that conversion immediately) and that Member shall not after that be entitled to convert all or any shares held by him into uncertificated form (except with the authority of the Directors) unless:</w:t>
      </w:r>
    </w:p>
    <w:p>
      <w:pPr>
        <w:spacing w:after="0" w:line="186" w:lineRule="exact"/>
        <w:rPr>
          <w:rFonts w:ascii="Arial" w:cs="Arial" w:eastAsia="Arial" w:hAnsi="Arial"/>
          <w:sz w:val="18"/>
          <w:szCs w:val="18"/>
          <w:color w:val="auto"/>
        </w:rPr>
      </w:pPr>
    </w:p>
    <w:p>
      <w:pPr>
        <w:ind w:left="1920" w:hanging="389"/>
        <w:spacing w:after="0"/>
        <w:tabs>
          <w:tab w:leader="none" w:pos="19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Member is not himself in default as regards supplying the information required; and</w:t>
      </w:r>
    </w:p>
    <w:p>
      <w:pPr>
        <w:spacing w:after="0" w:line="225" w:lineRule="exact"/>
        <w:rPr>
          <w:rFonts w:ascii="Arial" w:cs="Arial" w:eastAsia="Arial" w:hAnsi="Arial"/>
          <w:sz w:val="18"/>
          <w:szCs w:val="18"/>
          <w:color w:val="auto"/>
        </w:rPr>
      </w:pPr>
    </w:p>
    <w:p>
      <w:pPr>
        <w:ind w:left="1920" w:hanging="389"/>
        <w:spacing w:after="0" w:line="277" w:lineRule="auto"/>
        <w:tabs>
          <w:tab w:leader="none" w:pos="19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Member proves to the satisfaction of the Board that after due and careful enquiry the Member is satisfied that none of the shares he is proposing to convert into uncertificated form are default shares.</w:t>
      </w:r>
    </w:p>
    <w:p>
      <w:pPr>
        <w:spacing w:after="0" w:line="166" w:lineRule="exact"/>
        <w:rPr>
          <w:sz w:val="20"/>
          <w:szCs w:val="20"/>
          <w:color w:val="auto"/>
        </w:rPr>
      </w:pPr>
    </w:p>
    <w:p>
      <w:pPr>
        <w:ind w:left="620" w:right="220" w:hanging="647"/>
        <w:spacing w:after="0" w:line="264" w:lineRule="auto"/>
        <w:tabs>
          <w:tab w:leader="none" w:pos="60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Sanctions imposed on shares shall only be effective if the Company despatches a restriction notice to the relevant Member, or person appearing to be interested in shares held by that Member, on the day after the end of the prescribed period or on the next following business day.</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Where the sanctions under Article 11.2 apply in relation to any shares, they shall cease to have effect (and any dividends withheld under</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Article 11.2(b) shall become payable) on the earlier of:</w:t>
      </w:r>
    </w:p>
    <w:p>
      <w:pPr>
        <w:spacing w:after="0" w:line="211" w:lineRule="exact"/>
        <w:rPr>
          <w:sz w:val="20"/>
          <w:szCs w:val="20"/>
          <w:color w:val="auto"/>
        </w:rPr>
      </w:pPr>
    </w:p>
    <w:p>
      <w:pPr>
        <w:ind w:left="1020" w:hanging="385"/>
        <w:spacing w:after="0"/>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shares being transferred by means of an excepted transfer; and</w:t>
      </w:r>
    </w:p>
    <w:p>
      <w:pPr>
        <w:spacing w:after="0" w:line="225" w:lineRule="exact"/>
        <w:rPr>
          <w:rFonts w:ascii="Arial" w:cs="Arial" w:eastAsia="Arial" w:hAnsi="Arial"/>
          <w:sz w:val="18"/>
          <w:szCs w:val="18"/>
          <w:color w:val="auto"/>
        </w:rPr>
      </w:pPr>
    </w:p>
    <w:p>
      <w:pPr>
        <w:ind w:left="1020" w:right="100" w:hanging="385"/>
        <w:spacing w:after="0" w:line="264" w:lineRule="auto"/>
        <w:tabs>
          <w:tab w:leader="none" w:pos="103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the end of the period of 7 days (or such shorter period as the Board may determine) following receipt by the Company of a disclosure statement required by the notice mentioned in Article 11.1 above, despite being received after the end of the prescribed period, and the Board being fully satisfied that such information in such statement is full and complete.</w:t>
      </w:r>
    </w:p>
    <w:p>
      <w:pPr>
        <w:spacing w:after="0" w:line="17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color w:val="auto"/>
        </w:rPr>
        <w:t>In addition, the Directors may by resolution:</w:t>
      </w:r>
    </w:p>
    <w:p>
      <w:pPr>
        <w:spacing w:after="0" w:line="229" w:lineRule="exact"/>
        <w:rPr>
          <w:sz w:val="20"/>
          <w:szCs w:val="20"/>
          <w:color w:val="auto"/>
        </w:rPr>
      </w:pPr>
    </w:p>
    <w:p>
      <w:pPr>
        <w:ind w:left="1140" w:right="100" w:hanging="504"/>
        <w:spacing w:after="0" w:line="308" w:lineRule="auto"/>
        <w:tabs>
          <w:tab w:leader="none" w:pos="113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suspend all or any sanctions which have been imposed on default shares under this Article 11, either as regards all those default shares or some only of them, either permanently or for a particular period and either unconditionally or on terms; and/or</w:t>
      </w:r>
    </w:p>
    <w:p>
      <w:pPr>
        <w:spacing w:after="0" w:line="146" w:lineRule="exact"/>
        <w:rPr>
          <w:rFonts w:ascii="Arial" w:cs="Arial" w:eastAsia="Arial" w:hAnsi="Arial"/>
          <w:sz w:val="17"/>
          <w:szCs w:val="17"/>
          <w:color w:val="auto"/>
        </w:rPr>
      </w:pPr>
    </w:p>
    <w:p>
      <w:pPr>
        <w:ind w:left="1140" w:right="100" w:hanging="504"/>
        <w:spacing w:after="0" w:line="277" w:lineRule="auto"/>
        <w:tabs>
          <w:tab w:leader="none" w:pos="114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pay, issue or transfer to a trustee for application in accordance with Article 11.7 below any distribution in respect of any default shares which are subject to a sanction concerning distributions.</w:t>
      </w:r>
    </w:p>
    <w:p>
      <w:pPr>
        <w:spacing w:after="0" w:line="166" w:lineRule="exact"/>
        <w:rPr>
          <w:sz w:val="20"/>
          <w:szCs w:val="20"/>
          <w:color w:val="auto"/>
        </w:rPr>
      </w:pPr>
    </w:p>
    <w:p>
      <w:pPr>
        <w:ind w:left="620" w:right="22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The Company shall give written notice to the relevant Member, or other person appearing to be interested in shares held by that Member, of any resolution passed by the Directors under the previous paragraph.</w:t>
      </w:r>
    </w:p>
    <w:p>
      <w:pPr>
        <w:spacing w:after="0" w:line="170" w:lineRule="exact"/>
        <w:rPr>
          <w:sz w:val="20"/>
          <w:szCs w:val="20"/>
          <w:color w:val="auto"/>
        </w:rPr>
      </w:pPr>
    </w:p>
    <w:p>
      <w:pPr>
        <w:ind w:left="620" w:right="2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8"/>
          <w:szCs w:val="18"/>
          <w:color w:val="auto"/>
        </w:rPr>
        <w:t>Distributions which are not paid or made as a result of sanctions having been imposed on default shares shall be paid or made, but without any interest or other compensation, on the date on which the shares cease to be subject to the sanctions.</w:t>
      </w:r>
    </w:p>
    <w:p>
      <w:pPr>
        <w:spacing w:after="0" w:line="170" w:lineRule="exact"/>
        <w:rPr>
          <w:sz w:val="20"/>
          <w:szCs w:val="20"/>
          <w:color w:val="auto"/>
        </w:rPr>
      </w:pPr>
    </w:p>
    <w:p>
      <w:pPr>
        <w:ind w:left="620" w:right="160" w:hanging="647"/>
        <w:spacing w:after="0" w:line="286" w:lineRule="auto"/>
        <w:tabs>
          <w:tab w:leader="none" w:pos="60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7"/>
          <w:szCs w:val="17"/>
          <w:color w:val="auto"/>
        </w:rPr>
        <w:t>Shares allotted in right of shares which are subject to a sanction shall, on allotment, become subject to the same sanction; for this purpose shares which the Company procures to be offered to shareholders pro rata (or pro rata ignoring fractional entitlements and shares not offered to certain shareholders because of legal or practical problems associated with offering shares outside</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United Kingdom) shall be treated as shares allotted in right of other shares.</w:t>
      </w:r>
    </w:p>
    <w:p>
      <w:pPr>
        <w:spacing w:after="0" w:line="221" w:lineRule="exact"/>
        <w:rPr>
          <w:sz w:val="20"/>
          <w:szCs w:val="20"/>
          <w:color w:val="auto"/>
        </w:rPr>
      </w:pPr>
    </w:p>
    <w:p>
      <w:pPr>
        <w:ind w:left="620" w:right="80" w:hanging="647"/>
        <w:spacing w:after="0" w:line="259" w:lineRule="auto"/>
        <w:tabs>
          <w:tab w:leader="none" w:pos="60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Where, on the basis of information obtained from a Member in respect of any share held by him, the Company issues a notice requiring disclosure pursuant to Section 793 of the 2006 Act to any other person, it shall at the same time send a copy of the said notice to the Member, but the accidental omission to do so, or the non-receipt by the Member of the copy, shall not invalidate or otherwise affect the application of this Article 11.</w:t>
      </w:r>
    </w:p>
    <w:p>
      <w:pPr>
        <w:spacing w:after="0" w:line="187" w:lineRule="exact"/>
        <w:rPr>
          <w:sz w:val="20"/>
          <w:szCs w:val="20"/>
          <w:color w:val="auto"/>
        </w:rPr>
      </w:pPr>
    </w:p>
    <w:p>
      <w:pPr>
        <w:ind w:left="620" w:right="120" w:hanging="647"/>
        <w:spacing w:after="0" w:line="264" w:lineRule="auto"/>
        <w:tabs>
          <w:tab w:leader="none" w:pos="6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8"/>
          <w:szCs w:val="18"/>
          <w:color w:val="auto"/>
        </w:rPr>
        <w:t>Where default shares in which a person appears to be interested are held by a Depositary, the provisions of this Article 11 shall be treated as applying only to those shares held by the Depositary in which such person appears to be interested and not (insofar as such person’s apparent interest is concerned) to any other shares held by the Depositary.</w:t>
      </w:r>
    </w:p>
    <w:p>
      <w:pPr>
        <w:spacing w:after="0" w:line="181" w:lineRule="exact"/>
        <w:rPr>
          <w:sz w:val="20"/>
          <w:szCs w:val="20"/>
          <w:color w:val="auto"/>
        </w:rPr>
      </w:pPr>
    </w:p>
    <w:p>
      <w:pPr>
        <w:ind w:left="620" w:right="60" w:hanging="647"/>
        <w:spacing w:after="0" w:line="279" w:lineRule="auto"/>
        <w:tabs>
          <w:tab w:leader="none" w:pos="60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color w:val="auto"/>
        </w:rPr>
        <w:t>Where the Member on which a notice requiring disclosure under Section 793 of the 2006 Act is served is a Depositary acting in its capacity as such, the obligations of the Depositary as a Member of the Company shall be limited to disclosing to the Company such information relating to any person appearing to be interested in the shares held by it as has been recorded by it pursuant to the arrangements entered into by the Company or approved by the Board pursuant to which it was appointed as a Depositary.</w:t>
      </w:r>
    </w:p>
    <w:p>
      <w:pPr>
        <w:spacing w:after="0" w:line="171" w:lineRule="exact"/>
        <w:rPr>
          <w:sz w:val="20"/>
          <w:szCs w:val="20"/>
          <w:color w:val="auto"/>
        </w:rPr>
      </w:pPr>
    </w:p>
    <w:p>
      <w:pPr>
        <w:ind w:left="620" w:right="480" w:hanging="647"/>
        <w:spacing w:after="0" w:line="277" w:lineRule="auto"/>
        <w:tabs>
          <w:tab w:leader="none" w:pos="6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No officer of the Company shall incur any liability to any person as a result of sanctions having been imposed on shares or of his having taken, or refrained from taking, other action under or in connection with this Article.</w:t>
      </w:r>
    </w:p>
    <w:p>
      <w:pPr>
        <w:sectPr>
          <w:pgSz w:w="11900" w:h="16925" w:orient="portrait"/>
          <w:cols w:equalWidth="0" w:num="1">
            <w:col w:w="10920"/>
          </w:cols>
          <w:pgMar w:left="740" w:top="125" w:right="239" w:bottom="0" w:gutter="0" w:footer="0" w:header="0"/>
        </w:sectPr>
      </w:pPr>
    </w:p>
    <w:bookmarkStart w:id="247" w:name="page248"/>
    <w:bookmarkEnd w:id="247"/>
    <w:p>
      <w:pPr>
        <w:spacing w:after="0"/>
        <w:tabs>
          <w:tab w:leader="none" w:pos="60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color w:val="auto"/>
        </w:rPr>
        <w:t>The following are responsible for ensuring that a disclosure statement is accurate, complete and not misleading:</w:t>
      </w:r>
    </w:p>
    <w:p>
      <w:pPr>
        <w:spacing w:after="0" w:line="229" w:lineRule="exact"/>
        <w:rPr>
          <w:sz w:val="20"/>
          <w:szCs w:val="20"/>
          <w:color w:val="auto"/>
        </w:rPr>
      </w:pPr>
    </w:p>
    <w:p>
      <w:pPr>
        <w:ind w:left="1140" w:hanging="504"/>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declarant;</w:t>
      </w:r>
    </w:p>
    <w:p>
      <w:pPr>
        <w:spacing w:after="0" w:line="225" w:lineRule="exact"/>
        <w:rPr>
          <w:rFonts w:ascii="Arial" w:cs="Arial" w:eastAsia="Arial" w:hAnsi="Arial"/>
          <w:sz w:val="18"/>
          <w:szCs w:val="18"/>
          <w:color w:val="auto"/>
        </w:rPr>
      </w:pPr>
    </w:p>
    <w:p>
      <w:pPr>
        <w:ind w:left="1160" w:hanging="524"/>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person signing the statement on behalf of a declarant;</w:t>
      </w:r>
    </w:p>
    <w:p>
      <w:pPr>
        <w:spacing w:after="0" w:line="225"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and, if two or more persons are so responsible, or are responsible in connection with several disclosure statements made pursuant to the same notice requiring disclosure, their responsibility is joint and several.</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color w:val="auto"/>
        </w:rPr>
        <w:t>For the purposes of this Article 11:</w:t>
      </w:r>
    </w:p>
    <w:p>
      <w:pPr>
        <w:spacing w:after="0" w:line="229" w:lineRule="exact"/>
        <w:rPr>
          <w:sz w:val="20"/>
          <w:szCs w:val="20"/>
          <w:color w:val="auto"/>
        </w:rPr>
      </w:pPr>
    </w:p>
    <w:p>
      <w:pPr>
        <w:ind w:left="1140" w:hanging="504"/>
        <w:spacing w:after="0" w:line="259" w:lineRule="auto"/>
        <w:tabs>
          <w:tab w:leader="none" w:pos="113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from the Member or, pursuant to a notice requiring disclosure under Section 793 of the 2006 Act, from anyone else) knows or has reasonable cause to believe that the person is, or may be, so interested;</w:t>
      </w:r>
    </w:p>
    <w:p>
      <w:pPr>
        <w:spacing w:after="0" w:line="182" w:lineRule="exact"/>
        <w:rPr>
          <w:rFonts w:ascii="Arial" w:cs="Arial" w:eastAsia="Arial" w:hAnsi="Arial"/>
          <w:sz w:val="18"/>
          <w:szCs w:val="18"/>
          <w:color w:val="auto"/>
        </w:rPr>
      </w:pPr>
    </w:p>
    <w:p>
      <w:pPr>
        <w:ind w:left="1160" w:hanging="524"/>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w:t>
      </w:r>
      <w:r>
        <w:rPr>
          <w:rFonts w:ascii="Arial" w:cs="Arial" w:eastAsia="Arial" w:hAnsi="Arial"/>
          <w:sz w:val="18"/>
          <w:szCs w:val="18"/>
          <w:color w:val="auto"/>
        </w:rPr>
        <w:t>” shall be construed as it is for the purpose of Section 793 of the 2006 Act;</w:t>
      </w:r>
    </w:p>
    <w:p>
      <w:pPr>
        <w:spacing w:after="0" w:line="229" w:lineRule="exact"/>
        <w:rPr>
          <w:rFonts w:ascii="Arial" w:cs="Arial" w:eastAsia="Arial" w:hAnsi="Arial"/>
          <w:sz w:val="18"/>
          <w:szCs w:val="18"/>
          <w:color w:val="auto"/>
        </w:rPr>
      </w:pPr>
    </w:p>
    <w:p>
      <w:pPr>
        <w:ind w:left="1140" w:right="160" w:hanging="504"/>
        <w:spacing w:after="0" w:line="277" w:lineRule="auto"/>
        <w:tabs>
          <w:tab w:leader="none" w:pos="11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reference to a person having failed to give the Company the information required by a notice requiring disclosure, or being in default as regards supplying such information in a disclosure statement, includes reference:</w:t>
      </w:r>
    </w:p>
    <w:p>
      <w:pPr>
        <w:spacing w:after="0" w:line="170" w:lineRule="exact"/>
        <w:rPr>
          <w:rFonts w:ascii="Arial" w:cs="Arial" w:eastAsia="Arial" w:hAnsi="Arial"/>
          <w:sz w:val="18"/>
          <w:szCs w:val="18"/>
          <w:color w:val="auto"/>
        </w:rPr>
      </w:pPr>
    </w:p>
    <w:p>
      <w:pPr>
        <w:ind w:left="1540" w:hanging="392"/>
        <w:spacing w:after="0"/>
        <w:tabs>
          <w:tab w:leader="none" w:pos="15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his having failed or refused to give all or any part of it; and</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40" w:right="80" w:hanging="392"/>
        <w:spacing w:after="0" w:line="277" w:lineRule="auto"/>
        <w:tabs>
          <w:tab w:leader="none" w:pos="1566"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to his having given information which he knows to be false in a material particular or having recklessly given information which is false in a material particular;</w:t>
      </w:r>
    </w:p>
    <w:p>
      <w:pPr>
        <w:spacing w:after="0" w:line="166" w:lineRule="exact"/>
        <w:rPr>
          <w:rFonts w:ascii="Arial" w:cs="Arial" w:eastAsia="Arial" w:hAnsi="Arial"/>
          <w:sz w:val="18"/>
          <w:szCs w:val="18"/>
          <w:color w:val="auto"/>
        </w:rPr>
      </w:pPr>
    </w:p>
    <w:p>
      <w:pPr>
        <w:ind w:left="1020" w:right="260" w:hanging="385"/>
        <w:spacing w:after="0" w:line="282" w:lineRule="auto"/>
        <w:tabs>
          <w:tab w:leader="none" w:pos="103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disclosure statement</w:t>
      </w:r>
      <w:r>
        <w:rPr>
          <w:rFonts w:ascii="Arial" w:cs="Arial" w:eastAsia="Arial" w:hAnsi="Arial"/>
          <w:sz w:val="18"/>
          <w:szCs w:val="18"/>
          <w:color w:val="auto"/>
        </w:rPr>
        <w:t>” means a notice which is addressed to the Company and its Directors, signed by or on behalf of one or more persons (“</w:t>
      </w:r>
      <w:r>
        <w:rPr>
          <w:rFonts w:ascii="Arial" w:cs="Arial" w:eastAsia="Arial" w:hAnsi="Arial"/>
          <w:sz w:val="18"/>
          <w:szCs w:val="18"/>
          <w:b w:val="1"/>
          <w:bCs w:val="1"/>
          <w:color w:val="auto"/>
        </w:rPr>
        <w:t>the declarants</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1540" w:right="260" w:hanging="519"/>
        <w:spacing w:after="0" w:line="277" w:lineRule="auto"/>
        <w:tabs>
          <w:tab w:leader="none" w:pos="156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states whether or not the declarant or, in the case of several declarants, each of them has an interest in certain shares and, if so, provides full details of the nature of his interest and the date and manner of its acquisition;</w:t>
      </w:r>
    </w:p>
    <w:p>
      <w:pPr>
        <w:spacing w:after="0" w:line="170" w:lineRule="exact"/>
        <w:rPr>
          <w:rFonts w:ascii="Arial" w:cs="Arial" w:eastAsia="Arial" w:hAnsi="Arial"/>
          <w:sz w:val="18"/>
          <w:szCs w:val="18"/>
          <w:color w:val="auto"/>
        </w:rPr>
      </w:pPr>
    </w:p>
    <w:p>
      <w:pPr>
        <w:ind w:left="1560" w:hanging="539"/>
        <w:spacing w:after="0"/>
        <w:tabs>
          <w:tab w:leader="none" w:pos="15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specifies, in relation to any declarant who is an individual, his name and address; and</w:t>
      </w:r>
    </w:p>
    <w:p>
      <w:pPr>
        <w:spacing w:after="0" w:line="225" w:lineRule="exact"/>
        <w:rPr>
          <w:rFonts w:ascii="Arial" w:cs="Arial" w:eastAsia="Arial" w:hAnsi="Arial"/>
          <w:sz w:val="18"/>
          <w:szCs w:val="18"/>
          <w:color w:val="auto"/>
        </w:rPr>
      </w:pPr>
    </w:p>
    <w:p>
      <w:pPr>
        <w:ind w:left="1580" w:hanging="559"/>
        <w:spacing w:after="0"/>
        <w:tabs>
          <w:tab w:leader="none" w:pos="15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specifies in relation to any declarant which is an undertaking:</w:t>
      </w:r>
    </w:p>
    <w:p>
      <w:pPr>
        <w:spacing w:after="0" w:line="225" w:lineRule="exact"/>
        <w:rPr>
          <w:rFonts w:ascii="Arial" w:cs="Arial" w:eastAsia="Arial" w:hAnsi="Arial"/>
          <w:sz w:val="18"/>
          <w:szCs w:val="18"/>
          <w:color w:val="auto"/>
        </w:rPr>
      </w:pPr>
    </w:p>
    <w:p>
      <w:pPr>
        <w:ind w:left="1940" w:hanging="537"/>
        <w:spacing w:after="0"/>
        <w:tabs>
          <w:tab w:leader="none" w:pos="1940" w:val="left"/>
        </w:tabs>
        <w:numPr>
          <w:ilvl w:val="3"/>
          <w:numId w:val="198"/>
        </w:numPr>
        <w:rPr>
          <w:rFonts w:ascii="Arial" w:cs="Arial" w:eastAsia="Arial" w:hAnsi="Arial"/>
          <w:sz w:val="18"/>
          <w:szCs w:val="18"/>
          <w:color w:val="auto"/>
        </w:rPr>
      </w:pPr>
      <w:r>
        <w:rPr>
          <w:rFonts w:ascii="Arial" w:cs="Arial" w:eastAsia="Arial" w:hAnsi="Arial"/>
          <w:sz w:val="18"/>
          <w:szCs w:val="18"/>
          <w:color w:val="auto"/>
        </w:rPr>
        <w:t>its name and address;</w:t>
      </w:r>
    </w:p>
    <w:p>
      <w:pPr>
        <w:spacing w:after="0" w:line="225" w:lineRule="exact"/>
        <w:rPr>
          <w:rFonts w:ascii="Arial" w:cs="Arial" w:eastAsia="Arial" w:hAnsi="Arial"/>
          <w:sz w:val="18"/>
          <w:szCs w:val="18"/>
          <w:color w:val="auto"/>
        </w:rPr>
      </w:pPr>
    </w:p>
    <w:p>
      <w:pPr>
        <w:ind w:left="1920" w:hanging="517"/>
        <w:spacing w:after="0"/>
        <w:tabs>
          <w:tab w:leader="none" w:pos="1920" w:val="left"/>
        </w:tabs>
        <w:numPr>
          <w:ilvl w:val="3"/>
          <w:numId w:val="198"/>
        </w:numPr>
        <w:rPr>
          <w:rFonts w:ascii="Arial" w:cs="Arial" w:eastAsia="Arial" w:hAnsi="Arial"/>
          <w:sz w:val="18"/>
          <w:szCs w:val="18"/>
          <w:color w:val="auto"/>
        </w:rPr>
      </w:pPr>
      <w:r>
        <w:rPr>
          <w:rFonts w:ascii="Arial" w:cs="Arial" w:eastAsia="Arial" w:hAnsi="Arial"/>
          <w:sz w:val="18"/>
          <w:szCs w:val="18"/>
          <w:color w:val="auto"/>
        </w:rPr>
        <w:t>whether or not another undertaking is a parent undertaking in relation to that declarant;</w:t>
      </w:r>
    </w:p>
    <w:p>
      <w:pPr>
        <w:spacing w:after="0" w:line="225" w:lineRule="exact"/>
        <w:rPr>
          <w:rFonts w:ascii="Arial" w:cs="Arial" w:eastAsia="Arial" w:hAnsi="Arial"/>
          <w:sz w:val="18"/>
          <w:szCs w:val="18"/>
          <w:color w:val="auto"/>
        </w:rPr>
      </w:pPr>
    </w:p>
    <w:p>
      <w:pPr>
        <w:ind w:left="1920" w:right="60" w:hanging="517"/>
        <w:spacing w:after="0" w:line="277" w:lineRule="auto"/>
        <w:tabs>
          <w:tab w:leader="none" w:pos="1933" w:val="left"/>
        </w:tabs>
        <w:numPr>
          <w:ilvl w:val="3"/>
          <w:numId w:val="198"/>
        </w:numPr>
        <w:rPr>
          <w:rFonts w:ascii="Arial" w:cs="Arial" w:eastAsia="Arial" w:hAnsi="Arial"/>
          <w:sz w:val="18"/>
          <w:szCs w:val="18"/>
          <w:color w:val="auto"/>
        </w:rPr>
      </w:pPr>
      <w:r>
        <w:rPr>
          <w:rFonts w:ascii="Arial" w:cs="Arial" w:eastAsia="Arial" w:hAnsi="Arial"/>
          <w:sz w:val="18"/>
          <w:szCs w:val="18"/>
          <w:color w:val="auto"/>
        </w:rPr>
        <w:t>if so, the name and address of the parent undertaking or, in the case of several parent undertakings, the names and addresses of each of them; and</w:t>
      </w:r>
    </w:p>
    <w:p>
      <w:pPr>
        <w:spacing w:after="0" w:line="170" w:lineRule="exact"/>
        <w:rPr>
          <w:rFonts w:ascii="Arial" w:cs="Arial" w:eastAsia="Arial" w:hAnsi="Arial"/>
          <w:sz w:val="18"/>
          <w:szCs w:val="18"/>
          <w:color w:val="auto"/>
        </w:rPr>
      </w:pPr>
    </w:p>
    <w:p>
      <w:pPr>
        <w:jc w:val="both"/>
        <w:ind w:left="1920" w:right="200" w:hanging="517"/>
        <w:spacing w:after="0" w:line="264" w:lineRule="auto"/>
        <w:tabs>
          <w:tab w:leader="none" w:pos="1943" w:val="left"/>
        </w:tabs>
        <w:numPr>
          <w:ilvl w:val="3"/>
          <w:numId w:val="198"/>
        </w:numPr>
        <w:rPr>
          <w:rFonts w:ascii="Arial" w:cs="Arial" w:eastAsia="Arial" w:hAnsi="Arial"/>
          <w:sz w:val="18"/>
          <w:szCs w:val="18"/>
          <w:color w:val="auto"/>
        </w:rPr>
      </w:pPr>
      <w:r>
        <w:rPr>
          <w:rFonts w:ascii="Arial" w:cs="Arial" w:eastAsia="Arial" w:hAnsi="Arial"/>
          <w:sz w:val="18"/>
          <w:szCs w:val="18"/>
          <w:color w:val="auto"/>
        </w:rPr>
        <w:t>if there is a parent undertaking, whether or not any individual or undertaking (other than another such parent undertaking) owns or holds 15 per cent. or more of the shares or the voting rights in that or each such parent undertaking and, if so, the name and address of that or each such individual or undertaking.</w:t>
      </w:r>
    </w:p>
    <w:p>
      <w:pPr>
        <w:spacing w:after="0" w:line="181" w:lineRule="exact"/>
        <w:rPr>
          <w:sz w:val="20"/>
          <w:szCs w:val="20"/>
          <w:color w:val="auto"/>
        </w:rPr>
      </w:pPr>
    </w:p>
    <w:p>
      <w:pPr>
        <w:ind w:left="920" w:right="160"/>
        <w:spacing w:after="0" w:line="272" w:lineRule="auto"/>
        <w:rPr>
          <w:sz w:val="20"/>
          <w:szCs w:val="20"/>
          <w:color w:val="auto"/>
        </w:rPr>
      </w:pPr>
      <w:r>
        <w:rPr>
          <w:rFonts w:ascii="Arial" w:cs="Arial" w:eastAsia="Arial" w:hAnsi="Arial"/>
          <w:sz w:val="17"/>
          <w:szCs w:val="17"/>
          <w:color w:val="auto"/>
        </w:rPr>
        <w:t>References above to the address of an individual are to that of his principal private residence; and references to the address of an undertaking shall be read as referring both to (a) in the case of a company registered in the United Kingdom, the address of its registered office, in the case of an undertaking within the definition of Section 1162 of the 2006 Act, the address of those persons resident in the United Kingdom who are authorised to accept notices on the undertaking’s behalf and in any other case the address (or all the addresses) which the undertaking is required by any law in force in any part of the United Kingdom or the country under whose law it is formed or constituted, to register, notify or maintain for the purpose of receiving notices or other communications; and (b) in the case of any undertaking, the address of the premises at which its senior management is located.</w:t>
      </w:r>
    </w:p>
    <w:p>
      <w:pPr>
        <w:spacing w:after="0" w:line="178"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 disclosure statement shall be treated as signed on behalf of a person if and only if (a) it is signed by an individual who is expressed to be duly authorised to sign for and on behalf of that person; and (b) it specifies the position or gives details of the power of attorney or other document held by that individual from which he derives his authority.</w:t>
      </w:r>
    </w:p>
    <w:p>
      <w:pPr>
        <w:spacing w:after="0" w:line="177" w:lineRule="exact"/>
        <w:rPr>
          <w:sz w:val="20"/>
          <w:szCs w:val="20"/>
          <w:color w:val="auto"/>
        </w:rPr>
      </w:pPr>
    </w:p>
    <w:p>
      <w:pPr>
        <w:ind w:left="1040" w:hanging="405"/>
        <w:spacing w:after="0"/>
        <w:tabs>
          <w:tab w:leader="none" w:pos="10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notice requiring disclosure</w:t>
      </w:r>
      <w:r>
        <w:rPr>
          <w:rFonts w:ascii="Arial" w:cs="Arial" w:eastAsia="Arial" w:hAnsi="Arial"/>
          <w:sz w:val="18"/>
          <w:szCs w:val="18"/>
          <w:color w:val="auto"/>
        </w:rPr>
        <w:t>” means a notice under Section 793 of the 2006 Act which:</w:t>
      </w:r>
    </w:p>
    <w:p>
      <w:pPr>
        <w:spacing w:after="0" w:line="229" w:lineRule="exact"/>
        <w:rPr>
          <w:rFonts w:ascii="Arial" w:cs="Arial" w:eastAsia="Arial" w:hAnsi="Arial"/>
          <w:sz w:val="18"/>
          <w:szCs w:val="18"/>
          <w:color w:val="auto"/>
        </w:rPr>
      </w:pPr>
    </w:p>
    <w:p>
      <w:pPr>
        <w:ind w:left="1560" w:hanging="539"/>
        <w:spacing w:after="0"/>
        <w:tabs>
          <w:tab w:leader="none" w:pos="156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is signed by a Director of the Company or the Secretary;</w:t>
      </w:r>
    </w:p>
    <w:p>
      <w:pPr>
        <w:spacing w:after="0" w:line="225" w:lineRule="exact"/>
        <w:rPr>
          <w:rFonts w:ascii="Arial" w:cs="Arial" w:eastAsia="Arial" w:hAnsi="Arial"/>
          <w:sz w:val="18"/>
          <w:szCs w:val="18"/>
          <w:color w:val="auto"/>
        </w:rPr>
      </w:pPr>
    </w:p>
    <w:p>
      <w:pPr>
        <w:ind w:left="1560" w:hanging="539"/>
        <w:spacing w:after="0"/>
        <w:tabs>
          <w:tab w:leader="none" w:pos="156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is served on a Member, or any other person appearing to be</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interested in shares held by that Member;</w:t>
      </w:r>
    </w:p>
    <w:p>
      <w:pPr>
        <w:sectPr>
          <w:pgSz w:w="11900" w:h="16838" w:orient="portrait"/>
          <w:cols w:equalWidth="0" w:num="1">
            <w:col w:w="10900"/>
          </w:cols>
          <w:pgMar w:left="740" w:top="338" w:right="259" w:bottom="0" w:gutter="0" w:footer="0" w:header="0"/>
        </w:sectPr>
      </w:pPr>
    </w:p>
    <w:bookmarkStart w:id="248" w:name="page249"/>
    <w:bookmarkEnd w:id="248"/>
    <w:p>
      <w:pPr>
        <w:spacing w:after="0" w:line="65" w:lineRule="exact"/>
        <w:rPr>
          <w:sz w:val="20"/>
          <w:szCs w:val="20"/>
          <w:color w:val="auto"/>
        </w:rPr>
      </w:pPr>
    </w:p>
    <w:p>
      <w:pPr>
        <w:jc w:val="both"/>
        <w:ind w:left="2040" w:right="40" w:hanging="519"/>
        <w:spacing w:after="0" w:line="264" w:lineRule="auto"/>
        <w:tabs>
          <w:tab w:leader="none" w:pos="208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requires the person in receipt of the notice to ensure that the Company receives at an address in the United Kingdom specified in the notice a disclosure statement in relation to all the shares held by such person, or such number of those shares as is specified in the notice, within the prescribed period;</w:t>
      </w:r>
    </w:p>
    <w:p>
      <w:pPr>
        <w:spacing w:after="0" w:line="181" w:lineRule="exact"/>
        <w:rPr>
          <w:rFonts w:ascii="Arial" w:cs="Arial" w:eastAsia="Arial" w:hAnsi="Arial"/>
          <w:sz w:val="18"/>
          <w:szCs w:val="18"/>
          <w:color w:val="auto"/>
        </w:rPr>
      </w:pPr>
    </w:p>
    <w:p>
      <w:pPr>
        <w:ind w:left="2040" w:hanging="519"/>
        <w:spacing w:after="0" w:line="308" w:lineRule="auto"/>
        <w:tabs>
          <w:tab w:leader="none" w:pos="2059" w:val="left"/>
        </w:tabs>
        <w:numPr>
          <w:ilvl w:val="1"/>
          <w:numId w:val="200"/>
        </w:numPr>
        <w:rPr>
          <w:rFonts w:ascii="Arial" w:cs="Arial" w:eastAsia="Arial" w:hAnsi="Arial"/>
          <w:sz w:val="17"/>
          <w:szCs w:val="17"/>
          <w:color w:val="auto"/>
        </w:rPr>
      </w:pPr>
      <w:r>
        <w:rPr>
          <w:rFonts w:ascii="Arial" w:cs="Arial" w:eastAsia="Arial" w:hAnsi="Arial"/>
          <w:sz w:val="17"/>
          <w:szCs w:val="17"/>
          <w:color w:val="auto"/>
        </w:rPr>
        <w:t>states that, if the Company does not receive such a disclosure statement at the place and within the time specified in its notice, the Directors will be entitled to impose sanctions on the shares in relation to which disclosure was required; and</w:t>
      </w:r>
    </w:p>
    <w:p>
      <w:pPr>
        <w:spacing w:after="0" w:line="146" w:lineRule="exact"/>
        <w:rPr>
          <w:rFonts w:ascii="Arial" w:cs="Arial" w:eastAsia="Arial" w:hAnsi="Arial"/>
          <w:sz w:val="17"/>
          <w:szCs w:val="17"/>
          <w:color w:val="auto"/>
        </w:rPr>
      </w:pPr>
    </w:p>
    <w:p>
      <w:pPr>
        <w:ind w:left="2040" w:right="280" w:hanging="519"/>
        <w:spacing w:after="0" w:line="277" w:lineRule="auto"/>
        <w:tabs>
          <w:tab w:leader="none" w:pos="205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describes, by reference to a copy or extract of this Article which is attached to the notice or otherwise, the sanctions which the Directors will be entitled to impose.</w:t>
      </w:r>
    </w:p>
    <w:p>
      <w:pPr>
        <w:spacing w:after="0" w:line="166" w:lineRule="exact"/>
        <w:rPr>
          <w:rFonts w:ascii="Arial" w:cs="Arial" w:eastAsia="Arial" w:hAnsi="Arial"/>
          <w:sz w:val="18"/>
          <w:szCs w:val="18"/>
          <w:color w:val="auto"/>
        </w:rPr>
      </w:pPr>
    </w:p>
    <w:p>
      <w:pPr>
        <w:ind w:left="1400" w:hanging="265"/>
        <w:spacing w:after="0"/>
        <w:tabs>
          <w:tab w:leader="none" w:pos="14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restriction notice</w:t>
      </w:r>
      <w:r>
        <w:rPr>
          <w:rFonts w:ascii="Arial" w:cs="Arial" w:eastAsia="Arial" w:hAnsi="Arial"/>
          <w:sz w:val="18"/>
          <w:szCs w:val="18"/>
          <w:color w:val="auto"/>
        </w:rPr>
        <w:t>” means a notice which is</w:t>
      </w:r>
    </w:p>
    <w:p>
      <w:pPr>
        <w:spacing w:after="0" w:line="229" w:lineRule="exact"/>
        <w:rPr>
          <w:rFonts w:ascii="Arial" w:cs="Arial" w:eastAsia="Arial" w:hAnsi="Arial"/>
          <w:sz w:val="18"/>
          <w:szCs w:val="18"/>
          <w:color w:val="auto"/>
        </w:rPr>
      </w:pPr>
    </w:p>
    <w:p>
      <w:pPr>
        <w:ind w:left="2060" w:hanging="539"/>
        <w:spacing w:after="0"/>
        <w:tabs>
          <w:tab w:leader="none" w:pos="20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signed by a director of the Company or the Secretary;</w:t>
      </w:r>
    </w:p>
    <w:p>
      <w:pPr>
        <w:spacing w:after="0" w:line="225" w:lineRule="exact"/>
        <w:rPr>
          <w:rFonts w:ascii="Arial" w:cs="Arial" w:eastAsia="Arial" w:hAnsi="Arial"/>
          <w:sz w:val="18"/>
          <w:szCs w:val="18"/>
          <w:color w:val="auto"/>
        </w:rPr>
      </w:pPr>
    </w:p>
    <w:p>
      <w:pPr>
        <w:ind w:left="2040" w:right="120" w:hanging="519"/>
        <w:spacing w:after="0" w:line="277" w:lineRule="auto"/>
        <w:tabs>
          <w:tab w:leader="none" w:pos="207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served on a person or persons on whom the Company has served a notice requiring disclosure and who have failed in relation to certain shares to comply with that notice within the prescribed period;</w:t>
      </w:r>
    </w:p>
    <w:p>
      <w:pPr>
        <w:spacing w:after="0" w:line="170" w:lineRule="exact"/>
        <w:rPr>
          <w:rFonts w:ascii="Arial" w:cs="Arial" w:eastAsia="Arial" w:hAnsi="Arial"/>
          <w:sz w:val="18"/>
          <w:szCs w:val="18"/>
          <w:color w:val="auto"/>
        </w:rPr>
      </w:pPr>
    </w:p>
    <w:p>
      <w:pPr>
        <w:ind w:left="2040" w:hanging="519"/>
        <w:spacing w:after="0" w:line="277" w:lineRule="auto"/>
        <w:tabs>
          <w:tab w:leader="none" w:pos="208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describes (by reference to a copy or extract of the relevant resolution of the directors which is attached to the notice or otherwise) the sanctions which the directors have resolved to impose on those shares; and</w:t>
      </w:r>
    </w:p>
    <w:p>
      <w:pPr>
        <w:spacing w:after="0" w:line="170" w:lineRule="exact"/>
        <w:rPr>
          <w:rFonts w:ascii="Arial" w:cs="Arial" w:eastAsia="Arial" w:hAnsi="Arial"/>
          <w:sz w:val="18"/>
          <w:szCs w:val="18"/>
          <w:color w:val="auto"/>
        </w:rPr>
      </w:pPr>
    </w:p>
    <w:p>
      <w:pPr>
        <w:ind w:left="2060" w:hanging="539"/>
        <w:spacing w:after="0"/>
        <w:tabs>
          <w:tab w:leader="none" w:pos="20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states the date on which the sanctions came or will come into force.</w:t>
      </w:r>
    </w:p>
    <w:p>
      <w:pPr>
        <w:spacing w:after="0" w:line="221" w:lineRule="exact"/>
        <w:rPr>
          <w:rFonts w:ascii="Arial" w:cs="Arial" w:eastAsia="Arial" w:hAnsi="Arial"/>
          <w:sz w:val="18"/>
          <w:szCs w:val="18"/>
          <w:color w:val="auto"/>
        </w:rPr>
      </w:pPr>
    </w:p>
    <w:p>
      <w:pPr>
        <w:ind w:left="1540" w:hanging="405"/>
        <w:spacing w:after="0"/>
        <w:tabs>
          <w:tab w:leader="none" w:pos="1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prescribed period</w:t>
      </w:r>
      <w:r>
        <w:rPr>
          <w:rFonts w:ascii="Arial" w:cs="Arial" w:eastAsia="Arial" w:hAnsi="Arial"/>
          <w:sz w:val="18"/>
          <w:szCs w:val="18"/>
          <w:color w:val="auto"/>
        </w:rPr>
        <w:t>” means 14 days from the date the notice is sent.</w:t>
      </w:r>
    </w:p>
    <w:p>
      <w:pPr>
        <w:spacing w:after="0" w:line="225" w:lineRule="exact"/>
        <w:rPr>
          <w:rFonts w:ascii="Arial" w:cs="Arial" w:eastAsia="Arial" w:hAnsi="Arial"/>
          <w:sz w:val="18"/>
          <w:szCs w:val="18"/>
          <w:color w:val="auto"/>
        </w:rPr>
      </w:pPr>
    </w:p>
    <w:p>
      <w:pPr>
        <w:ind w:left="1540" w:hanging="405"/>
        <w:spacing w:after="0"/>
        <w:tabs>
          <w:tab w:leader="none" w:pos="1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excepted transfer</w:t>
      </w:r>
      <w:r>
        <w:rPr>
          <w:rFonts w:ascii="Arial" w:cs="Arial" w:eastAsia="Arial" w:hAnsi="Arial"/>
          <w:sz w:val="18"/>
          <w:szCs w:val="18"/>
          <w:color w:val="auto"/>
        </w:rPr>
        <w:t>” means, in relation to any shares held by a member:</w:t>
      </w:r>
    </w:p>
    <w:p>
      <w:pPr>
        <w:spacing w:after="0" w:line="229" w:lineRule="exact"/>
        <w:rPr>
          <w:rFonts w:ascii="Arial" w:cs="Arial" w:eastAsia="Arial" w:hAnsi="Arial"/>
          <w:sz w:val="18"/>
          <w:szCs w:val="18"/>
          <w:color w:val="auto"/>
        </w:rPr>
      </w:pPr>
    </w:p>
    <w:p>
      <w:pPr>
        <w:ind w:left="2040" w:right="340" w:hanging="519"/>
        <w:spacing w:after="0" w:line="277" w:lineRule="auto"/>
        <w:tabs>
          <w:tab w:leader="none" w:pos="20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transfer by way of or pursuant to acceptance of a takeover offer for the Company (within the meaning of Section 974 of the 2006 Act); or</w:t>
      </w:r>
    </w:p>
    <w:p>
      <w:pPr>
        <w:spacing w:after="0" w:line="170" w:lineRule="exact"/>
        <w:rPr>
          <w:rFonts w:ascii="Arial" w:cs="Arial" w:eastAsia="Arial" w:hAnsi="Arial"/>
          <w:sz w:val="18"/>
          <w:szCs w:val="18"/>
          <w:color w:val="auto"/>
        </w:rPr>
      </w:pPr>
    </w:p>
    <w:p>
      <w:pPr>
        <w:jc w:val="both"/>
        <w:ind w:left="2040" w:right="340" w:hanging="519"/>
        <w:spacing w:after="0" w:line="264" w:lineRule="auto"/>
        <w:tabs>
          <w:tab w:leader="none" w:pos="207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transfer in consequence of a sale made through a recognised investment exchange (as defined in the Financial Services and Markets Act 2000) or any other stock exchange outside the United Kingdom on which the Company’s shares or securities are normally traded; or</w:t>
      </w:r>
    </w:p>
    <w:p>
      <w:pPr>
        <w:spacing w:after="0" w:line="181" w:lineRule="exact"/>
        <w:rPr>
          <w:rFonts w:ascii="Arial" w:cs="Arial" w:eastAsia="Arial" w:hAnsi="Arial"/>
          <w:sz w:val="18"/>
          <w:szCs w:val="18"/>
          <w:color w:val="auto"/>
        </w:rPr>
      </w:pPr>
    </w:p>
    <w:p>
      <w:pPr>
        <w:ind w:left="2040" w:right="60" w:hanging="519"/>
        <w:spacing w:after="0" w:line="264" w:lineRule="auto"/>
        <w:tabs>
          <w:tab w:leader="none" w:pos="208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transfer which is shown to the satisfaction of the Board to be made in consequence of a sale of the whole of the beneficial interest in the shares to a person who is unconnected with the member and with any other person appearing to be interested in the shares.</w:t>
      </w:r>
    </w:p>
    <w:p>
      <w:pPr>
        <w:spacing w:after="0" w:line="177"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Nothing contained in this Article 11 shall be taken to limit the powers of the Company under the 2006 Act.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STOCK</w:t>
      </w:r>
    </w:p>
    <w:p>
      <w:pPr>
        <w:spacing w:after="0" w:line="225" w:lineRule="exact"/>
        <w:rPr>
          <w:sz w:val="20"/>
          <w:szCs w:val="20"/>
          <w:color w:val="auto"/>
        </w:rPr>
      </w:pPr>
    </w:p>
    <w:p>
      <w:pPr>
        <w:ind w:left="1140" w:right="40" w:hanging="647"/>
        <w:spacing w:after="0" w:line="264" w:lineRule="auto"/>
        <w:tabs>
          <w:tab w:leader="none" w:pos="11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The Company may, from time to time, by ordinary resolution, convert all or any of its fully paid shares into stock, and may from time to time, in like manner, convert any stock into fully paid shares of any denomination. No such conversion shall affect or prejudice any preference or other special privilege.</w:t>
      </w:r>
    </w:p>
    <w:p>
      <w:pPr>
        <w:spacing w:after="0" w:line="181" w:lineRule="exact"/>
        <w:rPr>
          <w:sz w:val="20"/>
          <w:szCs w:val="20"/>
          <w:color w:val="auto"/>
        </w:rPr>
      </w:pPr>
    </w:p>
    <w:p>
      <w:pPr>
        <w:ind w:left="1140" w:right="20" w:hanging="647"/>
        <w:spacing w:after="0" w:line="297" w:lineRule="auto"/>
        <w:tabs>
          <w:tab w:leader="none" w:pos="11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When any shares have been converted into stock the several holders of such stock may transfer their respective interests therein, or any part of such interests, in such manner as the Company by ordinary resolution directs but in default of any such direction in the same manner and subject to the same regulations as and subject to which the shares from which the stock arose might previously to conversion have been transferred or as near thereto as circumstances will admit. The Board may, from time to time fix the minimum amount of stock transferable provided that such minimum shall not exceed the nominal amount of each of the shares from which the stock arose.</w:t>
      </w:r>
    </w:p>
    <w:p>
      <w:pPr>
        <w:spacing w:after="0" w:line="158" w:lineRule="exact"/>
        <w:rPr>
          <w:sz w:val="20"/>
          <w:szCs w:val="20"/>
          <w:color w:val="auto"/>
        </w:rPr>
      </w:pPr>
    </w:p>
    <w:p>
      <w:pPr>
        <w:ind w:left="1140" w:right="180" w:hanging="647"/>
        <w:spacing w:after="0" w:line="259" w:lineRule="auto"/>
        <w:tabs>
          <w:tab w:leader="none" w:pos="11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The holders of stock shall, according to the amount of stock held by them, have the same rights, privileges and advantages as regards dividends, voting at General Meetings of the Company and other matters, and be subject to the same provisions of these Articles as if they held the shares from which the stock arose, but no such privilege or advantage shall be conferred by an amount of stock which would not, if existing in shares, have conferred that privilege or advantage.</w:t>
      </w:r>
    </w:p>
    <w:p>
      <w:pPr>
        <w:spacing w:after="0" w:line="187"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ALTERATIONS TO CAPITAL</w:t>
      </w:r>
    </w:p>
    <w:p>
      <w:pPr>
        <w:spacing w:after="0" w:line="225"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The Company may from time to time by ordinary resolution:</w:t>
      </w:r>
    </w:p>
    <w:p>
      <w:pPr>
        <w:spacing w:after="0" w:line="229" w:lineRule="exact"/>
        <w:rPr>
          <w:sz w:val="20"/>
          <w:szCs w:val="20"/>
          <w:color w:val="auto"/>
        </w:rPr>
      </w:pPr>
    </w:p>
    <w:p>
      <w:pPr>
        <w:ind w:left="1520" w:hanging="385"/>
        <w:spacing w:after="0"/>
        <w:tabs>
          <w:tab w:leader="none" w:pos="1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amounts than its existing shares;</w:t>
      </w:r>
    </w:p>
    <w:p>
      <w:pPr>
        <w:spacing w:after="0" w:line="225" w:lineRule="exact"/>
        <w:rPr>
          <w:rFonts w:ascii="Arial" w:cs="Arial" w:eastAsia="Arial" w:hAnsi="Arial"/>
          <w:sz w:val="18"/>
          <w:szCs w:val="18"/>
          <w:color w:val="auto"/>
        </w:rPr>
      </w:pPr>
    </w:p>
    <w:p>
      <w:pPr>
        <w:ind w:left="1520" w:hanging="385"/>
        <w:spacing w:after="0" w:line="308" w:lineRule="auto"/>
        <w:tabs>
          <w:tab w:leader="none" w:pos="153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cancel any shares which at the date of the passing of the resolution have not been taken or agreed to be taken by any person and diminish the amount of its share capital by the amount of the shares so cancelled subject to the provisions of the 2006 Act;</w:t>
      </w:r>
    </w:p>
    <w:p>
      <w:pPr>
        <w:spacing w:after="0" w:line="146" w:lineRule="exact"/>
        <w:rPr>
          <w:rFonts w:ascii="Arial" w:cs="Arial" w:eastAsia="Arial" w:hAnsi="Arial"/>
          <w:sz w:val="17"/>
          <w:szCs w:val="17"/>
          <w:color w:val="auto"/>
        </w:rPr>
      </w:pPr>
    </w:p>
    <w:p>
      <w:pPr>
        <w:ind w:left="1520" w:right="240" w:hanging="385"/>
        <w:spacing w:after="0" w:line="259" w:lineRule="auto"/>
        <w:tabs>
          <w:tab w:leader="none" w:pos="153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 smaller amount and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unissued or new shares.</w:t>
      </w:r>
    </w:p>
    <w:p>
      <w:pPr>
        <w:spacing w:after="0" w:line="183" w:lineRule="exact"/>
        <w:rPr>
          <w:sz w:val="20"/>
          <w:szCs w:val="20"/>
          <w:color w:val="auto"/>
        </w:rPr>
      </w:pPr>
    </w:p>
    <w:p>
      <w:pPr>
        <w:ind w:left="1140" w:right="20" w:hanging="647"/>
        <w:spacing w:after="0" w:line="342" w:lineRule="auto"/>
        <w:tabs>
          <w:tab w:leader="none" w:pos="11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Subject to the provisions of the Statutes, the Company may from time to time by special resolution reduce its share capital, any capital redemption reserve fund or any share premium account in any manner and with, and subject to, any incident authorised, and consent required,</w:t>
      </w:r>
    </w:p>
    <w:p>
      <w:pPr>
        <w:sectPr>
          <w:pgSz w:w="11900" w:h="16904" w:orient="portrait"/>
          <w:cols w:equalWidth="0" w:num="1">
            <w:col w:w="11400"/>
          </w:cols>
          <w:pgMar w:left="240" w:top="125" w:right="259" w:bottom="0" w:gutter="0" w:footer="0" w:header="0"/>
        </w:sectPr>
      </w:pPr>
    </w:p>
    <w:bookmarkStart w:id="249" w:name="page250"/>
    <w:bookmarkEnd w:id="249"/>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by law.</w:t>
      </w:r>
    </w:p>
    <w:p>
      <w:pPr>
        <w:spacing w:after="0" w:line="221" w:lineRule="exact"/>
        <w:rPr>
          <w:sz w:val="20"/>
          <w:szCs w:val="20"/>
          <w:color w:val="auto"/>
        </w:rPr>
      </w:pPr>
    </w:p>
    <w:p>
      <w:pPr>
        <w:ind w:left="1020" w:right="200" w:hanging="647"/>
        <w:spacing w:after="0" w:line="297" w:lineRule="auto"/>
        <w:tabs>
          <w:tab w:leader="none" w:pos="10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Upon any consolidation of fully paid shares into shares of larger amount, or the subdivision of shares into shares of a smaller amount, the Board may settle any difficulty which may arise with regard thereto and in particular may, as between the holders of shares so consolidated, determine which shares are consolidated into each consolidated share and in the case of any shares registered in the name of one Member being consolidated with shares registered in the name of another Member the Board may make such arrangements for the allotment, acceptance and/or sale of shares representing fractional entitlements to the consolidated share or for the sale of the</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right="40"/>
        <w:spacing w:after="0" w:line="287" w:lineRule="auto"/>
        <w:rPr>
          <w:sz w:val="20"/>
          <w:szCs w:val="20"/>
          <w:color w:val="auto"/>
        </w:rPr>
      </w:pPr>
      <w:r>
        <w:rPr>
          <w:rFonts w:ascii="Arial" w:cs="Arial" w:eastAsia="Arial" w:hAnsi="Arial"/>
          <w:sz w:val="16"/>
          <w:szCs w:val="16"/>
          <w:color w:val="auto"/>
        </w:rPr>
        <w:t>consolidated share and may sell the fractions or the consolidated share either upon the market or otherwise to such person at such time and at such price as it may think fit and shall distribute the net proceeds of sale among such Members rateably in accordance with their rights and interests in the consolidated share or the fractions and for the purposes of giving effect to any such sale the Board may, in respect of certificated shares, appoint some person to transfer the shares or fractions sold to any purchaser thereof and such appointment and any transfer executed in pursuance thereof shall be effective and, in respect of uncertificated shares, may authorise any person to transfer such shares or fractions sold to any purchaser thereof in accordance with the facilities and requirements of the relevant system concerned and any transfer executed in pursuant thereof shall be effective. Provided that the Board shall have power when making such arrangements to determine that no Member shall be entitled to receive such net proceeds of sale unless his entitlement exceeds such amount as the Board shall determine and if the Board exercises such power the net proceeds of sale not distributed to Members as a result shall belong absolutely to the Company. For the purposes of this Article, any shares representing fractional entitlements to which any Member would, but for this Article, become entitled may be issued in certificated form or uncertificated form.</w:t>
      </w:r>
    </w:p>
    <w:p>
      <w:pPr>
        <w:spacing w:after="0" w:line="169" w:lineRule="exact"/>
        <w:rPr>
          <w:sz w:val="20"/>
          <w:szCs w:val="20"/>
          <w:color w:val="auto"/>
        </w:rPr>
      </w:pPr>
    </w:p>
    <w:p>
      <w:pPr>
        <w:ind w:left="1020" w:right="20" w:hanging="647"/>
        <w:spacing w:after="0" w:line="293" w:lineRule="auto"/>
        <w:tabs>
          <w:tab w:leader="none" w:pos="100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The Board may, without prejudice to Article 13.3 and subject to the Statutes, in each case where the number of shares held by the holder is not an exact multiple of the number of shares to be consolidated into a single share, issue to such holder credited as fully paid by way of capitalisation the minimum number of shares required to round up his holdings to a multiple (such issue being deemed to have been effected immediately prior to consolidation) and the amount required to pay up such shares shall be appropriated at its discretion from any sums standing to the credit of any of the Company’s reserve accounts (including, subject to the 2006 Act, share premium account and capital redemption reserve) or to the credit of profit and loss account and capitalised by applying the same in paying up such shares.</w:t>
      </w:r>
    </w:p>
    <w:p>
      <w:pPr>
        <w:spacing w:after="0" w:line="165" w:lineRule="exact"/>
        <w:rPr>
          <w:sz w:val="20"/>
          <w:szCs w:val="20"/>
          <w:color w:val="auto"/>
        </w:rPr>
      </w:pPr>
    </w:p>
    <w:p>
      <w:pPr>
        <w:ind w:left="1020" w:right="240" w:hanging="647"/>
        <w:spacing w:after="0" w:line="312" w:lineRule="auto"/>
        <w:tabs>
          <w:tab w:leader="none" w:pos="100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Anything done in pursuance of the last 3 preceding Articles shall be done in the manner provided and subject to any conditions imposed by the Statutes, so far as they shall be applicable, and, so far as they shall not be applicable, in accordance with the terms of the resolution authorising the same, and, so far as such resolution shall not be applicable, in such manner as the Board shall determine.</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MODIFICATION OF CLASS RIGHTS</w:t>
      </w:r>
    </w:p>
    <w:p>
      <w:pPr>
        <w:spacing w:after="0" w:line="225" w:lineRule="exact"/>
        <w:rPr>
          <w:sz w:val="20"/>
          <w:szCs w:val="20"/>
          <w:color w:val="auto"/>
        </w:rPr>
      </w:pPr>
    </w:p>
    <w:p>
      <w:pPr>
        <w:ind w:left="1020" w:hanging="647"/>
        <w:spacing w:after="0" w:line="269" w:lineRule="auto"/>
        <w:tabs>
          <w:tab w:leader="none" w:pos="100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color w:val="auto"/>
        </w:rPr>
        <w:t>Subject to the Statutes, none of the rights, privileges or conditions for the time being attached or belonging to any class of shares forming part of the issued capital for the time being of the Company shall (unless otherwise provided by the terms of issue of the shares of that class) be modified, varied or abrogated in any manner, whether the Company is being wound up or not, except with the consent in writing of the holders of not less than 75% in nominal value of the issued shares of the class (excluding any shares held as treasury shares) or the sanction of a special resolution passed at a separate meeting of the members of that class. To any such separate meeting all the provisions of these Articles as to General Meetings shall mutatis mutandis apply but so that the necessary quorum (other than at an adjourned Meeting) shall be not less than two persons personally present and holding or representing, either by proxy or as the duly appointed representative of a corporation which is a Member, at least 33.33% of the nominal value of the issued shares of the class in question (excluding any shares held in treasury) and, at an adjourned meeting, one person present and holding or representing, either by proxy or as the duly appointed representative of a corporation which is a Member, shares of the class in question, and so that any holder of shares of the class in question present in person or by proxy or as the duly</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60" w:right="20"/>
        <w:spacing w:after="0" w:line="257" w:lineRule="auto"/>
        <w:rPr>
          <w:sz w:val="20"/>
          <w:szCs w:val="20"/>
          <w:color w:val="auto"/>
        </w:rPr>
      </w:pPr>
      <w:r>
        <w:rPr>
          <w:rFonts w:ascii="Arial" w:cs="Arial" w:eastAsia="Arial" w:hAnsi="Arial"/>
          <w:sz w:val="18"/>
          <w:szCs w:val="18"/>
          <w:color w:val="auto"/>
        </w:rPr>
        <w:t>appointed representative of a corporation may demand a poll and shall be entitled on a poll to one vote for every such share held by him. The rights conferred upon the holders of the shares of any class issued with preferred or other rights shall not, unless otherwise expressly provided by these Articles or by the terms of issue of the shares of that class, be deemed to be modified, varied or abrogated by the creation or issue of further shares ranking pari passu in all respects (save as the date from which such new shares shall rank for dividend) therewith or subsequent to those already issued.</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GENERAL MEETINGS</w:t>
      </w:r>
    </w:p>
    <w:p>
      <w:pPr>
        <w:spacing w:after="0" w:line="225" w:lineRule="exact"/>
        <w:rPr>
          <w:sz w:val="20"/>
          <w:szCs w:val="20"/>
          <w:color w:val="auto"/>
        </w:rPr>
      </w:pPr>
    </w:p>
    <w:p>
      <w:pPr>
        <w:ind w:left="1020" w:right="18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color w:val="auto"/>
        </w:rPr>
        <w:t>An annual General Meeting of the Company shall be held in each year in addition to any other meetings which may be held in that year, and such meeting shall be specified as the Annual General Meeting in the notices calling it. Subject as aforesaid and to the provisions of the Statutes the Annual General Meeting shall be held at such time and place as the Board shall appoint.</w:t>
      </w:r>
    </w:p>
    <w:p>
      <w:pPr>
        <w:spacing w:after="0" w:line="181"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All General Meetings of the Company other than Annual General Meetings shall be called General Meetings.</w:t>
      </w:r>
    </w:p>
    <w:p>
      <w:pPr>
        <w:spacing w:after="0" w:line="225" w:lineRule="exact"/>
        <w:rPr>
          <w:sz w:val="20"/>
          <w:szCs w:val="20"/>
          <w:color w:val="auto"/>
        </w:rPr>
      </w:pPr>
    </w:p>
    <w:p>
      <w:pPr>
        <w:ind w:left="1020" w:right="40" w:hanging="647"/>
        <w:spacing w:after="0" w:line="302" w:lineRule="auto"/>
        <w:tabs>
          <w:tab w:leader="none" w:pos="100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color w:val="auto"/>
        </w:rPr>
        <w:t>The Board may call a General Meeting whenever it thinks fit. General Meetings shall also be convened on requisition by Members, as provided by the Statutes, whereupon the Board shall forthwith proceed to convene a General Meeting in accordance with the 2006 Act. If at any time there are not sufficient Directors capable of acting to form a quorum of the Board any Director or any two Members of the Company may convene a General Meeting in the same manner as nearly as possible as that in which meetings may be convened by the Board.</w:t>
      </w:r>
    </w:p>
    <w:p>
      <w:pPr>
        <w:spacing w:after="0" w:line="154" w:lineRule="exact"/>
        <w:rPr>
          <w:sz w:val="20"/>
          <w:szCs w:val="20"/>
          <w:color w:val="auto"/>
        </w:rPr>
      </w:pPr>
    </w:p>
    <w:p>
      <w:pPr>
        <w:ind w:left="1020" w:right="280" w:hanging="647"/>
        <w:spacing w:after="0" w:line="308" w:lineRule="auto"/>
        <w:tabs>
          <w:tab w:leader="none" w:pos="100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7"/>
          <w:szCs w:val="17"/>
          <w:color w:val="auto"/>
        </w:rPr>
        <w:t>In the case of a General Meeting called in pursuance of a requisition under the 2006 Act, unless such meeting shall have been called by the Directors, no business other than that stated in the requisition as the object of the meeting shall be transacted.</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NOTICE OF GENERAL MEETINGS</w:t>
      </w:r>
    </w:p>
    <w:p>
      <w:pPr>
        <w:sectPr>
          <w:pgSz w:w="11900" w:h="16870" w:orient="portrait"/>
          <w:cols w:equalWidth="0" w:num="1">
            <w:col w:w="11300"/>
          </w:cols>
          <w:pgMar w:left="360" w:top="125" w:right="239" w:bottom="0" w:gutter="0" w:footer="0" w:header="0"/>
        </w:sectPr>
      </w:pPr>
    </w:p>
    <w:bookmarkStart w:id="250" w:name="page251"/>
    <w:bookmarkEnd w:id="250"/>
    <w:p>
      <w:pPr>
        <w:ind w:left="1020" w:right="60" w:hanging="647"/>
        <w:spacing w:after="0" w:line="271" w:lineRule="auto"/>
        <w:tabs>
          <w:tab w:leader="none" w:pos="100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color w:val="auto"/>
        </w:rPr>
        <w:t>At least 21 clear day’s’ notice of every annual General Meeting and at least 14 clear days’ notice of every other General Meeting shall be given in the manner hereinafter mentioned to such Members as are under the provisions of these Articles entitled to receive such notices from the Company and to the auditors of the Company. Every notice of General Meeting shall specify the place, day and hour of meeting and the general nature of such business and shall also state with reasonable prominence that a Member entitled to attend and vote at the meeting is entitled to appoint one or more proxies to attend, speak and vote instead of him and that a proxy need not also be a Member. In the case of a meeting convened for passing a special resolution the notice shall specify the intention to propose the resolution as a special resolution as the case may be. Subject to the provisions of these Articles, to the rights attaching to any class of shares and to any restrictions imposed on any holder, notice shall be given to all Members, the Directors and the auditors.</w:t>
      </w:r>
    </w:p>
    <w:p>
      <w:pPr>
        <w:spacing w:after="0" w:line="179" w:lineRule="exact"/>
        <w:rPr>
          <w:sz w:val="20"/>
          <w:szCs w:val="20"/>
          <w:color w:val="auto"/>
        </w:rPr>
      </w:pPr>
    </w:p>
    <w:p>
      <w:pPr>
        <w:ind w:left="1020" w:right="14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A meeting of the Company shall notwithstanding that it is called by shorter notice than that specified in the last preceding Article be deemed to have been duly called if it is so agreed:</w:t>
      </w:r>
    </w:p>
    <w:p>
      <w:pPr>
        <w:spacing w:after="0" w:line="174" w:lineRule="exact"/>
        <w:rPr>
          <w:sz w:val="20"/>
          <w:szCs w:val="20"/>
          <w:color w:val="auto"/>
        </w:rPr>
      </w:pPr>
    </w:p>
    <w:p>
      <w:pPr>
        <w:ind w:left="1400" w:hanging="385"/>
        <w:spacing w:after="0"/>
        <w:tabs>
          <w:tab w:leader="none" w:pos="14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in the case of a General Meeting called as the annual General Meeting, by all the Members entitled to attend and vote thereat; and</w:t>
      </w:r>
    </w:p>
    <w:p>
      <w:pPr>
        <w:spacing w:after="0" w:line="236" w:lineRule="exact"/>
        <w:rPr>
          <w:rFonts w:ascii="Arial" w:cs="Arial" w:eastAsia="Arial" w:hAnsi="Arial"/>
          <w:sz w:val="17"/>
          <w:szCs w:val="17"/>
          <w:color w:val="auto"/>
        </w:rPr>
      </w:pPr>
    </w:p>
    <w:p>
      <w:pPr>
        <w:ind w:left="1420" w:hanging="405"/>
        <w:spacing w:after="0"/>
        <w:tabs>
          <w:tab w:leader="none" w:pos="14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the case of any other General Meeting, by a majority in number of the</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80" w:right="140"/>
        <w:spacing w:after="0" w:line="308" w:lineRule="auto"/>
        <w:rPr>
          <w:sz w:val="20"/>
          <w:szCs w:val="20"/>
          <w:color w:val="auto"/>
        </w:rPr>
      </w:pPr>
      <w:r>
        <w:rPr>
          <w:rFonts w:ascii="Arial" w:cs="Arial" w:eastAsia="Arial" w:hAnsi="Arial"/>
          <w:sz w:val="17"/>
          <w:szCs w:val="17"/>
          <w:color w:val="auto"/>
        </w:rPr>
        <w:t>Members having a right to attend and vote at the General Meeting being a majority together holding not less than 95% in nominal value of the shares giving a right to attend and vote at the General Meeting (excluding any shares held as treasury shares).</w:t>
      </w:r>
    </w:p>
    <w:p>
      <w:pPr>
        <w:spacing w:after="0" w:line="143" w:lineRule="exact"/>
        <w:rPr>
          <w:sz w:val="20"/>
          <w:szCs w:val="20"/>
          <w:color w:val="auto"/>
        </w:rPr>
      </w:pPr>
    </w:p>
    <w:p>
      <w:pPr>
        <w:ind w:left="1020" w:hanging="647"/>
        <w:spacing w:after="0" w:line="289" w:lineRule="auto"/>
        <w:tabs>
          <w:tab w:leader="none" w:pos="100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It shall be the duty of the Company, subject to the provisions of the Statutes, on the requisition in writing of such number of Members as is specified in (a) Section 314 of the 2006 Act to circulate to Members entitled to have notice of any General Meeting sent to them any statement of not more than 1000 words with respect to the matter referred to in any proposed resolution or the business to be dealt with at that meeting,</w:t>
      </w:r>
    </w:p>
    <w:p>
      <w:pPr>
        <w:spacing w:after="0" w:line="2" w:lineRule="exact"/>
        <w:rPr>
          <w:sz w:val="20"/>
          <w:szCs w:val="20"/>
          <w:color w:val="auto"/>
        </w:rPr>
      </w:pPr>
    </w:p>
    <w:p>
      <w:pPr>
        <w:ind w:left="1020" w:right="240" w:firstLine="9"/>
        <w:spacing w:after="0" w:line="255" w:lineRule="auto"/>
        <w:tabs>
          <w:tab w:leader="none" w:pos="127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338 of the 2006 Act, to circulate to Members entitled to receive notice of the next Annual General Meeting notice of any resolution which may properly be moved and is intended to be moved at that meeting. The expenses of complying with this Article shall be borne in accordance with the 2006 Act.</w:t>
      </w:r>
    </w:p>
    <w:p>
      <w:pPr>
        <w:spacing w:after="0" w:line="186" w:lineRule="exact"/>
        <w:rPr>
          <w:sz w:val="20"/>
          <w:szCs w:val="20"/>
          <w:color w:val="auto"/>
        </w:rPr>
      </w:pPr>
    </w:p>
    <w:p>
      <w:pPr>
        <w:ind w:left="1020" w:right="26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8"/>
          <w:szCs w:val="18"/>
          <w:color w:val="auto"/>
        </w:rPr>
        <w:t>The accidental omission to give notice of any meeting to or (where forms of proxy are sent with the notices) to send a form of proxy with a notice to any person entitled to receive the same, or the non-receipt of notice of any meeting or form of proxy by such person shall not invalidate any resolution or proceeding at that meeting.</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PROCEEDINGS AT GENERAL MEETINGS</w:t>
      </w:r>
    </w:p>
    <w:p>
      <w:pPr>
        <w:spacing w:after="0" w:line="225" w:lineRule="exact"/>
        <w:rPr>
          <w:sz w:val="20"/>
          <w:szCs w:val="20"/>
          <w:color w:val="auto"/>
        </w:rPr>
      </w:pPr>
    </w:p>
    <w:p>
      <w:pPr>
        <w:ind w:left="1020" w:hanging="647"/>
        <w:spacing w:after="0" w:line="279" w:lineRule="auto"/>
        <w:tabs>
          <w:tab w:leader="none" w:pos="100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color w:val="auto"/>
        </w:rPr>
        <w:t>All business that is transacted at a General Meeting shall be deemed special and all business that is transacted at an annual General Meeting shall also be deemed special, with the exception of declaring a dividend, the consideration and adoption of the accounts and balance sheet, and the reports of the Directors and the auditors and any other documents accompanying or annexed to the accounts, the appointment of Directors and the auditors and the fixing of the remuneration of the Directors and the Auditors.</w:t>
      </w:r>
    </w:p>
    <w:p>
      <w:pPr>
        <w:spacing w:after="0" w:line="171" w:lineRule="exact"/>
        <w:rPr>
          <w:sz w:val="20"/>
          <w:szCs w:val="20"/>
          <w:color w:val="auto"/>
        </w:rPr>
      </w:pPr>
    </w:p>
    <w:p>
      <w:pPr>
        <w:ind w:left="1020" w:right="38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No business shall be transacted at any General Meeting unless a quorum is present when the meeting proceeds to business. Two persons entitled to vote upon the business to be transacted, each being a Member or a proxy for a Member or a duly authorised representative of a corporation which is a Member, shall be a quorum.</w:t>
      </w:r>
    </w:p>
    <w:p>
      <w:pPr>
        <w:spacing w:after="0" w:line="181" w:lineRule="exact"/>
        <w:rPr>
          <w:sz w:val="20"/>
          <w:szCs w:val="20"/>
          <w:color w:val="auto"/>
        </w:rPr>
      </w:pPr>
    </w:p>
    <w:p>
      <w:pPr>
        <w:ind w:left="1020" w:right="40" w:hanging="647"/>
        <w:spacing w:after="0" w:line="276" w:lineRule="auto"/>
        <w:tabs>
          <w:tab w:leader="none" w:pos="100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color w:val="auto"/>
        </w:rPr>
        <w:t>The Chairman of the Board shall preside at every General Meeting, but if there be no such Chairman, or he shall be unwilling or unable to preside or if at any meeting he shall not be present within 15 minutes after the time appointed for holding the same the Deputy-Chairman of the Board shall preside, or if there be no such Deputy-Chairman, or he shall be unwilling to act, or if he be not present within such period the Directors present shall choose some Director, or if no Director be present, or if all the Directors present decline to take the chair, the Members present in person or by proxy shall choose one of themselves to be Chairman of the meeting.</w:t>
      </w:r>
    </w:p>
    <w:p>
      <w:pPr>
        <w:spacing w:after="0" w:line="173" w:lineRule="exact"/>
        <w:rPr>
          <w:sz w:val="20"/>
          <w:szCs w:val="20"/>
          <w:color w:val="auto"/>
        </w:rPr>
      </w:pPr>
    </w:p>
    <w:p>
      <w:pPr>
        <w:jc w:val="both"/>
        <w:ind w:left="1020" w:right="22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color w:val="auto"/>
        </w:rPr>
        <w:t>If within 15 minutes from the time appointed for the holding of a General Meeting a quorum is not present, the meeting, if convened on the requisition of Members, shall be dissolved. In any other case it shall stand adjourned to such time and place as the Chairman of the meeting may decide.</w:t>
      </w:r>
    </w:p>
    <w:p>
      <w:pPr>
        <w:spacing w:after="0" w:line="181" w:lineRule="exact"/>
        <w:rPr>
          <w:sz w:val="20"/>
          <w:szCs w:val="20"/>
          <w:color w:val="auto"/>
        </w:rPr>
      </w:pPr>
    </w:p>
    <w:p>
      <w:pPr>
        <w:ind w:left="1020" w:right="20" w:hanging="647"/>
        <w:spacing w:after="0" w:line="279" w:lineRule="auto"/>
        <w:tabs>
          <w:tab w:leader="none" w:pos="100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color w:val="auto"/>
        </w:rPr>
        <w:t>The Chairman may, with the consent of the meeting (and shall, if so directed by the meeting), adjourn any meeting from time to time and from place to place. Whenever a meeting is adjourned for 30 days or more, 7 clear days’ notice at the least, specifying the place, the day and the time of the adjourned meeting shall be given as in the case of an original meeting. Save as aforesaid, no Member shall be entitled to any notice of an adjournment or of the business to be transacted at an adjourned meeting. No business shall be</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right="300"/>
        <w:spacing w:after="0" w:line="277" w:lineRule="auto"/>
        <w:rPr>
          <w:sz w:val="20"/>
          <w:szCs w:val="20"/>
          <w:color w:val="auto"/>
        </w:rPr>
      </w:pPr>
      <w:r>
        <w:rPr>
          <w:rFonts w:ascii="Arial" w:cs="Arial" w:eastAsia="Arial" w:hAnsi="Arial"/>
          <w:sz w:val="18"/>
          <w:szCs w:val="18"/>
          <w:color w:val="auto"/>
        </w:rPr>
        <w:t>transacted at any adjourned meeting other than the business which might have been transacted at the meeting from which the adjournment took place.</w:t>
      </w:r>
    </w:p>
    <w:p>
      <w:pPr>
        <w:spacing w:after="0" w:line="166" w:lineRule="exact"/>
        <w:rPr>
          <w:sz w:val="20"/>
          <w:szCs w:val="20"/>
          <w:color w:val="auto"/>
        </w:rPr>
      </w:pPr>
    </w:p>
    <w:p>
      <w:pPr>
        <w:jc w:val="both"/>
        <w:ind w:left="1020" w:right="22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8"/>
          <w:szCs w:val="18"/>
          <w:color w:val="auto"/>
        </w:rPr>
        <w:t>The Directors may resolve to enable persons entitled to attend a General Meeting to do so by simultaneous attendance and participation at a satellite meeting place anywhere in the world and the Members present in person or by proxy at satellite meeting places shall be counted in the quorum for and entitled to vote at the General Meeting in question, and that meeting shall be duly constituted and its proceedings valid provided that the Chairman of the meeting is satisfied that adequate facilities are available throughout the meeting to ensure that Members attending at all the meeting places are able to:</w:t>
      </w:r>
    </w:p>
    <w:p>
      <w:pPr>
        <w:spacing w:after="0" w:line="192" w:lineRule="exact"/>
        <w:rPr>
          <w:sz w:val="20"/>
          <w:szCs w:val="20"/>
          <w:color w:val="auto"/>
        </w:rPr>
      </w:pPr>
    </w:p>
    <w:p>
      <w:pPr>
        <w:ind w:left="1400" w:hanging="385"/>
        <w:spacing w:after="0"/>
        <w:tabs>
          <w:tab w:leader="none" w:pos="14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participate in the business for which the General Meeting has been convened;</w:t>
      </w:r>
    </w:p>
    <w:p>
      <w:pPr>
        <w:sectPr>
          <w:pgSz w:w="11900" w:h="16838" w:orient="portrait"/>
          <w:cols w:equalWidth="0" w:num="1">
            <w:col w:w="11300"/>
          </w:cols>
          <w:pgMar w:left="360" w:top="337" w:right="239" w:bottom="59" w:gutter="0" w:footer="0" w:header="0"/>
        </w:sectPr>
      </w:pPr>
    </w:p>
    <w:bookmarkStart w:id="251" w:name="page252"/>
    <w:bookmarkEnd w:id="251"/>
    <w:p>
      <w:pPr>
        <w:ind w:left="1020" w:right="480" w:hanging="385"/>
        <w:spacing w:after="0" w:line="277" w:lineRule="auto"/>
        <w:tabs>
          <w:tab w:leader="none" w:pos="103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hear and see all persons who speak (whether by the use of microphones, loudspeakers, audio-visual communications equipment or otherwise) in the principal meeting place and any satellite meeting place; and</w:t>
      </w:r>
    </w:p>
    <w:p>
      <w:pPr>
        <w:spacing w:after="0" w:line="170" w:lineRule="exact"/>
        <w:rPr>
          <w:rFonts w:ascii="Arial" w:cs="Arial" w:eastAsia="Arial" w:hAnsi="Arial"/>
          <w:sz w:val="18"/>
          <w:szCs w:val="18"/>
          <w:color w:val="auto"/>
        </w:rPr>
      </w:pPr>
    </w:p>
    <w:p>
      <w:pPr>
        <w:ind w:left="1040" w:hanging="405"/>
        <w:spacing w:after="0"/>
        <w:tabs>
          <w:tab w:leader="none" w:pos="1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be heard and seen by all other persons so present in the same way.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Chairman of the General Meeting shall be present at, and the meeting shall be deemed to take place at, the principal meeting place.</w:t>
      </w:r>
    </w:p>
    <w:p>
      <w:pPr>
        <w:spacing w:after="0" w:line="244" w:lineRule="exact"/>
        <w:rPr>
          <w:sz w:val="20"/>
          <w:szCs w:val="20"/>
          <w:color w:val="auto"/>
        </w:rPr>
      </w:pPr>
    </w:p>
    <w:p>
      <w:pPr>
        <w:ind w:left="640" w:right="20" w:hanging="647"/>
        <w:spacing w:after="0" w:line="291" w:lineRule="auto"/>
        <w:tabs>
          <w:tab w:leader="none" w:pos="6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color w:val="auto"/>
        </w:rPr>
        <w:t>The Board may direct that any person wishing to attend a General Meeting should provide evidence of identity and submit to such searches or other security arrangements or restrictions as the Board shall consider appropriate in the circumstances and shall be entitled in its absolute discretion to refuse entry to any meeting to any person who fails to provide such evidence of identity or to submit to such searches or to otherwise comply with such security arrangements or restrictions. The Chairman shall take such action or give direction as he thinks fit to promote the orderly conduct of the business of the meeting as laid down in the notice of General Meeting and to ensure the security of the meeting and the safety of people attending the meeting. The Chairman’s decision on matters of procedure or arising incidentally from the business of the meeting shall be final as shall be his determination as to whether any matter is of such a nature.</w:t>
      </w:r>
    </w:p>
    <w:p>
      <w:pPr>
        <w:spacing w:after="0" w:line="167" w:lineRule="exact"/>
        <w:rPr>
          <w:sz w:val="20"/>
          <w:szCs w:val="20"/>
          <w:color w:val="auto"/>
        </w:rPr>
      </w:pPr>
    </w:p>
    <w:p>
      <w:pPr>
        <w:ind w:left="640" w:right="140" w:hanging="647"/>
        <w:spacing w:after="0" w:line="279" w:lineRule="auto"/>
        <w:tabs>
          <w:tab w:leader="none" w:pos="6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color w:val="auto"/>
        </w:rPr>
        <w:t>If it appears to the Chairman of the General Meeting that the facilities at the principal meeting place or any satellite meeting place have become inadequate for the purposes referred to in this Article 17 or the unruly conduct of persons attending the meeting prevents or is likely to prevent the orderly continuation of the business of the meeting, then the Chairman may, without the consent of the meeting, interrupt or adjourn the meeting. All business conducted at that General Meeting up to the time of such adjournment shall be valid.</w:t>
      </w:r>
    </w:p>
    <w:p>
      <w:pPr>
        <w:spacing w:after="0" w:line="171"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8"/>
          <w:szCs w:val="18"/>
          <w:color w:val="auto"/>
        </w:rPr>
        <w:t>The Directors may make arrangements for persons entitled to attend a General Meeting to be able to view or hear the proceedings of any meeting or to speak at the meeting (whether by the use of microphones, loudspeakers, audio-visual communications equipment or otherwise), by attending a venue anywhere in the world not being a satellite meeting place and those attending any such venue shall not be regarded as present and shall not be entitled to vote at the meeting at or from that venue and the inability for any reason of any Member present in person or by proxy at such a venue to view or hear all or any of the proceedings of the meeting or to speak at the meeting shall not in any way affect the validity of such proceedings.</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17.10</w:t>
      </w:r>
      <w:r>
        <w:rPr>
          <w:sz w:val="20"/>
          <w:szCs w:val="20"/>
          <w:color w:val="auto"/>
        </w:rPr>
        <w:tab/>
      </w:r>
      <w:r>
        <w:rPr>
          <w:rFonts w:ascii="Arial" w:cs="Arial" w:eastAsia="Arial" w:hAnsi="Arial"/>
          <w:sz w:val="16"/>
          <w:szCs w:val="16"/>
          <w:color w:val="auto"/>
        </w:rPr>
        <w:t>For the purposes of this Article 17, the right for a Member to participate in</w:t>
      </w:r>
    </w:p>
    <w:p>
      <w:pPr>
        <w:spacing w:after="0" w:line="2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100"/>
        <w:spacing w:after="0" w:line="264" w:lineRule="auto"/>
        <w:rPr>
          <w:sz w:val="20"/>
          <w:szCs w:val="20"/>
          <w:color w:val="auto"/>
        </w:rPr>
      </w:pPr>
      <w:r>
        <w:rPr>
          <w:rFonts w:ascii="Arial" w:cs="Arial" w:eastAsia="Arial" w:hAnsi="Arial"/>
          <w:sz w:val="18"/>
          <w:szCs w:val="18"/>
          <w:color w:val="auto"/>
        </w:rPr>
        <w:t>the business of any General Meeting shall include, without limitation, the right to: speak; vote on any show of hands; demand a poll; vote on any poll; be represented by proxy; and have access to all documents which are required by the Statutes and these Articles to be made available at the meeting.</w:t>
      </w:r>
    </w:p>
    <w:p>
      <w:pPr>
        <w:spacing w:after="0" w:line="177" w:lineRule="exact"/>
        <w:rPr>
          <w:sz w:val="20"/>
          <w:szCs w:val="20"/>
          <w:color w:val="auto"/>
        </w:rPr>
      </w:pPr>
    </w:p>
    <w:p>
      <w:pPr>
        <w:ind w:left="620" w:hanging="647"/>
        <w:spacing w:after="0" w:line="270" w:lineRule="auto"/>
        <w:tabs>
          <w:tab w:leader="none" w:pos="60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7"/>
          <w:szCs w:val="17"/>
          <w:color w:val="auto"/>
        </w:rPr>
        <w:t>If an amendment proposed to a resolution shall be allowed or ruled out of order by the Chairman of the General Meeting in good faith, any error in ruling shall not invalidate the proceedings on the substantive resolution. With the consent of the Chairman of the meeting, an amendment may be withdrawn by its proposer before it is voted upon. An amendment (except an amendment to correct a patent clerical error) to a special resolution shall not be allowed and an amendment (except an amendment to correct a patent clerical error) to an ordinary resolution, the text of which is set out in the notice of the General Meeting at which it is to be proposed, shall only be allowed if, at least 48 hours (excluding any part of a day which is not a working day) before the time of the meeting (or adjourned meeting) at which such resolution is to be proposed, the proposer of the amendment gives written notice at the Office of the terms of the amendment and of his intention to propose the same at the meeting unless the Chairman of the meeting, at his own discretion, rules that the proposed amendment shall be considered without such notice having been given.</w:t>
      </w:r>
    </w:p>
    <w:p>
      <w:pPr>
        <w:spacing w:after="0" w:line="182"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8"/>
          <w:szCs w:val="18"/>
          <w:color w:val="auto"/>
        </w:rPr>
        <w:t>At any General Meeting a resolution put to the vote of the meeting shall be decided on a show of hands unless before or upon the declaration of the result of the show of hands a poll be demanded:</w:t>
      </w:r>
    </w:p>
    <w:p>
      <w:pPr>
        <w:spacing w:after="0" w:line="174" w:lineRule="exact"/>
        <w:rPr>
          <w:sz w:val="20"/>
          <w:szCs w:val="20"/>
          <w:color w:val="auto"/>
        </w:rPr>
      </w:pPr>
    </w:p>
    <w:p>
      <w:pPr>
        <w:ind w:left="1020" w:hanging="385"/>
        <w:spacing w:after="0"/>
        <w:tabs>
          <w:tab w:leader="none" w:pos="10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the Chairman; or</w:t>
      </w:r>
    </w:p>
    <w:p>
      <w:pPr>
        <w:spacing w:after="0" w:line="225" w:lineRule="exact"/>
        <w:rPr>
          <w:rFonts w:ascii="Arial" w:cs="Arial" w:eastAsia="Arial" w:hAnsi="Arial"/>
          <w:sz w:val="18"/>
          <w:szCs w:val="18"/>
          <w:color w:val="auto"/>
        </w:rPr>
      </w:pPr>
    </w:p>
    <w:p>
      <w:pPr>
        <w:ind w:left="1040" w:hanging="405"/>
        <w:spacing w:after="0"/>
        <w:tabs>
          <w:tab w:leader="none" w:pos="10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not less than 5 Members present in person or by proxy and entitled to vote at the General Meeting; or</w:t>
      </w:r>
    </w:p>
    <w:p>
      <w:pPr>
        <w:spacing w:after="0" w:line="225" w:lineRule="exact"/>
        <w:rPr>
          <w:rFonts w:ascii="Arial" w:cs="Arial" w:eastAsia="Arial" w:hAnsi="Arial"/>
          <w:sz w:val="18"/>
          <w:szCs w:val="18"/>
          <w:color w:val="auto"/>
        </w:rPr>
      </w:pPr>
    </w:p>
    <w:p>
      <w:pPr>
        <w:ind w:left="1020" w:right="620" w:hanging="385"/>
        <w:spacing w:after="0" w:line="277" w:lineRule="auto"/>
        <w:tabs>
          <w:tab w:leader="none" w:pos="103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any Member or Members present in person or by proxy and representing not less than 10% of the total voting rights of all the Members having the right to vote on the Resolution (excluding any shares held in treasury); or</w:t>
      </w:r>
    </w:p>
    <w:p>
      <w:pPr>
        <w:spacing w:after="0" w:line="170" w:lineRule="exact"/>
        <w:rPr>
          <w:rFonts w:ascii="Arial" w:cs="Arial" w:eastAsia="Arial" w:hAnsi="Arial"/>
          <w:sz w:val="18"/>
          <w:szCs w:val="18"/>
          <w:color w:val="auto"/>
        </w:rPr>
      </w:pPr>
    </w:p>
    <w:p>
      <w:pPr>
        <w:ind w:left="1020" w:hanging="385"/>
        <w:spacing w:after="0" w:line="264" w:lineRule="auto"/>
        <w:tabs>
          <w:tab w:leader="none" w:pos="103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a Member or Members present in person or by proxy holding shares in the Company conferring a right to vote on the resolution being shares on which an aggregate sum has been paid up equal to not less than 10% of the total sum paid up on all the shares conferring that right (excluding shares held in treasury).</w:t>
      </w:r>
    </w:p>
    <w:p>
      <w:pPr>
        <w:spacing w:after="0" w:line="181" w:lineRule="exact"/>
        <w:rPr>
          <w:sz w:val="20"/>
          <w:szCs w:val="20"/>
          <w:color w:val="auto"/>
        </w:rPr>
      </w:pPr>
    </w:p>
    <w:p>
      <w:pPr>
        <w:jc w:val="both"/>
        <w:ind w:left="640" w:right="20"/>
        <w:spacing w:after="0" w:line="286" w:lineRule="auto"/>
        <w:rPr>
          <w:sz w:val="20"/>
          <w:szCs w:val="20"/>
          <w:color w:val="auto"/>
        </w:rPr>
      </w:pPr>
      <w:r>
        <w:rPr>
          <w:rFonts w:ascii="Arial" w:cs="Arial" w:eastAsia="Arial" w:hAnsi="Arial"/>
          <w:sz w:val="17"/>
          <w:szCs w:val="17"/>
          <w:color w:val="auto"/>
        </w:rPr>
        <w:t>Unless a poll be so demanded a declaration by the Chairman of the General Meeting that a resolution has on a show of hands been carried, or carried unanimously or by a particular majority, or lost or not carried by a particular majority shall be conclusive, and an entry to that effect in the minute book of the Company shall be conclusive of the votes recorded in favour of or against such resolution.</w:t>
      </w:r>
    </w:p>
    <w:p>
      <w:pPr>
        <w:spacing w:after="0" w:line="162" w:lineRule="exact"/>
        <w:rPr>
          <w:sz w:val="20"/>
          <w:szCs w:val="20"/>
          <w:color w:val="auto"/>
        </w:rPr>
      </w:pPr>
    </w:p>
    <w:p>
      <w:pPr>
        <w:ind w:left="640" w:right="80" w:hanging="647"/>
        <w:spacing w:after="0" w:line="297" w:lineRule="auto"/>
        <w:tabs>
          <w:tab w:leader="none" w:pos="620" w:val="left"/>
        </w:tabs>
        <w:rPr>
          <w:sz w:val="20"/>
          <w:szCs w:val="20"/>
          <w:color w:val="auto"/>
        </w:rPr>
      </w:pPr>
      <w:r>
        <w:rPr>
          <w:rFonts w:ascii="Arial" w:cs="Arial" w:eastAsia="Arial" w:hAnsi="Arial"/>
          <w:sz w:val="18"/>
          <w:szCs w:val="18"/>
          <w:b w:val="1"/>
          <w:bCs w:val="1"/>
          <w:color w:val="auto"/>
        </w:rPr>
        <w:t>17.13</w:t>
      </w:r>
      <w:r>
        <w:rPr>
          <w:sz w:val="20"/>
          <w:szCs w:val="20"/>
          <w:color w:val="auto"/>
        </w:rPr>
        <w:tab/>
      </w:r>
      <w:r>
        <w:rPr>
          <w:rFonts w:ascii="Arial" w:cs="Arial" w:eastAsia="Arial" w:hAnsi="Arial"/>
          <w:sz w:val="16"/>
          <w:szCs w:val="16"/>
          <w:color w:val="auto"/>
        </w:rPr>
        <w:t>A poll demanded on the election of a Chairman or on a question of adjournment shall be taken forthwith. A poll demanded on any other question shall be taken at such time (not being more than thirty days from the date of the General Meeting or the adjourned meeting at which such poll was demanded) and place and in such manner as the Chairman shall direct and the result of the poll shall be deemed to be the resolution of the meeting at which the poll was demanded. The Chairman may appoint scrutineers (who need not be Members) and fix a time and place for declaring the result of the poll. No notice need be given of a poll not taken immediately if the time and</w:t>
      </w:r>
    </w:p>
    <w:p>
      <w:pPr>
        <w:spacing w:after="0" w:line="16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125" w:right="259" w:bottom="532" w:gutter="0" w:footer="0" w:header="0"/>
        </w:sectPr>
      </w:pPr>
    </w:p>
    <w:bookmarkStart w:id="252" w:name="page253"/>
    <w:bookmarkEnd w:id="252"/>
    <w:p>
      <w:pPr>
        <w:spacing w:after="0" w:line="66" w:lineRule="exact"/>
        <w:rPr>
          <w:sz w:val="20"/>
          <w:szCs w:val="20"/>
          <w:color w:val="auto"/>
        </w:rPr>
      </w:pPr>
    </w:p>
    <w:p>
      <w:pPr>
        <w:ind w:left="1060"/>
        <w:spacing w:after="0" w:line="259" w:lineRule="auto"/>
        <w:rPr>
          <w:sz w:val="20"/>
          <w:szCs w:val="20"/>
          <w:color w:val="auto"/>
        </w:rPr>
      </w:pPr>
      <w:r>
        <w:rPr>
          <w:rFonts w:ascii="Arial" w:cs="Arial" w:eastAsia="Arial" w:hAnsi="Arial"/>
          <w:sz w:val="18"/>
          <w:szCs w:val="18"/>
          <w:color w:val="auto"/>
        </w:rPr>
        <w:t>place at which it is to be taken are announced at the meeting at which it was demanded. The demand for a poll may be withdrawn only with the consent of the Chairman at any time before the taking of the poll or the close of the meeting, if earlier, and if a demand for a poll is withdrawn the result of a show of hands declared before the demand was made shall remain valid and effective and the meeting shall continue as if the demand had not been made.</w:t>
      </w:r>
    </w:p>
    <w:p>
      <w:pPr>
        <w:spacing w:after="0" w:line="18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b w:val="1"/>
          <w:bCs w:val="1"/>
          <w:color w:val="auto"/>
        </w:rPr>
        <w:t>17.14</w:t>
      </w:r>
      <w:r>
        <w:rPr>
          <w:sz w:val="20"/>
          <w:szCs w:val="20"/>
          <w:color w:val="auto"/>
        </w:rPr>
        <w:tab/>
      </w:r>
      <w:r>
        <w:rPr>
          <w:rFonts w:ascii="Arial" w:cs="Arial" w:eastAsia="Arial" w:hAnsi="Arial"/>
          <w:sz w:val="18"/>
          <w:szCs w:val="18"/>
          <w:color w:val="auto"/>
        </w:rPr>
        <w:t>If:</w:t>
      </w:r>
    </w:p>
    <w:p>
      <w:pPr>
        <w:spacing w:after="0" w:line="229" w:lineRule="exact"/>
        <w:rPr>
          <w:sz w:val="20"/>
          <w:szCs w:val="20"/>
          <w:color w:val="auto"/>
        </w:rPr>
      </w:pPr>
    </w:p>
    <w:p>
      <w:pPr>
        <w:ind w:left="1400" w:hanging="385"/>
        <w:spacing w:after="0"/>
        <w:tabs>
          <w:tab w:leader="none" w:pos="14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objection is raised to the qualification of any voter; or</w:t>
      </w:r>
    </w:p>
    <w:p>
      <w:pPr>
        <w:spacing w:after="0" w:line="225" w:lineRule="exact"/>
        <w:rPr>
          <w:rFonts w:ascii="Arial" w:cs="Arial" w:eastAsia="Arial" w:hAnsi="Arial"/>
          <w:sz w:val="18"/>
          <w:szCs w:val="18"/>
          <w:color w:val="auto"/>
        </w:rPr>
      </w:pPr>
    </w:p>
    <w:p>
      <w:pPr>
        <w:ind w:left="1420" w:hanging="405"/>
        <w:spacing w:after="0"/>
        <w:tabs>
          <w:tab w:leader="none" w:pos="1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225" w:lineRule="exact"/>
        <w:rPr>
          <w:rFonts w:ascii="Arial" w:cs="Arial" w:eastAsia="Arial" w:hAnsi="Arial"/>
          <w:sz w:val="18"/>
          <w:szCs w:val="18"/>
          <w:color w:val="auto"/>
        </w:rPr>
      </w:pPr>
    </w:p>
    <w:p>
      <w:pPr>
        <w:ind w:left="1420" w:hanging="405"/>
        <w:spacing w:after="0"/>
        <w:tabs>
          <w:tab w:leader="none" w:pos="1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225" w:lineRule="exact"/>
        <w:rPr>
          <w:sz w:val="20"/>
          <w:szCs w:val="20"/>
          <w:color w:val="auto"/>
        </w:rPr>
      </w:pPr>
    </w:p>
    <w:p>
      <w:pPr>
        <w:ind w:left="1020" w:right="200"/>
        <w:spacing w:after="0" w:line="257" w:lineRule="auto"/>
        <w:rPr>
          <w:sz w:val="20"/>
          <w:szCs w:val="20"/>
          <w:color w:val="auto"/>
        </w:rPr>
      </w:pPr>
      <w:r>
        <w:rPr>
          <w:rFonts w:ascii="Arial" w:cs="Arial" w:eastAsia="Arial" w:hAnsi="Arial"/>
          <w:sz w:val="18"/>
          <w:szCs w:val="18"/>
          <w:color w:val="auto"/>
        </w:rPr>
        <w:t>the objection or error shall not vitiate the decision of the General Meeting on any resolution unless the same is raised or pointed out at the meeting or adjourned meeting at which the vote objected to is given or tendered or at which the error occurs. Any objection or error shall be referred to the Chairman of the meeting and shall only vitiate the decision of the meeting on any resolution if the Chairman decides that the same is of sufficient magnitude to vitiate the resolution or may otherwise have affected the decision of the meeting. The decision of the Chairman on such matters shall be final and conclusive.</w:t>
      </w:r>
    </w:p>
    <w:p>
      <w:pPr>
        <w:spacing w:after="0" w:line="184" w:lineRule="exact"/>
        <w:rPr>
          <w:sz w:val="20"/>
          <w:szCs w:val="20"/>
          <w:color w:val="auto"/>
        </w:rPr>
      </w:pPr>
    </w:p>
    <w:p>
      <w:pPr>
        <w:ind w:left="1020" w:right="26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17.15</w:t>
      </w:r>
      <w:r>
        <w:rPr>
          <w:sz w:val="20"/>
          <w:szCs w:val="20"/>
          <w:color w:val="auto"/>
        </w:rPr>
        <w:tab/>
      </w:r>
      <w:r>
        <w:rPr>
          <w:rFonts w:ascii="Arial" w:cs="Arial" w:eastAsia="Arial" w:hAnsi="Arial"/>
          <w:sz w:val="18"/>
          <w:szCs w:val="18"/>
          <w:color w:val="auto"/>
        </w:rPr>
        <w:t>The demand for a poll shall not prevent the continuance of a General Meeting for the transaction of any business other than the question on which a poll has been demanded.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VOTES OF MEMBERS</w:t>
      </w:r>
    </w:p>
    <w:p>
      <w:pPr>
        <w:spacing w:after="0" w:line="225" w:lineRule="exact"/>
        <w:rPr>
          <w:sz w:val="20"/>
          <w:szCs w:val="20"/>
          <w:color w:val="auto"/>
        </w:rPr>
      </w:pPr>
    </w:p>
    <w:p>
      <w:pPr>
        <w:ind w:left="1020" w:right="2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8"/>
          <w:szCs w:val="18"/>
          <w:color w:val="auto"/>
        </w:rPr>
        <w:t>Subject to any special terms as to voting upon which any shares may be issued, or may for the time being be held, and subject to the provisions of Articles 11 and 18.2, upon a show of hands, every Member who (being an individual) is present in person or (being a corporation) is present by a duly authorised representative and in each case is entitled to vote shall have one vote and every proxy present who has been duly appointed by a member shall have one vote and upon a poll every Member present in person or by proxy and entitled to vote shall have one vote for every Ordinary Share held by him.</w:t>
      </w:r>
    </w:p>
    <w:p>
      <w:pPr>
        <w:spacing w:after="0" w:line="188"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color w:val="auto"/>
        </w:rPr>
        <w:t>Upon a show of hands:</w:t>
      </w:r>
    </w:p>
    <w:p>
      <w:pPr>
        <w:spacing w:after="0" w:line="229" w:lineRule="exact"/>
        <w:rPr>
          <w:sz w:val="20"/>
          <w:szCs w:val="20"/>
          <w:color w:val="auto"/>
        </w:rPr>
      </w:pPr>
    </w:p>
    <w:p>
      <w:pPr>
        <w:jc w:val="both"/>
        <w:ind w:left="1400" w:right="140" w:hanging="385"/>
        <w:spacing w:after="0" w:line="264" w:lineRule="auto"/>
        <w:tabs>
          <w:tab w:leader="none" w:pos="140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every proxy present in person has one vote for and one vote against a resolution if the proxy has been duly appointed by more than one Member entitled to vote on the resolution and the proxy has been instructed by one or more of those Members to vote for the resolution and by one or more other of those Members to vote against it;</w:t>
      </w:r>
    </w:p>
    <w:p>
      <w:pPr>
        <w:spacing w:after="0" w:line="181" w:lineRule="exact"/>
        <w:rPr>
          <w:rFonts w:ascii="Arial" w:cs="Arial" w:eastAsia="Arial" w:hAnsi="Arial"/>
          <w:sz w:val="18"/>
          <w:szCs w:val="18"/>
          <w:color w:val="auto"/>
        </w:rPr>
      </w:pPr>
    </w:p>
    <w:p>
      <w:pPr>
        <w:ind w:left="1400" w:right="160" w:hanging="385"/>
        <w:spacing w:after="0" w:line="277" w:lineRule="auto"/>
        <w:tabs>
          <w:tab w:leader="none" w:pos="141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every proxy present in person has one vote for and one vote against a resolution if the proxy has been duly appointed by more than one Member entitled to vote on the resolution and either:</w:t>
      </w:r>
    </w:p>
    <w:p>
      <w:pPr>
        <w:spacing w:after="0" w:line="170" w:lineRule="exact"/>
        <w:rPr>
          <w:sz w:val="20"/>
          <w:szCs w:val="20"/>
          <w:color w:val="auto"/>
        </w:rPr>
      </w:pPr>
    </w:p>
    <w:p>
      <w:pPr>
        <w:ind w:left="1920" w:right="260" w:hanging="392"/>
        <w:spacing w:after="0" w:line="277" w:lineRule="auto"/>
        <w:tabs>
          <w:tab w:leader="none" w:pos="19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proxy has been instructed by one or more of those Members to vote for the resolution and has been given any discretion by one or more other of those Members to vote and the proxy exercises that</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discretion to vote against it; or</w:t>
      </w:r>
    </w:p>
    <w:p>
      <w:pPr>
        <w:spacing w:after="0" w:line="225" w:lineRule="exact"/>
        <w:rPr>
          <w:sz w:val="20"/>
          <w:szCs w:val="20"/>
          <w:color w:val="auto"/>
        </w:rPr>
      </w:pPr>
    </w:p>
    <w:p>
      <w:pPr>
        <w:ind w:left="1920" w:right="160" w:hanging="392"/>
        <w:spacing w:after="0" w:line="277" w:lineRule="auto"/>
        <w:tabs>
          <w:tab w:leader="none" w:pos="19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proxy has been instructed by one or more of those Members to vote against the resolution and has been given any discretion by one or more other of those Members to vote and the proxy exercises that discretion to vote for it.</w:t>
      </w:r>
    </w:p>
    <w:p>
      <w:pPr>
        <w:spacing w:after="0" w:line="166" w:lineRule="exact"/>
        <w:rPr>
          <w:sz w:val="20"/>
          <w:szCs w:val="20"/>
          <w:color w:val="auto"/>
        </w:rPr>
      </w:pPr>
    </w:p>
    <w:p>
      <w:pPr>
        <w:ind w:left="1020" w:right="2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If any Member is of unsound mind or otherwise incapacitated he may vote by his curator bonis, committee, or other legal curator and such last mentioned persons may give their votes either personally or by proxy, provided that such evidence as the Board may reasonably require of the authority of the persons claiming to vote is deposited at the Office not less than 48 hours before the time for holding the General Meeting or adjourned meeting at which such person claims to vote.</w:t>
      </w:r>
    </w:p>
    <w:p>
      <w:pPr>
        <w:spacing w:after="0" w:line="187" w:lineRule="exact"/>
        <w:rPr>
          <w:sz w:val="20"/>
          <w:szCs w:val="20"/>
          <w:color w:val="auto"/>
        </w:rPr>
      </w:pPr>
    </w:p>
    <w:p>
      <w:pPr>
        <w:jc w:val="both"/>
        <w:ind w:left="1020" w:right="18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8"/>
          <w:szCs w:val="18"/>
          <w:color w:val="auto"/>
        </w:rPr>
        <w:t>If two or more persons are jointly entitled to a share, then, in voting upon any question, the vote of the senior who tenders a vote, whether in person or by proxy, shall be accepted to the exclusion of the votes of the other registered holders of the share, and for this purpose seniority shall be determined by the order in which the names stand in the Register.</w:t>
      </w:r>
    </w:p>
    <w:p>
      <w:pPr>
        <w:spacing w:after="0" w:line="181" w:lineRule="exact"/>
        <w:rPr>
          <w:sz w:val="20"/>
          <w:szCs w:val="20"/>
          <w:color w:val="auto"/>
        </w:rPr>
      </w:pPr>
    </w:p>
    <w:p>
      <w:pPr>
        <w:ind w:left="1020" w:right="6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8"/>
          <w:szCs w:val="18"/>
          <w:color w:val="auto"/>
        </w:rPr>
        <w:t>No Member shall be entitled to be present or to be counted in the quorum at any General Meeting unless he shall be the holder of one or more shares giving the right to attend thereat upon which all calls or other moneys due and payable in respect of the same shall have been paid and no Member shall be entitled to vote at any General Meeting or upon a poll either personally or by proxy in respect of any share upon which any call or other moneys due and payable have not been paid.</w:t>
      </w:r>
    </w:p>
    <w:p>
      <w:pPr>
        <w:spacing w:after="0" w:line="187" w:lineRule="exact"/>
        <w:rPr>
          <w:sz w:val="20"/>
          <w:szCs w:val="20"/>
          <w:color w:val="auto"/>
        </w:rPr>
      </w:pPr>
    </w:p>
    <w:p>
      <w:pPr>
        <w:ind w:left="1020" w:right="4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8"/>
          <w:szCs w:val="18"/>
          <w:color w:val="auto"/>
        </w:rPr>
        <w:t>Votes may be given either personally or by proxy or (in the case of a corporate member) by a duly authorised representative and on a poll, a person entitled to more than one vote need not, if he votes, use all his votes or cast all his votes he uses in the same way . A proxy need not be a Member of the Company and a Member may appoint one or more than one person to act as his proxy provided that each proxy is appointed to exercise the rights attached to a different share or shares held by the members.</w:t>
      </w:r>
    </w:p>
    <w:p>
      <w:pPr>
        <w:spacing w:after="0" w:line="187" w:lineRule="exact"/>
        <w:rPr>
          <w:sz w:val="20"/>
          <w:szCs w:val="20"/>
          <w:color w:val="auto"/>
        </w:rPr>
      </w:pPr>
    </w:p>
    <w:p>
      <w:pPr>
        <w:ind w:left="1020" w:right="34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8"/>
          <w:szCs w:val="18"/>
          <w:color w:val="auto"/>
        </w:rPr>
        <w:t>If a Member appoints more than one person to act as his proxy the appointment of each such proxy shall specify the shares held by the Member in respect of which each such proxy is to vote and no Member may appoint more than one proxy (save in the alternate) to vote in respect of any one share held by that Member.</w:t>
      </w:r>
    </w:p>
    <w:p>
      <w:pPr>
        <w:spacing w:after="0" w:line="181" w:lineRule="exact"/>
        <w:rPr>
          <w:sz w:val="20"/>
          <w:szCs w:val="20"/>
          <w:color w:val="auto"/>
        </w:rPr>
      </w:pPr>
    </w:p>
    <w:p>
      <w:pPr>
        <w:ind w:left="1020" w:right="240" w:hanging="647"/>
        <w:spacing w:after="0" w:line="342" w:lineRule="auto"/>
        <w:tabs>
          <w:tab w:leader="none" w:pos="100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color w:val="auto"/>
        </w:rPr>
        <w:t>The appointment of a proxy shall be in writing, executed by the appointor, or on his behalf by his attorney duly authorised in writing, or if such appointor is a corporation under its common seal or executed on its behalf by an officer or attorney duly authorised in that behalf. The</w:t>
      </w:r>
    </w:p>
    <w:p>
      <w:pPr>
        <w:sectPr>
          <w:pgSz w:w="11900" w:h="16904" w:orient="portrait"/>
          <w:cols w:equalWidth="0" w:num="1">
            <w:col w:w="11300"/>
          </w:cols>
          <w:pgMar w:left="360" w:top="125" w:right="239" w:bottom="0" w:gutter="0" w:footer="0" w:header="0"/>
        </w:sectPr>
      </w:pPr>
    </w:p>
    <w:bookmarkStart w:id="253" w:name="page254"/>
    <w:bookmarkEnd w:id="253"/>
    <w:p>
      <w:pPr>
        <w:ind w:left="640" w:right="280"/>
        <w:spacing w:after="0" w:line="277" w:lineRule="auto"/>
        <w:rPr>
          <w:sz w:val="20"/>
          <w:szCs w:val="20"/>
          <w:color w:val="auto"/>
        </w:rPr>
      </w:pPr>
      <w:r>
        <w:rPr>
          <w:rFonts w:ascii="Arial" w:cs="Arial" w:eastAsia="Arial" w:hAnsi="Arial"/>
          <w:sz w:val="18"/>
          <w:szCs w:val="18"/>
          <w:color w:val="auto"/>
        </w:rPr>
        <w:t>Directors may, but shall not be bound to, require evidence of authority of such officer or attorney. If the proxy shall be in electronic form it must be submitted by or on behalf of the appointer and authenticated.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w:t>
      </w:r>
    </w:p>
    <w:p>
      <w:pPr>
        <w:spacing w:after="0" w:line="229" w:lineRule="exact"/>
        <w:rPr>
          <w:sz w:val="20"/>
          <w:szCs w:val="20"/>
          <w:color w:val="auto"/>
        </w:rPr>
      </w:pPr>
    </w:p>
    <w:p>
      <w:pPr>
        <w:ind w:left="1020" w:right="360" w:hanging="385"/>
        <w:spacing w:after="0" w:line="259" w:lineRule="auto"/>
        <w:tabs>
          <w:tab w:leader="none" w:pos="102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Board may allow a proxy for a holder of any shares in uncertificated form to be appointed by electronic means or by means of a website in the form of an uncertificated proxy instruction. The Board may also allow any supplement to the uncertificated proxy instruction or any amendment or revocation of any uncertificated proxy instruction to be made by a further uncertificated proxy instruction.</w:t>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right="120" w:hanging="385"/>
        <w:spacing w:after="0" w:line="312" w:lineRule="auto"/>
        <w:tabs>
          <w:tab w:leader="none" w:pos="103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Board may decide what method should be used to determine at what time the instruction or notification is treated as being received by the Company. The Board may treat any notification purporting or expressed to be sent on behalf of a holder of a share in uncertificated form as sufficient evidence of the authority of the person sending the instruction to send it on behalf of that holder.</w:t>
      </w:r>
    </w:p>
    <w:p>
      <w:pPr>
        <w:spacing w:after="0" w:line="146" w:lineRule="exact"/>
        <w:rPr>
          <w:rFonts w:ascii="Arial" w:cs="Arial" w:eastAsia="Arial" w:hAnsi="Arial"/>
          <w:sz w:val="16"/>
          <w:szCs w:val="16"/>
          <w:color w:val="auto"/>
        </w:rPr>
      </w:pPr>
    </w:p>
    <w:p>
      <w:pPr>
        <w:ind w:left="1020" w:right="340" w:hanging="385"/>
        <w:spacing w:after="0" w:line="279" w:lineRule="auto"/>
        <w:tabs>
          <w:tab w:leader="none" w:pos="103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For the purposes of this Article 18.9, an uncertificated proxy instruction is a properly authenticated dematerialised instruction and/or other instruction or notification, sent through a relevant system to a participant in that system chosen by the Board to act for the Company. The uncertificated proxy instruction may be in any form and subject to any terms and conditions that the Board deems appropriate, but always subject to the facilities and requirements of the relevant system.</w:t>
      </w:r>
    </w:p>
    <w:p>
      <w:pPr>
        <w:spacing w:after="0" w:line="167" w:lineRule="exact"/>
        <w:rPr>
          <w:sz w:val="20"/>
          <w:szCs w:val="20"/>
          <w:color w:val="auto"/>
        </w:rPr>
      </w:pPr>
    </w:p>
    <w:p>
      <w:pPr>
        <w:ind w:left="640" w:right="80" w:hanging="647"/>
        <w:spacing w:after="0" w:line="270" w:lineRule="auto"/>
        <w:tabs>
          <w:tab w:leader="none" w:pos="62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7"/>
          <w:szCs w:val="17"/>
          <w:color w:val="auto"/>
        </w:rPr>
        <w:t>A vote given in accordance with the terms of an appointment of a proxy shall be valid notwithstanding the previous death or insanity of the principal or revocation of the proxy or transfer of the share in respect of which the proxy is given, unless previous intimation in writing of the death, insanity, revocation or transfer shall have been received at the Office (or at such other place or places or address as has or have been appointed for the deposit or receipt of appointments of proxy) in the case of a General Meeting or adjourned meeting, at least 48 hours (excluding any part of a day which is not a working day) before the commencement of the General Meeting or adjourned meeting, in the case of a poll taken more than 48 hours (excluding any part of a day which is not a working day) after it was demanded, at least 24 hours (excluding any part of a day which is not a working day) before the time appointed for the taking of the poll or, in the case of a poll not taken forthwith but taken not more than 48 hours (excluding any part of a day which is not a working day) after it was demanded, at the meeting at which the poll was demanded.</w:t>
      </w:r>
    </w:p>
    <w:p>
      <w:pPr>
        <w:spacing w:after="0" w:line="182" w:lineRule="exact"/>
        <w:rPr>
          <w:sz w:val="20"/>
          <w:szCs w:val="20"/>
          <w:color w:val="auto"/>
        </w:rPr>
      </w:pPr>
    </w:p>
    <w:p>
      <w:pPr>
        <w:ind w:left="620" w:right="120" w:hanging="647"/>
        <w:spacing w:after="0" w:line="302" w:lineRule="auto"/>
        <w:tabs>
          <w:tab w:leader="none" w:pos="60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6"/>
          <w:szCs w:val="16"/>
          <w:color w:val="auto"/>
        </w:rPr>
        <w:t>The appointment of a proxy shall be deemed to confer authority to demand or join in demanding a poll and to speak at any General Meeting and to vote on any resolution or amendment of a resolution put to the meeting for which it is given. The Company is entitled to assume without enquiry that a proxy has complied with any obligation to vote in accordance with instructions given by the Member by whom the proxy is appointed. The validity of anything done at the meeting is not affected by any failure by a proxy to comply with such an obligation.</w:t>
      </w:r>
    </w:p>
    <w:p>
      <w:pPr>
        <w:spacing w:after="0" w:line="154" w:lineRule="exact"/>
        <w:rPr>
          <w:sz w:val="20"/>
          <w:szCs w:val="20"/>
          <w:color w:val="auto"/>
        </w:rPr>
      </w:pPr>
    </w:p>
    <w:p>
      <w:pPr>
        <w:ind w:left="640" w:hanging="647"/>
        <w:spacing w:after="0" w:line="269" w:lineRule="auto"/>
        <w:tabs>
          <w:tab w:leader="none" w:pos="62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7"/>
          <w:szCs w:val="17"/>
          <w:color w:val="auto"/>
        </w:rPr>
        <w:t>The appointment of a proxy and the power of attorney or other authority, if any, under which it is signed, or a notarially certified copy thereof, shall be deposited or delivered at such place as may be specified for that purpose (or, in the case of an appointment contained in an electronic communication to the number or address which has been specified by the Company for the purpose of receiving electronic communications) in the notice convening the General Meeting or in the appointment of proxy or if no place is so specified at the Office at least 48 hours (excluding any part of a day which is not a working day) before the time appointed for holding the meeting or adjourned meeting at which the person named in such appointment proposes to vote or, in the case of a poll taken more than 48 hours (excluding any part of a day which is not a working day) after it is demanded, be deposited or delivered as aforesaid after the poll has been demanded and not less than 24 hours (excluding any part of a day which is not a working day) before the time appointed for the taking of the poll or in the case of a poll not taken forthwith but taken not more than 48 hours (excluding any part of a day which is not a working day) after it was demanded, be delivered at the meeting at which the poll was demanded to the Chairman of the meeting or to any Director; otherwise the person so named shall not be entitled to vote in respect thereof.</w:t>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40"/>
        <w:spacing w:after="0" w:line="302" w:lineRule="auto"/>
        <w:rPr>
          <w:sz w:val="20"/>
          <w:szCs w:val="20"/>
          <w:color w:val="auto"/>
        </w:rPr>
      </w:pPr>
      <w:r>
        <w:rPr>
          <w:rFonts w:ascii="Arial" w:cs="Arial" w:eastAsia="Arial" w:hAnsi="Arial"/>
          <w:sz w:val="16"/>
          <w:szCs w:val="16"/>
          <w:color w:val="auto"/>
        </w:rPr>
        <w:t>The appointment of a proxy shall, unless the contrary is stated thereon, be valid as well for any adjournment of the meeting as for the meeting to which it relates and for any poll arising from any such meeting or adjourned meeting. The valid appointment of a proxy or proxies relating to more than one meeting (including any adjournment thereof), having once been delivered to the Company for the purposes of any meeting shall not have to be re-lodged or otherwise re-registered with the Company for the purposes of any subsequent meeting to which it relates.</w:t>
      </w:r>
    </w:p>
    <w:p>
      <w:pPr>
        <w:spacing w:after="0" w:line="150" w:lineRule="exact"/>
        <w:rPr>
          <w:sz w:val="20"/>
          <w:szCs w:val="20"/>
          <w:color w:val="auto"/>
        </w:rPr>
      </w:pPr>
    </w:p>
    <w:p>
      <w:pPr>
        <w:jc w:val="both"/>
        <w:ind w:left="640" w:right="100" w:hanging="647"/>
        <w:spacing w:after="0" w:line="312" w:lineRule="auto"/>
        <w:tabs>
          <w:tab w:leader="none" w:pos="62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color w:val="auto"/>
        </w:rPr>
        <w:t>An appointment of proxy may be in any common form or in such other form as the Board may from time to time accept. No appointment of proxy shall be valid after the expiration of 12 months from the date stated in it as its date of execution except at an adjourned meeting or on a poll demanded at a meeting or an adjourned meeting where the meeting was originally held within 12 months from such date.</w:t>
      </w:r>
    </w:p>
    <w:p>
      <w:pPr>
        <w:spacing w:after="0" w:line="147" w:lineRule="exact"/>
        <w:rPr>
          <w:sz w:val="20"/>
          <w:szCs w:val="20"/>
          <w:color w:val="auto"/>
        </w:rPr>
      </w:pPr>
    </w:p>
    <w:p>
      <w:pPr>
        <w:ind w:left="640" w:hanging="647"/>
        <w:spacing w:after="0" w:line="254" w:lineRule="auto"/>
        <w:tabs>
          <w:tab w:leader="none" w:pos="62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8"/>
          <w:szCs w:val="18"/>
          <w:color w:val="auto"/>
        </w:rPr>
        <w:t>The Board may at the expense of the Company send by post or any other method permitted by these Articles (including by electronic communications) to the Members appointments of proxy (with or without provision for their return prepaid) for use at any General Meeting or at any meeting of any class of Members of the Company either in blank or nominating in the alternative any one or more of the Directors or the Chairman of the meeting or any other person or persons. If for the purpose of any meeting invitations to appoint as proxy a person or one of a number of persons, specified in the invitations are issued at the Company’s expense they shall be issued to all (and not to some only) of the Members entitled to be sent notice of the General Meeting and to vote thereat by proxy. The accidental omission to send an appointment of proxy or the non-receipt of such appointment by any Member entitled to attend and vote at a meeting shall not invalidate the proceedings at that meeting.</w:t>
      </w:r>
    </w:p>
    <w:p>
      <w:pPr>
        <w:spacing w:after="0" w:line="192"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18.15</w:t>
      </w:r>
      <w:r>
        <w:rPr>
          <w:sz w:val="20"/>
          <w:szCs w:val="20"/>
          <w:color w:val="auto"/>
        </w:rPr>
        <w:tab/>
      </w:r>
      <w:r>
        <w:rPr>
          <w:rFonts w:ascii="Arial" w:cs="Arial" w:eastAsia="Arial" w:hAnsi="Arial"/>
          <w:sz w:val="18"/>
          <w:szCs w:val="18"/>
          <w:color w:val="auto"/>
        </w:rPr>
        <w:t>Appointments of proxy sent by electronic communications, will not be taken as validly lodged where the electronic communication cannot be read or opened or where it contains a computer virus.</w:t>
      </w:r>
    </w:p>
    <w:p>
      <w:pPr>
        <w:sectPr>
          <w:pgSz w:w="11900" w:h="16838" w:orient="portrait"/>
          <w:cols w:equalWidth="0" w:num="1">
            <w:col w:w="10920"/>
          </w:cols>
          <w:pgMar w:left="740" w:top="125" w:right="239" w:bottom="0" w:gutter="0" w:footer="0" w:header="0"/>
        </w:sectPr>
      </w:pPr>
    </w:p>
    <w:bookmarkStart w:id="254" w:name="page255"/>
    <w:bookmarkEnd w:id="254"/>
    <w:p>
      <w:pPr>
        <w:ind w:left="1024" w:right="60" w:hanging="647"/>
        <w:spacing w:after="0" w:line="259" w:lineRule="auto"/>
        <w:tabs>
          <w:tab w:leader="none" w:pos="1004"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8"/>
          <w:szCs w:val="18"/>
          <w:color w:val="auto"/>
        </w:rPr>
        <w:t>When two (or more) valid but differing appointments of proxy are received in respect of the same share for use at the same meeting and in respect of the same matter, the one which is last validly received (regardless of its date or the date of its execution or submission) shall be treated as replacing and revoking the other or others as regards that share. If the Company is unable to determine which appointment was last validly received, none of them shall be treated as valid in respect of that share.</w:t>
      </w:r>
    </w:p>
    <w:p>
      <w:pPr>
        <w:spacing w:after="0" w:line="18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TERMINATION OF PROXY’S AUTHORITY</w:t>
      </w:r>
    </w:p>
    <w:p>
      <w:pPr>
        <w:spacing w:after="0" w:line="225"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The termination of the authority of a person to act as proxy must be notified to the Company in writing.</w:t>
      </w:r>
    </w:p>
    <w:p>
      <w:pPr>
        <w:spacing w:after="0" w:line="225"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The termination of the authority of a person to act as proxy does not affect:</w:t>
      </w:r>
    </w:p>
    <w:p>
      <w:pPr>
        <w:spacing w:after="0" w:line="229" w:lineRule="exact"/>
        <w:rPr>
          <w:sz w:val="20"/>
          <w:szCs w:val="20"/>
          <w:color w:val="auto"/>
        </w:rPr>
      </w:pPr>
    </w:p>
    <w:p>
      <w:pPr>
        <w:ind w:left="1404" w:hanging="385"/>
        <w:spacing w:after="0" w:line="264" w:lineRule="auto"/>
        <w:tabs>
          <w:tab w:leader="none" w:pos="140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whether that person counts in deciding whether there is a quorum at a meeting, the validity of anything that person does as chairman of a meeting or the validity of a poll demanded by that person at a meeting unless the Company receives notice of termination before the commencement of the meeting; and</w:t>
      </w:r>
    </w:p>
    <w:p>
      <w:pPr>
        <w:spacing w:after="0" w:line="181" w:lineRule="exact"/>
        <w:rPr>
          <w:rFonts w:ascii="Arial" w:cs="Arial" w:eastAsia="Arial" w:hAnsi="Arial"/>
          <w:sz w:val="18"/>
          <w:szCs w:val="18"/>
          <w:color w:val="auto"/>
        </w:rPr>
      </w:pPr>
    </w:p>
    <w:p>
      <w:pPr>
        <w:ind w:left="1404" w:right="120" w:hanging="385"/>
        <w:spacing w:after="0" w:line="264" w:lineRule="auto"/>
        <w:tabs>
          <w:tab w:leader="none" w:pos="14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validity of a vote given by that person unless the Company receives notice of termination before the commencement of the meeting or adjourned meeting at which the vote is given or, in the case of a poll taken more than 48 hours after it is demanded, before the time appointed</w:t>
      </w:r>
    </w:p>
    <w:p>
      <w:pPr>
        <w:spacing w:after="0" w:line="181"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for taking the poll.</w:t>
      </w:r>
    </w:p>
    <w:p>
      <w:pPr>
        <w:spacing w:after="0" w:line="221" w:lineRule="exact"/>
        <w:rPr>
          <w:sz w:val="20"/>
          <w:szCs w:val="20"/>
          <w:color w:val="auto"/>
        </w:rPr>
      </w:pPr>
    </w:p>
    <w:p>
      <w:pPr>
        <w:jc w:val="both"/>
        <w:ind w:left="1024" w:right="4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color w:val="auto"/>
        </w:rPr>
        <w:t>The notice of the termination must be received at an address that is specified in the form of proxy or, if the appointment of the proxy was sent by electronic means, at an address that is specified or deemed to be specified in such form of proxy or, in either case, in the notice convening the meeting or any document sent therewith.</w:t>
      </w:r>
    </w:p>
    <w:p>
      <w:pPr>
        <w:spacing w:after="0" w:line="181" w:lineRule="exact"/>
        <w:rPr>
          <w:sz w:val="20"/>
          <w:szCs w:val="20"/>
          <w:color w:val="auto"/>
        </w:rPr>
      </w:pPr>
    </w:p>
    <w:p>
      <w:pPr>
        <w:ind w:left="644" w:hanging="644"/>
        <w:spacing w:after="0"/>
        <w:tabs>
          <w:tab w:leader="none" w:pos="64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CORPORATIONS ACTING BY REPRESENTATIVES AT MEETINGS</w:t>
      </w:r>
    </w:p>
    <w:p>
      <w:pPr>
        <w:spacing w:after="0" w:line="229" w:lineRule="exact"/>
        <w:rPr>
          <w:rFonts w:ascii="Arial" w:cs="Arial" w:eastAsia="Arial" w:hAnsi="Arial"/>
          <w:sz w:val="18"/>
          <w:szCs w:val="18"/>
          <w:b w:val="1"/>
          <w:bCs w:val="1"/>
          <w:color w:val="auto"/>
        </w:rPr>
      </w:pPr>
    </w:p>
    <w:p>
      <w:pPr>
        <w:ind w:left="624"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Any corporation which is a Member of the Company may by resolution of its directors or other governing body authorise any person or persons to act as its representative or representatives at any General Meeting of the Company or of any class of Members thereof. The Directors or the Secretary or the person authorised may require evidence of the authority of a corporate representative before permitting him to exercise his powers. Any corporation which is a member of the Company and is represented at a meeting of the Company by a representative or representatives authorised as aforesaid shall be deemed to be a Member present in person at such meeting.</w:t>
      </w:r>
    </w:p>
    <w:p>
      <w:pPr>
        <w:spacing w:after="0" w:line="168" w:lineRule="exact"/>
        <w:rPr>
          <w:rFonts w:ascii="Arial" w:cs="Arial" w:eastAsia="Arial" w:hAnsi="Arial"/>
          <w:sz w:val="18"/>
          <w:szCs w:val="18"/>
          <w:b w:val="1"/>
          <w:bCs w:val="1"/>
          <w:color w:val="auto"/>
        </w:rPr>
      </w:pPr>
    </w:p>
    <w:p>
      <w:pPr>
        <w:ind w:left="644" w:hanging="644"/>
        <w:spacing w:after="0"/>
        <w:tabs>
          <w:tab w:leader="none" w:pos="64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1024" w:right="44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Until otherwise determined by a General Meeting the number of Directors (other than alternate directors) shall not be less than two. The Company may by ordinary resolution from time to time vary the minimum and maximum number of Directors.</w:t>
      </w:r>
    </w:p>
    <w:p>
      <w:pPr>
        <w:spacing w:after="0" w:line="170" w:lineRule="exact"/>
        <w:rPr>
          <w:sz w:val="20"/>
          <w:szCs w:val="20"/>
          <w:color w:val="auto"/>
        </w:rPr>
      </w:pPr>
    </w:p>
    <w:p>
      <w:pPr>
        <w:ind w:left="1024" w:right="20" w:hanging="647"/>
        <w:spacing w:after="0" w:line="276" w:lineRule="auto"/>
        <w:tabs>
          <w:tab w:leader="none" w:pos="1004"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color w:val="auto"/>
        </w:rPr>
        <w:t>The Board may from time to time and at any time appoint any other person who is permitted by the Statutes to be a Director either to fill a casual vacancy or by way of addition to the Board but so that the total number of Directors does not exceed the maximum number fixed by or in accordance with these Articles. A Director so appointed shall hold office only until the annual General Meeting following next after his appointment, when he shall retire, but shall then be eligible for re-election. A Director so retiring shall not be taken into account in determining the number of Directors to retire by rotation at such meeting in accordance with Article 26.2.</w:t>
      </w:r>
    </w:p>
    <w:p>
      <w:pPr>
        <w:spacing w:after="0" w:line="173" w:lineRule="exact"/>
        <w:rPr>
          <w:sz w:val="20"/>
          <w:szCs w:val="20"/>
          <w:color w:val="auto"/>
        </w:rPr>
      </w:pPr>
    </w:p>
    <w:p>
      <w:pPr>
        <w:ind w:left="1024" w:right="220" w:hanging="647"/>
        <w:spacing w:after="0" w:line="277" w:lineRule="auto"/>
        <w:tabs>
          <w:tab w:leader="none" w:pos="1004"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A Director shall not require a share qualification, but shall nevertheless be entitled to attend and speak at any General Meeting of, or at any separate meeting of the holders of any class of shares in, the Company.</w:t>
      </w:r>
    </w:p>
    <w:p>
      <w:pPr>
        <w:spacing w:after="0" w:line="170" w:lineRule="exact"/>
        <w:rPr>
          <w:sz w:val="20"/>
          <w:szCs w:val="20"/>
          <w:color w:val="auto"/>
        </w:rPr>
      </w:pPr>
    </w:p>
    <w:p>
      <w:pPr>
        <w:ind w:left="1024" w:right="20" w:hanging="647"/>
        <w:spacing w:after="0" w:line="291" w:lineRule="auto"/>
        <w:tabs>
          <w:tab w:leader="none" w:pos="1004"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color w:val="auto"/>
        </w:rPr>
        <w:t>There shall be paid out of the funds of the Company to the Directors of the Company (other than Directors appointed to an executive office or alternate directors) such remuneration (by way of fee) for their services to the Company as the Directors may determine, such sum to be deemed to accrue from day to day and to be divided among such Directors in such proportion and manner as they may agree or, in default of agreement, equally provided that any such Director holding the office of Director for part of a year shall unless otherwise agreed be entitled only to a proportionate part of such remuneration, save that unless otherwise approved by ordinary resolution of the Company in General Meeting the aggregate of the remuneration (by way of fee) of all the Directors shall not exceed £500,000 per annum. The Company may by ordinary resolution increase the amount of the fees payable under this Article either permanently or for a year or longer term.</w:t>
      </w:r>
    </w:p>
    <w:p>
      <w:pPr>
        <w:spacing w:after="0" w:line="167" w:lineRule="exact"/>
        <w:rPr>
          <w:sz w:val="20"/>
          <w:szCs w:val="20"/>
          <w:color w:val="auto"/>
        </w:rPr>
      </w:pPr>
    </w:p>
    <w:p>
      <w:pPr>
        <w:ind w:left="1024"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color w:val="auto"/>
        </w:rPr>
        <w:t>The Directors shall be entitled to be repaid all travelling, hotel and other incidental expenses properly incurred by them respectively in and about the performance of their duties as a Director, including, without limitation, their expenses of travelling to and from Board or Committee or General Meetings or separate meetings of the holder of a class of shares or debentures or any</w:t>
      </w:r>
    </w:p>
    <w:p>
      <w:pPr>
        <w:spacing w:after="0" w:line="185"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4"/>
        <w:spacing w:after="0"/>
        <w:rPr>
          <w:sz w:val="20"/>
          <w:szCs w:val="20"/>
          <w:color w:val="auto"/>
        </w:rPr>
      </w:pPr>
      <w:r>
        <w:rPr>
          <w:rFonts w:ascii="Arial" w:cs="Arial" w:eastAsia="Arial" w:hAnsi="Arial"/>
          <w:sz w:val="18"/>
          <w:szCs w:val="18"/>
          <w:color w:val="auto"/>
        </w:rPr>
        <w:t>other meetings of any kind which he attends in his capacity as a Director of the Company.</w:t>
      </w:r>
    </w:p>
    <w:p>
      <w:pPr>
        <w:spacing w:after="0" w:line="221" w:lineRule="exact"/>
        <w:rPr>
          <w:sz w:val="20"/>
          <w:szCs w:val="20"/>
          <w:color w:val="auto"/>
        </w:rPr>
      </w:pPr>
    </w:p>
    <w:p>
      <w:pPr>
        <w:ind w:left="1024" w:right="140" w:hanging="647"/>
        <w:spacing w:after="0" w:line="302" w:lineRule="auto"/>
        <w:tabs>
          <w:tab w:leader="none" w:pos="1004"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color w:val="auto"/>
        </w:rPr>
        <w:t>The Board may grant special remuneration to any member thereof who, being called upon, serves on any committee or who shall render any special or extra services to the Company which in the opinion of the Board are outside the scope of the ordinary duties of a Director. Such special remuneration may be made payable to such Director in addition to or in substitution for his ordinary remuneration (if any) as a Director, and may be payable by way of a lump sum participation in profits or otherwise as the Board shall determine.</w:t>
      </w:r>
    </w:p>
    <w:p>
      <w:pPr>
        <w:spacing w:after="0" w:line="154"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INTERESTS OF DIRECTORS</w:t>
      </w:r>
    </w:p>
    <w:p>
      <w:pPr>
        <w:sectPr>
          <w:pgSz w:w="11900" w:h="16838" w:orient="portrait"/>
          <w:cols w:equalWidth="0" w:num="1">
            <w:col w:w="11264"/>
          </w:cols>
          <w:pgMar w:left="356" w:top="121" w:right="279" w:bottom="0" w:gutter="0" w:footer="0" w:header="0"/>
        </w:sectPr>
      </w:pPr>
    </w:p>
    <w:bookmarkStart w:id="255" w:name="page256"/>
    <w:bookmarkEnd w:id="255"/>
    <w:p>
      <w:pPr>
        <w:ind w:left="6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A Director may hold any other office or place of profit under the Company (except that of auditor) in conjunction with his office of Director and subject to Section 188 of the 2006 Act on such terms as to remuneration and otherwise as the Board shall arrange. 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or auditors of the Company.</w:t>
      </w:r>
    </w:p>
    <w:p>
      <w:pPr>
        <w:spacing w:after="0" w:line="188" w:lineRule="exact"/>
        <w:rPr>
          <w:sz w:val="20"/>
          <w:szCs w:val="20"/>
          <w:color w:val="auto"/>
        </w:rPr>
      </w:pPr>
    </w:p>
    <w:p>
      <w:pPr>
        <w:ind w:left="640" w:right="1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color w:val="auto"/>
        </w:rPr>
        <w:t>Subject to the provisions of the Statutes, no Director or intending Director shall be disqualified by his office from contracting with the Company either as vendor, purchaser or otherwise nor subject to the interest of the Director concerned being duly declared as required by Article 22.4 shall any such contract or any contract or arrangement entered into by or on behalf of the Company in which any Director shall be in any way interested be liable to be avoided nor shall any Director so contracting or being so interested be liable to account to the Company for any profit realised by any such contract or arrangement by reason of such Director holding that office or of the fiduciary relationship thereby established.</w:t>
      </w:r>
    </w:p>
    <w:p>
      <w:pPr>
        <w:spacing w:after="0" w:line="193" w:lineRule="exact"/>
        <w:rPr>
          <w:sz w:val="20"/>
          <w:szCs w:val="20"/>
          <w:color w:val="auto"/>
        </w:rPr>
      </w:pPr>
    </w:p>
    <w:p>
      <w:pPr>
        <w:ind w:left="640" w:right="160" w:hanging="647"/>
        <w:spacing w:after="0" w:line="286" w:lineRule="auto"/>
        <w:tabs>
          <w:tab w:leader="none" w:pos="6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color w:val="auto"/>
        </w:rPr>
        <w:t>A Director may hold office as a director or other officer of or be otherwise interested in any other company of which the Company is a member or in which the Company is otherwise interested and unless otherwise agreed shall not be liable to account to the Company for any remuneration or other benefits receivable by him as a director or officer of, or by virtue of his interest in, such other company.</w:t>
      </w:r>
    </w:p>
    <w:p>
      <w:pPr>
        <w:spacing w:after="0" w:line="166" w:lineRule="exact"/>
        <w:rPr>
          <w:sz w:val="20"/>
          <w:szCs w:val="20"/>
          <w:color w:val="auto"/>
        </w:rPr>
      </w:pPr>
    </w:p>
    <w:p>
      <w:pPr>
        <w:ind w:left="640" w:right="40" w:hanging="647"/>
        <w:spacing w:after="0" w:line="269" w:lineRule="auto"/>
        <w:tabs>
          <w:tab w:leader="none" w:pos="6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color w:val="auto"/>
        </w:rPr>
        <w:t>Without prejudice to the requirements of the Statutes, a Director, including an alternate Director, who is in any way, whether directly or indirectly, interested in a contract or proposed contract with the Company shall declare the nature of his interest at a meeting of the Board. In the case of a proposed contract the declaration shall be made at the meeting of the Board at which the question of entering into the contract is first taken into consideration or, if the Director was not at the date of that meeting interested in the proposed contract, at the next meeting of the Board held after he became so interested. In a case where the Director becomes interested in a contract after it is made the declaration shall be made at the first meeting of the Board held after the Director becomes so interested. In a case where the Director is interested in a contract which has been made before he was appointed a Director the declaration shall be made at the first meeting of the Board held after he is so appointed. For the purposes of this Article a general notice given to the Board by a Director to the effect that he is a member of any specified company or firm and is to be regarded as interested in any contract which may, after the date of the notice be made with that company or firm, or he is to be regarded as interested in any contract which may after the date of the notice be made with a specified person who is connected with him (within</w:t>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color w:val="auto"/>
        </w:rPr>
        <w:t>the meaning of Section 252 of the 2006 Act) shall (if such Director shall give the same at a meeting of the Board or shall take reasonable steps to secure that it is brought up and read at the next meeting of the Board after it is given) be deemed a sufficient declaration of interest in relation to any contract so made. In this Article the expression “contract” shall be construed as including any transaction or arrangement, whether or not constituting a contract.</w:t>
      </w:r>
    </w:p>
    <w:p>
      <w:pPr>
        <w:spacing w:after="0" w:line="183" w:lineRule="exact"/>
        <w:rPr>
          <w:sz w:val="20"/>
          <w:szCs w:val="20"/>
          <w:color w:val="auto"/>
        </w:rPr>
      </w:pPr>
    </w:p>
    <w:p>
      <w:pPr>
        <w:ind w:left="640" w:right="2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color w:val="auto"/>
        </w:rPr>
        <w:t>The Board shall have power and shall be enabled, subject to and in accordance with the remaining provisions of this Article and Articles 22.6 to 22.15, to authorise (an “</w:t>
      </w:r>
      <w:r>
        <w:rPr>
          <w:rFonts w:ascii="Arial" w:cs="Arial" w:eastAsia="Arial" w:hAnsi="Arial"/>
          <w:sz w:val="18"/>
          <w:szCs w:val="18"/>
          <w:b w:val="1"/>
          <w:bCs w:val="1"/>
          <w:color w:val="auto"/>
        </w:rPr>
        <w:t>Authorisation</w:t>
      </w:r>
      <w:r>
        <w:rPr>
          <w:rFonts w:ascii="Arial" w:cs="Arial" w:eastAsia="Arial" w:hAnsi="Arial"/>
          <w:sz w:val="18"/>
          <w:szCs w:val="18"/>
          <w:color w:val="auto"/>
        </w:rPr>
        <w:t>”) any matter which would or might constitute or give rise to any breach of the duty of a Director under Section 175 of the 2006 Act to avoid a situation in which he has, or can have, a direct or indirect interest that conflicts, or possibly may conflict, with the interests of the Company (including, without limitation, in relation to the exploitation of any property, information or opportunity, whether or not the Company could take advantage of it).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An Authorisation shall only be effective where:</w:t>
      </w:r>
    </w:p>
    <w:p>
      <w:pPr>
        <w:spacing w:after="0" w:line="229" w:lineRule="exact"/>
        <w:rPr>
          <w:sz w:val="20"/>
          <w:szCs w:val="20"/>
          <w:color w:val="auto"/>
        </w:rPr>
      </w:pPr>
    </w:p>
    <w:p>
      <w:pPr>
        <w:ind w:left="1020" w:right="240" w:hanging="385"/>
        <w:spacing w:after="0" w:line="312" w:lineRule="auto"/>
        <w:tabs>
          <w:tab w:leader="none" w:pos="1023"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resolution in respect of the Authorisation is proposed for consideration at a Board meeting in accordance with the Board’s normal procedures or in such other manner as the Board may determine, or is proposed by way of a written resolution of the Directors (and which written resolution may be passed without requiring the signature of the persons referred to in paragraph (c) below);</w:t>
      </w:r>
    </w:p>
    <w:p>
      <w:pPr>
        <w:spacing w:after="0" w:line="146" w:lineRule="exact"/>
        <w:rPr>
          <w:rFonts w:ascii="Arial" w:cs="Arial" w:eastAsia="Arial" w:hAnsi="Arial"/>
          <w:sz w:val="16"/>
          <w:szCs w:val="16"/>
          <w:color w:val="auto"/>
        </w:rPr>
      </w:pPr>
    </w:p>
    <w:p>
      <w:pPr>
        <w:ind w:left="1040" w:hanging="405"/>
        <w:spacing w:after="0"/>
        <w:tabs>
          <w:tab w:leader="none" w:pos="10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reasonable details of the matter or situation to the Authorisation relates were disclosed to the Board; and</w:t>
      </w:r>
    </w:p>
    <w:p>
      <w:pPr>
        <w:spacing w:after="0" w:line="225" w:lineRule="exact"/>
        <w:rPr>
          <w:rFonts w:ascii="Arial" w:cs="Arial" w:eastAsia="Arial" w:hAnsi="Arial"/>
          <w:sz w:val="18"/>
          <w:szCs w:val="18"/>
          <w:color w:val="auto"/>
        </w:rPr>
      </w:pPr>
    </w:p>
    <w:p>
      <w:pPr>
        <w:jc w:val="both"/>
        <w:ind w:left="1020" w:hanging="385"/>
        <w:spacing w:after="0" w:line="312" w:lineRule="auto"/>
        <w:tabs>
          <w:tab w:leader="none" w:pos="103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accordance with Section 175(6) of the 2006 Act, the Authorisation is agreed to without counting in the quorum for the relevant Board meeting, or counting any votes on the Authorisation cast by, any of the following (all or any of which persons may, if the other Directors present so decide, be excluded from the relevant Board meeting while the proposal to provide an Authorisation is under consideration):</w:t>
      </w:r>
    </w:p>
    <w:p>
      <w:pPr>
        <w:spacing w:after="0" w:line="147" w:lineRule="exact"/>
        <w:rPr>
          <w:sz w:val="20"/>
          <w:szCs w:val="20"/>
          <w:color w:val="auto"/>
        </w:rPr>
      </w:pPr>
    </w:p>
    <w:p>
      <w:pPr>
        <w:ind w:left="1560" w:hanging="382"/>
        <w:spacing w:after="0"/>
        <w:tabs>
          <w:tab w:leader="none" w:pos="15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Director to which the Authorisation relates;</w:t>
      </w:r>
    </w:p>
    <w:p>
      <w:pPr>
        <w:spacing w:after="0" w:line="225" w:lineRule="exact"/>
        <w:rPr>
          <w:sz w:val="20"/>
          <w:szCs w:val="20"/>
          <w:color w:val="auto"/>
        </w:rPr>
      </w:pPr>
    </w:p>
    <w:p>
      <w:pPr>
        <w:ind w:left="1540" w:right="780" w:hanging="392"/>
        <w:spacing w:after="0" w:line="277" w:lineRule="auto"/>
        <w:tabs>
          <w:tab w:leader="none" w:pos="156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Director who is a “connected person” of the Director to which the Authorisation relates, as such term is defined in Section 252 of the 2006 Act); and</w:t>
      </w:r>
    </w:p>
    <w:p>
      <w:pPr>
        <w:spacing w:after="0" w:line="170" w:lineRule="exact"/>
        <w:rPr>
          <w:rFonts w:ascii="Arial" w:cs="Arial" w:eastAsia="Arial" w:hAnsi="Arial"/>
          <w:sz w:val="18"/>
          <w:szCs w:val="18"/>
          <w:color w:val="auto"/>
        </w:rPr>
      </w:pPr>
    </w:p>
    <w:p>
      <w:pPr>
        <w:ind w:left="1560" w:hanging="412"/>
        <w:spacing w:after="0"/>
        <w:tabs>
          <w:tab w:leader="none" w:pos="15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Director who is an “other interested director” for the purposes of Section 175(6)(a) of the 2006 Act,</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but otherwise an Authorisation may be proposed and resolved upon by the Board in such manner as the Board deems at its absolute discretion to be appropriate.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color w:val="auto"/>
        </w:rPr>
        <w:t>An Authorisation may be given in respect of:</w:t>
      </w:r>
    </w:p>
    <w:p>
      <w:pPr>
        <w:spacing w:after="0" w:line="229" w:lineRule="exact"/>
        <w:rPr>
          <w:sz w:val="20"/>
          <w:szCs w:val="20"/>
          <w:color w:val="auto"/>
        </w:rPr>
      </w:pPr>
    </w:p>
    <w:p>
      <w:pPr>
        <w:ind w:left="1020" w:hanging="385"/>
        <w:spacing w:after="0"/>
        <w:tabs>
          <w:tab w:leader="none" w:pos="10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person who is to be, or is proposed to be, appointed as a Director, with regard to such appointment; or</w:t>
      </w:r>
    </w:p>
    <w:p>
      <w:pPr>
        <w:spacing w:after="0" w:line="225" w:lineRule="exact"/>
        <w:rPr>
          <w:rFonts w:ascii="Arial" w:cs="Arial" w:eastAsia="Arial" w:hAnsi="Arial"/>
          <w:sz w:val="18"/>
          <w:szCs w:val="18"/>
          <w:color w:val="auto"/>
        </w:rPr>
      </w:pPr>
    </w:p>
    <w:p>
      <w:pPr>
        <w:ind w:left="1040" w:hanging="405"/>
        <w:spacing w:after="0"/>
        <w:tabs>
          <w:tab w:leader="none" w:pos="10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 appointed Director with regard to his continuing performance of his duties,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otherwise as the Board may determine.</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color w:val="auto"/>
        </w:rPr>
        <w:t>An Authorisation may be given subject to such terms and conditions as the</w:t>
      </w:r>
    </w:p>
    <w:p>
      <w:pPr>
        <w:sectPr>
          <w:pgSz w:w="11900" w:h="16838" w:orient="portrait"/>
          <w:cols w:equalWidth="0" w:num="1">
            <w:col w:w="10860"/>
          </w:cols>
          <w:pgMar w:left="740" w:top="121" w:right="299" w:bottom="0" w:gutter="0" w:footer="0" w:header="0"/>
        </w:sectPr>
      </w:pPr>
    </w:p>
    <w:bookmarkStart w:id="256" w:name="page257"/>
    <w:bookmarkEnd w:id="256"/>
    <w:p>
      <w:pPr>
        <w:jc w:val="center"/>
        <w:ind w:right="4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color w:val="auto"/>
        </w:rPr>
        <w:t>Board determines at its absolute discretion, and the relevant Director shall comply with all such terms and conditions, and which may (but need not) include all or any of the following (but without limitation to any other limitations, terms and conditions as may be imposed by the Board):</w:t>
      </w:r>
    </w:p>
    <w:p>
      <w:pPr>
        <w:spacing w:after="0" w:line="181" w:lineRule="exact"/>
        <w:rPr>
          <w:sz w:val="20"/>
          <w:szCs w:val="20"/>
          <w:color w:val="auto"/>
        </w:rPr>
      </w:pPr>
    </w:p>
    <w:p>
      <w:pPr>
        <w:ind w:left="1020" w:hanging="385"/>
        <w:spacing w:after="0"/>
        <w:tabs>
          <w:tab w:leader="none" w:pos="10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period for which the Authorisation shall subsist, or any date or event upon which it shall expire or be modified;</w:t>
      </w:r>
    </w:p>
    <w:p>
      <w:pPr>
        <w:spacing w:after="0" w:line="225" w:lineRule="exact"/>
        <w:rPr>
          <w:rFonts w:ascii="Arial" w:cs="Arial" w:eastAsia="Arial" w:hAnsi="Arial"/>
          <w:sz w:val="18"/>
          <w:szCs w:val="18"/>
          <w:color w:val="auto"/>
        </w:rPr>
      </w:pPr>
    </w:p>
    <w:p>
      <w:pPr>
        <w:ind w:left="1040" w:hanging="405"/>
        <w:spacing w:after="0"/>
        <w:tabs>
          <w:tab w:leader="none" w:pos="10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events, matters or consequences which do not fall within the Authorisation or whereby a further Authorisation shall be required;</w:t>
      </w:r>
    </w:p>
    <w:p>
      <w:pPr>
        <w:spacing w:after="0" w:line="248" w:lineRule="exact"/>
        <w:rPr>
          <w:rFonts w:ascii="Arial" w:cs="Arial" w:eastAsia="Arial" w:hAnsi="Arial"/>
          <w:sz w:val="16"/>
          <w:szCs w:val="16"/>
          <w:color w:val="auto"/>
        </w:rPr>
      </w:pPr>
    </w:p>
    <w:p>
      <w:pPr>
        <w:ind w:left="1020" w:right="40" w:hanging="385"/>
        <w:spacing w:after="0" w:line="308" w:lineRule="auto"/>
        <w:tabs>
          <w:tab w:leader="none" w:pos="103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exclusion of the relevant Director from receipt of or access to certain information or documentation of the Company connected with the matter to which the Authorisation relates (including any general classes or categories of information or documentation);</w:t>
      </w:r>
    </w:p>
    <w:p>
      <w:pPr>
        <w:spacing w:after="0" w:line="146" w:lineRule="exact"/>
        <w:rPr>
          <w:rFonts w:ascii="Arial" w:cs="Arial" w:eastAsia="Arial" w:hAnsi="Arial"/>
          <w:sz w:val="17"/>
          <w:szCs w:val="17"/>
          <w:color w:val="auto"/>
        </w:rPr>
      </w:pPr>
    </w:p>
    <w:p>
      <w:pPr>
        <w:ind w:left="1020" w:right="20" w:hanging="385"/>
        <w:spacing w:after="0" w:line="259" w:lineRule="auto"/>
        <w:tabs>
          <w:tab w:leader="none" w:pos="103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exclusion of the relevant Director from discussions (whether at Board meetings, general meetings of the Company or otherwise) connected with the matter to which the Authorisation relates, and whether the relevant Director may count in the quorum for and/or vote upon any matter to which the Authorisation relates at Board meetings (in which case such terms shall prevail over any other provisions of these Articles); and</w:t>
      </w:r>
    </w:p>
    <w:p>
      <w:pPr>
        <w:spacing w:after="0" w:line="186" w:lineRule="exact"/>
        <w:rPr>
          <w:rFonts w:ascii="Arial" w:cs="Arial" w:eastAsia="Arial" w:hAnsi="Arial"/>
          <w:sz w:val="18"/>
          <w:szCs w:val="18"/>
          <w:color w:val="auto"/>
        </w:rPr>
      </w:pPr>
    </w:p>
    <w:p>
      <w:pPr>
        <w:ind w:left="1020" w:right="260" w:hanging="385"/>
        <w:spacing w:after="0" w:line="264" w:lineRule="auto"/>
        <w:tabs>
          <w:tab w:leader="none" w:pos="103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requirements with respect to the disclosure of confidential information of the Company to any other person, or the disclosure of confidential information of any other person to the Company (and which may include permitting the relevant Director not to disclose confidential information of another person to the Company).</w:t>
      </w:r>
    </w:p>
    <w:p>
      <w:pPr>
        <w:spacing w:after="0" w:line="177" w:lineRule="exact"/>
        <w:rPr>
          <w:sz w:val="20"/>
          <w:szCs w:val="20"/>
          <w:color w:val="auto"/>
        </w:rPr>
      </w:pPr>
    </w:p>
    <w:p>
      <w:pPr>
        <w:ind w:left="640" w:right="96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8"/>
          <w:szCs w:val="18"/>
          <w:color w:val="auto"/>
        </w:rPr>
        <w:t>The Board shall ensure that the terms of each Authorisation are recorded in writing and a copy retained by the Company (but the Authorisation shall be effective whether or not the terms are so recorded).</w:t>
      </w:r>
    </w:p>
    <w:p>
      <w:pPr>
        <w:spacing w:after="0" w:line="170" w:lineRule="exact"/>
        <w:rPr>
          <w:sz w:val="20"/>
          <w:szCs w:val="20"/>
          <w:color w:val="auto"/>
        </w:rPr>
      </w:pPr>
    </w:p>
    <w:p>
      <w:pPr>
        <w:ind w:left="640" w:right="420" w:hanging="647"/>
        <w:spacing w:after="0" w:line="308" w:lineRule="auto"/>
        <w:tabs>
          <w:tab w:leader="none" w:pos="62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7"/>
          <w:szCs w:val="17"/>
          <w:color w:val="auto"/>
        </w:rPr>
        <w:t>The Board may revoke or vary an Authorisation at any time, but this shall not affect anything done or omitted to be done by the relevant Director in accordance with the terms of the Authorisation prior to receiving notice of the revocation or variation.</w:t>
      </w:r>
    </w:p>
    <w:p>
      <w:pPr>
        <w:spacing w:after="0" w:line="147" w:lineRule="exact"/>
        <w:rPr>
          <w:sz w:val="20"/>
          <w:szCs w:val="20"/>
          <w:color w:val="auto"/>
        </w:rPr>
      </w:pPr>
    </w:p>
    <w:p>
      <w:pPr>
        <w:ind w:left="620" w:right="460" w:hanging="647"/>
        <w:spacing w:after="0" w:line="286" w:lineRule="auto"/>
        <w:tabs>
          <w:tab w:leader="none" w:pos="60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7"/>
          <w:szCs w:val="17"/>
          <w:color w:val="auto"/>
        </w:rPr>
        <w:t>Save as provided in any terms and conditions determined by the Board in accordance with Article 22.8 above, an Authorisation shall be deemed to be given to the fullest extent permissible at law, and shall extend to any actual or potential conflict of interest which may reasonably be expected to arise out of or in connection with the matter so authorised.</w:t>
      </w:r>
    </w:p>
    <w:p>
      <w:pPr>
        <w:spacing w:after="0" w:line="166" w:lineRule="exact"/>
        <w:rPr>
          <w:sz w:val="20"/>
          <w:szCs w:val="20"/>
          <w:color w:val="auto"/>
        </w:rPr>
      </w:pPr>
    </w:p>
    <w:p>
      <w:pPr>
        <w:jc w:val="both"/>
        <w:ind w:left="640" w:right="6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8"/>
          <w:szCs w:val="18"/>
          <w:color w:val="auto"/>
        </w:rPr>
        <w:t>Articles 22.5 to 22.15 shall constitute a provision for the purposes of Section 175(5)(b) of the 2006 Act, but for the avoidance of doubt shall not apply in respect of any situation where a Director is in any way, directly or indirectly, interested in a proposed transaction or arrangement with the Company.</w:t>
      </w:r>
    </w:p>
    <w:p>
      <w:pPr>
        <w:spacing w:after="0" w:line="181"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8"/>
          <w:szCs w:val="18"/>
          <w:color w:val="auto"/>
        </w:rPr>
        <w:t>A Director shall not (save as may otherwise be agreed by him or may be provided by terms and conditions determined by the Board) be liable to account to the Company for any remuneration, profit or other benefit resulting from any matter to which the Authorisation relates, and no contract shall be liable to be avoided on the grounds of any such profit or benefit, nor shall the receipt of any such remuneration, profit or other benefit constitute a breach of Section 176 of the 2006 Act.</w:t>
      </w:r>
    </w:p>
    <w:p>
      <w:pPr>
        <w:spacing w:after="0" w:line="187"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8"/>
          <w:szCs w:val="18"/>
          <w:color w:val="auto"/>
        </w:rPr>
        <w:t>A Director shall not be in breach of the general duties he owes to the Company under the 2006 Act by virtue of the fact that pursuant to the terms</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of an Authorisation he:</w:t>
      </w:r>
    </w:p>
    <w:p>
      <w:pPr>
        <w:spacing w:after="0" w:line="225" w:lineRule="exact"/>
        <w:rPr>
          <w:sz w:val="20"/>
          <w:szCs w:val="20"/>
          <w:color w:val="auto"/>
        </w:rPr>
      </w:pPr>
    </w:p>
    <w:p>
      <w:pPr>
        <w:ind w:left="1020" w:right="200" w:hanging="385"/>
        <w:spacing w:after="0" w:line="277" w:lineRule="auto"/>
        <w:tabs>
          <w:tab w:leader="none" w:pos="102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absents himself from Board meetings or other proceedings of the Board at which matters relating to the conflict of interest or possible conflict of interest will or may be discussed; or</w:t>
      </w:r>
    </w:p>
    <w:p>
      <w:pPr>
        <w:spacing w:after="0" w:line="170" w:lineRule="exact"/>
        <w:rPr>
          <w:rFonts w:ascii="Arial" w:cs="Arial" w:eastAsia="Arial" w:hAnsi="Arial"/>
          <w:sz w:val="18"/>
          <w:szCs w:val="18"/>
          <w:color w:val="auto"/>
        </w:rPr>
      </w:pPr>
    </w:p>
    <w:p>
      <w:pPr>
        <w:ind w:left="1020" w:hanging="385"/>
        <w:spacing w:after="0" w:line="277" w:lineRule="auto"/>
        <w:tabs>
          <w:tab w:leader="none" w:pos="103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makes arrangements not to receive, or refrains from considering, any documents relating to the conflict of interest or possible conflict of interest, or makes arrangements for a professional adviser to receive any such documents on his behalf,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so long as he reasonably believes the matter to which the Authorisation relates subsists.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22.15</w:t>
      </w:r>
      <w:r>
        <w:rPr>
          <w:sz w:val="20"/>
          <w:szCs w:val="20"/>
          <w:color w:val="auto"/>
        </w:rPr>
        <w:tab/>
      </w:r>
      <w:r>
        <w:rPr>
          <w:rFonts w:ascii="Arial" w:cs="Arial" w:eastAsia="Arial" w:hAnsi="Arial"/>
          <w:sz w:val="16"/>
          <w:szCs w:val="16"/>
          <w:color w:val="auto"/>
        </w:rPr>
        <w:t>The provisions of Articles 22.5 to 22.15 are without prejudice to any equitable principle or rule of law which may excuse a Director from:</w:t>
      </w:r>
    </w:p>
    <w:p>
      <w:pPr>
        <w:spacing w:after="0" w:line="229" w:lineRule="exact"/>
        <w:rPr>
          <w:sz w:val="20"/>
          <w:szCs w:val="20"/>
          <w:color w:val="auto"/>
        </w:rPr>
      </w:pPr>
    </w:p>
    <w:p>
      <w:pPr>
        <w:ind w:left="1020" w:hanging="385"/>
        <w:spacing w:after="0"/>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disclosing information in circumstances where disclosure would otherwise be required under these Articles or otherwise; or</w:t>
      </w:r>
    </w:p>
    <w:p>
      <w:pPr>
        <w:spacing w:after="0" w:line="225" w:lineRule="exact"/>
        <w:rPr>
          <w:rFonts w:ascii="Arial" w:cs="Arial" w:eastAsia="Arial" w:hAnsi="Arial"/>
          <w:sz w:val="18"/>
          <w:szCs w:val="18"/>
          <w:color w:val="auto"/>
        </w:rPr>
      </w:pPr>
    </w:p>
    <w:p>
      <w:pPr>
        <w:ind w:left="1020" w:right="240" w:hanging="385"/>
        <w:spacing w:after="0" w:line="277" w:lineRule="auto"/>
        <w:tabs>
          <w:tab w:leader="none" w:pos="103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attending meetings or discussions or receiving documents or information in circumstances where such attendance or receiving would otherwise be required under these Articles.</w:t>
      </w:r>
    </w:p>
    <w:p>
      <w:pPr>
        <w:spacing w:after="0" w:line="166" w:lineRule="exact"/>
        <w:rPr>
          <w:sz w:val="20"/>
          <w:szCs w:val="20"/>
          <w:color w:val="auto"/>
        </w:rPr>
      </w:pPr>
    </w:p>
    <w:p>
      <w:pPr>
        <w:ind w:left="640" w:right="22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22.16</w:t>
      </w:r>
      <w:r>
        <w:rPr>
          <w:sz w:val="20"/>
          <w:szCs w:val="20"/>
          <w:color w:val="auto"/>
        </w:rPr>
        <w:tab/>
      </w:r>
      <w:r>
        <w:rPr>
          <w:rFonts w:ascii="Arial" w:cs="Arial" w:eastAsia="Arial" w:hAnsi="Arial"/>
          <w:sz w:val="18"/>
          <w:szCs w:val="18"/>
          <w:color w:val="auto"/>
        </w:rPr>
        <w:t>Any reference to a conflict of interest in Articles 22.5 to 22.15 shall include a conflict of interest and duty, and a conflict of duties, and any reference to an interest includes both direct and indirect interests.</w:t>
      </w:r>
    </w:p>
    <w:p>
      <w:pPr>
        <w:spacing w:after="0" w:line="170" w:lineRule="exact"/>
        <w:rPr>
          <w:sz w:val="20"/>
          <w:szCs w:val="20"/>
          <w:color w:val="auto"/>
        </w:rPr>
      </w:pPr>
    </w:p>
    <w:p>
      <w:pPr>
        <w:ind w:left="640" w:right="2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22.17</w:t>
      </w:r>
      <w:r>
        <w:rPr>
          <w:sz w:val="20"/>
          <w:szCs w:val="20"/>
          <w:color w:val="auto"/>
        </w:rPr>
        <w:tab/>
      </w:r>
      <w:r>
        <w:rPr>
          <w:rFonts w:ascii="Arial" w:cs="Arial" w:eastAsia="Arial" w:hAnsi="Arial"/>
          <w:sz w:val="18"/>
          <w:szCs w:val="18"/>
          <w:color w:val="auto"/>
        </w:rPr>
        <w:t>If any question arises at any meeting as to whether an interest of a Director (other than the Chairman’s interest) shall reasonably be regarded as likely to give rise to a conflict of interest or as to the entitlement of any Director (other than the Chairman) to vote or be counted in a quorum, and such question is not resolved by his voluntarily agreeing to abstain from voting or being counted in the quorum, such question shall be referred to the Chairman of the meeting. The Chairman’s ruling in relation to the Director concerned shall be final and conclusive except in a case where the nature or extent of the interest of the Director concerned (so far as it is known to him) has not been fairly disclosed to the Board.</w:t>
      </w:r>
    </w:p>
    <w:p>
      <w:pPr>
        <w:sectPr>
          <w:pgSz w:w="11900" w:h="16838" w:orient="portrait"/>
          <w:cols w:equalWidth="0" w:num="1">
            <w:col w:w="10860"/>
          </w:cols>
          <w:pgMar w:left="740" w:top="125" w:right="299" w:bottom="0" w:gutter="0" w:footer="0" w:header="0"/>
        </w:sectPr>
      </w:pPr>
    </w:p>
    <w:bookmarkStart w:id="257" w:name="page258"/>
    <w:bookmarkEnd w:id="257"/>
    <w:p>
      <w:pPr>
        <w:spacing w:after="0" w:line="133" w:lineRule="exact"/>
        <w:rPr>
          <w:sz w:val="20"/>
          <w:szCs w:val="20"/>
          <w:color w:val="auto"/>
        </w:rPr>
      </w:pPr>
    </w:p>
    <w:p>
      <w:pPr>
        <w:ind w:left="640" w:hanging="647"/>
        <w:spacing w:after="0" w:line="276" w:lineRule="auto"/>
        <w:tabs>
          <w:tab w:leader="none" w:pos="620" w:val="left"/>
        </w:tabs>
        <w:rPr>
          <w:sz w:val="20"/>
          <w:szCs w:val="20"/>
          <w:color w:val="auto"/>
        </w:rPr>
      </w:pPr>
      <w:r>
        <w:rPr>
          <w:rFonts w:ascii="Arial" w:cs="Arial" w:eastAsia="Arial" w:hAnsi="Arial"/>
          <w:sz w:val="18"/>
          <w:szCs w:val="18"/>
          <w:b w:val="1"/>
          <w:bCs w:val="1"/>
          <w:color w:val="auto"/>
        </w:rPr>
        <w:t>22.18</w:t>
      </w:r>
      <w:r>
        <w:rPr>
          <w:sz w:val="20"/>
          <w:szCs w:val="20"/>
          <w:color w:val="auto"/>
        </w:rPr>
        <w:tab/>
      </w:r>
      <w:r>
        <w:rPr>
          <w:rFonts w:ascii="Arial" w:cs="Arial" w:eastAsia="Arial" w:hAnsi="Arial"/>
          <w:sz w:val="17"/>
          <w:szCs w:val="17"/>
          <w:color w:val="auto"/>
        </w:rPr>
        <w:t>If any question arises at any meeting as to whether an interest of the Chairman shall reasonably be regarded as likely to give rise to a conflict of interest or as to the entitlement of the Chairman to vote or be counted in a quorum, and such question is not resolved by his voluntarily agreeing to abstain from voting or being counted in the quorum, such question shall be decided by resolution of the Directors or committee members present at the meeting (excluding the Chairman), whose majority vote shall be final and conclusive except in a case where the nature or extent of the interest of the Chairman (so far as it is known to him) has not been fairly disclosed to the Board.</w:t>
      </w:r>
    </w:p>
    <w:p>
      <w:pPr>
        <w:spacing w:after="0" w:line="173" w:lineRule="exact"/>
        <w:rPr>
          <w:sz w:val="20"/>
          <w:szCs w:val="20"/>
          <w:color w:val="auto"/>
        </w:rPr>
      </w:pPr>
    </w:p>
    <w:p>
      <w:pPr>
        <w:ind w:left="640" w:right="48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22.19</w:t>
      </w:r>
      <w:r>
        <w:rPr>
          <w:sz w:val="20"/>
          <w:szCs w:val="20"/>
          <w:color w:val="auto"/>
        </w:rPr>
        <w:tab/>
      </w:r>
      <w:r>
        <w:rPr>
          <w:rFonts w:ascii="Arial" w:cs="Arial" w:eastAsia="Arial" w:hAnsi="Arial"/>
          <w:sz w:val="18"/>
          <w:szCs w:val="18"/>
          <w:color w:val="auto"/>
        </w:rPr>
        <w:t>For the purposes of Articles 22.5 to 22.15, in relation to an alternate Director, the interest of his appointor is treated as the interest of the alternate Director in addition to any interest which the alternate Director otherwise has.</w:t>
      </w:r>
    </w:p>
    <w:p>
      <w:pPr>
        <w:spacing w:after="0" w:line="170" w:lineRule="exact"/>
        <w:rPr>
          <w:sz w:val="20"/>
          <w:szCs w:val="20"/>
          <w:color w:val="auto"/>
        </w:rPr>
      </w:pPr>
    </w:p>
    <w:p>
      <w:pPr>
        <w:jc w:val="both"/>
        <w:ind w:left="640" w:right="20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22.20</w:t>
      </w:r>
      <w:r>
        <w:rPr>
          <w:sz w:val="20"/>
          <w:szCs w:val="20"/>
          <w:color w:val="auto"/>
        </w:rPr>
        <w:tab/>
      </w:r>
      <w:r>
        <w:rPr>
          <w:rFonts w:ascii="Arial" w:cs="Arial" w:eastAsia="Arial" w:hAnsi="Arial"/>
          <w:sz w:val="18"/>
          <w:szCs w:val="18"/>
          <w:color w:val="auto"/>
        </w:rPr>
        <w:t>The Company may by ordinary resolution suspend or relax the provisions of Articles 22.5 to 22.15 to any extent. Subject to the Statutes, the Company may by ordinary resolution ratify any transaction or arrangement not properly authorised by reason of a contravention of Articles 22.5 to 22.15.</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22.21</w:t>
      </w:r>
      <w:r>
        <w:rPr>
          <w:sz w:val="20"/>
          <w:szCs w:val="20"/>
          <w:color w:val="auto"/>
        </w:rPr>
        <w:tab/>
      </w:r>
      <w:r>
        <w:rPr>
          <w:rFonts w:ascii="Arial" w:cs="Arial" w:eastAsia="Arial" w:hAnsi="Arial"/>
          <w:sz w:val="16"/>
          <w:szCs w:val="16"/>
          <w:color w:val="auto"/>
        </w:rPr>
        <w:t>Save as herein provided, a Director shall not vote in respect of any contract</w:t>
      </w: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80" w:right="40"/>
        <w:spacing w:after="0" w:line="279" w:lineRule="auto"/>
        <w:rPr>
          <w:sz w:val="20"/>
          <w:szCs w:val="20"/>
          <w:color w:val="auto"/>
        </w:rPr>
      </w:pPr>
      <w:r>
        <w:rPr>
          <w:rFonts w:ascii="Arial" w:cs="Arial" w:eastAsia="Arial" w:hAnsi="Arial"/>
          <w:sz w:val="17"/>
          <w:szCs w:val="17"/>
          <w:color w:val="auto"/>
        </w:rPr>
        <w:t>or arrangement or any other proposal whatsoever in which he has any interest which (together with any interest of any person connected with him) is to his knowledge a material interest otherwise than by virtue of his interests in shares or debentures or other securities of or otherwise through the Company or in respect of which he has any duty which conflicts with his duty to the Company. A Director shall not be counted in the quorum at a meeting in relation to any resolution in respect of which he is debarred from voting.</w:t>
      </w:r>
    </w:p>
    <w:p>
      <w:pPr>
        <w:spacing w:after="0" w:line="167"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22.22</w:t>
      </w:r>
      <w:r>
        <w:rPr>
          <w:sz w:val="20"/>
          <w:szCs w:val="20"/>
          <w:color w:val="auto"/>
        </w:rPr>
        <w:tab/>
      </w:r>
      <w:r>
        <w:rPr>
          <w:rFonts w:ascii="Arial" w:cs="Arial" w:eastAsia="Arial" w:hAnsi="Arial"/>
          <w:sz w:val="18"/>
          <w:szCs w:val="18"/>
          <w:color w:val="auto"/>
        </w:rPr>
        <w:t>A Director shall (in the absence of some other interest than is indicated below) be entitled to vote (and be counted in the quorum) in respect of any resolution concerning any of the following matters namely:</w:t>
      </w:r>
    </w:p>
    <w:p>
      <w:pPr>
        <w:spacing w:after="0" w:line="174" w:lineRule="exact"/>
        <w:rPr>
          <w:sz w:val="20"/>
          <w:szCs w:val="20"/>
          <w:color w:val="auto"/>
        </w:rPr>
      </w:pPr>
    </w:p>
    <w:p>
      <w:pPr>
        <w:ind w:left="1020" w:right="140" w:hanging="385"/>
        <w:spacing w:after="0" w:line="277" w:lineRule="auto"/>
        <w:tabs>
          <w:tab w:leader="none" w:pos="102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him in respect of money lent or obligations incurred by him at the request of or for the benefit of the Company or any of its subsidiaries;</w:t>
      </w:r>
    </w:p>
    <w:p>
      <w:pPr>
        <w:spacing w:after="0" w:line="170" w:lineRule="exact"/>
        <w:rPr>
          <w:rFonts w:ascii="Arial" w:cs="Arial" w:eastAsia="Arial" w:hAnsi="Arial"/>
          <w:sz w:val="18"/>
          <w:szCs w:val="18"/>
          <w:color w:val="auto"/>
        </w:rPr>
      </w:pPr>
    </w:p>
    <w:p>
      <w:pPr>
        <w:ind w:left="1020" w:right="320" w:hanging="385"/>
        <w:spacing w:after="0" w:line="308" w:lineRule="auto"/>
        <w:tabs>
          <w:tab w:leader="none" w:pos="103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giving of any security or indemnity to a third party in respect of a debt or obligation of the Company or any of its subsidiaries for which he himself has assumed responsibility in whole or in part under a guarantee or indemnity or by the giving of security;</w:t>
      </w:r>
    </w:p>
    <w:p>
      <w:pPr>
        <w:spacing w:after="0" w:line="146" w:lineRule="exact"/>
        <w:rPr>
          <w:rFonts w:ascii="Arial" w:cs="Arial" w:eastAsia="Arial" w:hAnsi="Arial"/>
          <w:sz w:val="17"/>
          <w:szCs w:val="17"/>
          <w:color w:val="auto"/>
        </w:rPr>
      </w:pPr>
    </w:p>
    <w:p>
      <w:pPr>
        <w:ind w:left="1020" w:right="620" w:hanging="385"/>
        <w:spacing w:after="0" w:line="264" w:lineRule="auto"/>
        <w:tabs>
          <w:tab w:leader="none" w:pos="103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proposal concerning an offer of shares or debentures or other securities of or by the Company or any of its subsidiaries for subscription or purchase in which offer he is or may be entitled to participate as a holder of securities or in which he is or is to be interested as a participant in the underwriting or sub-underwriting thereof;</w:t>
      </w:r>
    </w:p>
    <w:p>
      <w:pPr>
        <w:spacing w:after="0" w:line="181" w:lineRule="exact"/>
        <w:rPr>
          <w:rFonts w:ascii="Arial" w:cs="Arial" w:eastAsia="Arial" w:hAnsi="Arial"/>
          <w:sz w:val="18"/>
          <w:szCs w:val="18"/>
          <w:color w:val="auto"/>
        </w:rPr>
      </w:pPr>
    </w:p>
    <w:p>
      <w:pPr>
        <w:ind w:left="1020" w:right="60" w:hanging="385"/>
        <w:spacing w:after="0" w:line="297" w:lineRule="auto"/>
        <w:tabs>
          <w:tab w:leader="none" w:pos="103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any proposal concerning any other company in which he is interested (as defined in the Statutes) directly or indirectly and whether as an officer or shareholder or otherwise howsoever: provided that he (together with any person connected with him within the meaning of Section 252 of the 2006 Act) is not the holder or beneficially interested in 1% or more of any class of the equity share capital of such company (or of any third company through which his interest is derived) or of the voting rights available to members of the relevant company (any such interest being deemed for the purpose of this Article to be a material interest in all circumstances);</w:t>
      </w:r>
    </w:p>
    <w:p>
      <w:pPr>
        <w:spacing w:after="0" w:line="158" w:lineRule="exact"/>
        <w:rPr>
          <w:rFonts w:ascii="Arial" w:cs="Arial" w:eastAsia="Arial" w:hAnsi="Arial"/>
          <w:sz w:val="16"/>
          <w:szCs w:val="16"/>
          <w:color w:val="auto"/>
        </w:rPr>
      </w:pPr>
    </w:p>
    <w:p>
      <w:pPr>
        <w:ind w:left="1020" w:right="160" w:hanging="385"/>
        <w:spacing w:after="0" w:line="259" w:lineRule="auto"/>
        <w:tabs>
          <w:tab w:leader="none" w:pos="103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death or disability benefits scheme or employees’ share scheme under which he may benefit and which has been approved by or is subject to and conditional upon approval by HM Revenue &amp; Customs for taxation purposes and which does not award him any privilege or benefit not awarded to the employee to whom the scheme relates;</w:t>
      </w:r>
    </w:p>
    <w:p>
      <w:pPr>
        <w:spacing w:after="0" w:line="186" w:lineRule="exact"/>
        <w:rPr>
          <w:rFonts w:ascii="Arial" w:cs="Arial" w:eastAsia="Arial" w:hAnsi="Arial"/>
          <w:sz w:val="18"/>
          <w:szCs w:val="18"/>
          <w:color w:val="auto"/>
        </w:rPr>
      </w:pPr>
    </w:p>
    <w:p>
      <w:pPr>
        <w:jc w:val="both"/>
        <w:ind w:left="1020" w:right="60" w:hanging="385"/>
        <w:spacing w:after="0" w:line="264" w:lineRule="auto"/>
        <w:tabs>
          <w:tab w:leader="none" w:pos="103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contract arrangement or proposal for the benefit of employees of the Group under which the Director benefits in a similar manner as the employees and does not accord to any Director as such any privilege or advantage not generally accorded to the employees to which such contract arrangement or proposal relates;</w:t>
      </w:r>
    </w:p>
    <w:p>
      <w:pPr>
        <w:spacing w:after="0" w:line="181" w:lineRule="exact"/>
        <w:rPr>
          <w:rFonts w:ascii="Arial" w:cs="Arial" w:eastAsia="Arial" w:hAnsi="Arial"/>
          <w:sz w:val="18"/>
          <w:szCs w:val="18"/>
          <w:color w:val="auto"/>
        </w:rPr>
      </w:pPr>
    </w:p>
    <w:p>
      <w:pPr>
        <w:ind w:left="1020" w:right="160" w:hanging="385"/>
        <w:spacing w:after="0" w:line="264" w:lineRule="auto"/>
        <w:tabs>
          <w:tab w:leader="none" w:pos="10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 insurance arrangement which subject to the provisions of the Statutes the Company proposes to maintain or purchase for the benefit of a Director or for the benefit of any persons including Directors against liabilities incurred in connection with the discharge of that Director’s duties or exercise of his powers in relation to his duties in respect of the Company.</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22.23</w:t>
      </w:r>
      <w:r>
        <w:rPr>
          <w:sz w:val="20"/>
          <w:szCs w:val="20"/>
          <w:color w:val="auto"/>
        </w:rPr>
        <w:tab/>
      </w:r>
      <w:r>
        <w:rPr>
          <w:rFonts w:ascii="Arial" w:cs="Arial" w:eastAsia="Arial" w:hAnsi="Arial"/>
          <w:sz w:val="16"/>
          <w:szCs w:val="16"/>
          <w:color w:val="auto"/>
        </w:rPr>
        <w:t>Where proposals are under consideration concerning the appointment</w:t>
      </w: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220"/>
        <w:spacing w:after="0" w:line="259" w:lineRule="auto"/>
        <w:rPr>
          <w:sz w:val="20"/>
          <w:szCs w:val="20"/>
          <w:color w:val="auto"/>
        </w:rPr>
      </w:pPr>
      <w:r>
        <w:rPr>
          <w:rFonts w:ascii="Arial" w:cs="Arial" w:eastAsia="Arial" w:hAnsi="Arial"/>
          <w:sz w:val="18"/>
          <w:szCs w:val="18"/>
          <w:color w:val="auto"/>
        </w:rPr>
        <w:t>(including fixing or varying the terms of appointment) of two or more Directors to offices or employments with the Company or any company in which the Company is interested, such proposals may be divided and considered in relation to each Director separately and in such cases each of the Directors concerned (if not debarred from voting under Article 22.21) shall be entitled to vote (and be counted in the quorum) in respect of each resolution except that concerning his own appointment.</w:t>
      </w:r>
    </w:p>
    <w:p>
      <w:pPr>
        <w:spacing w:after="0" w:line="183" w:lineRule="exact"/>
        <w:rPr>
          <w:sz w:val="20"/>
          <w:szCs w:val="20"/>
          <w:color w:val="auto"/>
        </w:rPr>
      </w:pPr>
    </w:p>
    <w:p>
      <w:pPr>
        <w:ind w:left="640" w:hanging="647"/>
        <w:spacing w:after="0" w:line="255" w:lineRule="auto"/>
        <w:tabs>
          <w:tab w:leader="none" w:pos="620" w:val="left"/>
        </w:tabs>
        <w:rPr>
          <w:sz w:val="20"/>
          <w:szCs w:val="20"/>
          <w:color w:val="auto"/>
        </w:rPr>
      </w:pPr>
      <w:r>
        <w:rPr>
          <w:rFonts w:ascii="Arial" w:cs="Arial" w:eastAsia="Arial" w:hAnsi="Arial"/>
          <w:sz w:val="18"/>
          <w:szCs w:val="18"/>
          <w:b w:val="1"/>
          <w:bCs w:val="1"/>
          <w:color w:val="auto"/>
        </w:rPr>
        <w:t>22.24</w:t>
      </w:r>
      <w:r>
        <w:rPr>
          <w:sz w:val="20"/>
          <w:szCs w:val="20"/>
          <w:color w:val="auto"/>
        </w:rPr>
        <w:tab/>
      </w:r>
      <w:r>
        <w:rPr>
          <w:rFonts w:ascii="Arial" w:cs="Arial" w:eastAsia="Arial" w:hAnsi="Arial"/>
          <w:sz w:val="18"/>
          <w:szCs w:val="18"/>
          <w:color w:val="auto"/>
        </w:rPr>
        <w:t>If any question shall arise at any meeting as to the materiality of a Director’s interest or as to the entitlement of any Director to vote and such question is not resolved by his voluntarily agreeing to abstain from voting, such question shall be determined by a majority of votes of the remaining Directors present at the meeting and in the case of an equality of votes the Chairman (unless he be the Director the materiality of whose interest or the entitlement of whom to vote shall be in issue) shall have a second or casting vote and their ruling in relation to any other Director shall be final and conclusive except in a case where the nature or extent of the interests of the Director concerned have not been fairly disclosed.</w:t>
      </w:r>
    </w:p>
    <w:p>
      <w:pPr>
        <w:spacing w:after="0" w:line="193" w:lineRule="exact"/>
        <w:rPr>
          <w:sz w:val="20"/>
          <w:szCs w:val="20"/>
          <w:color w:val="auto"/>
        </w:rPr>
      </w:pPr>
    </w:p>
    <w:p>
      <w:pPr>
        <w:ind w:left="640" w:right="320" w:hanging="647"/>
        <w:spacing w:after="0" w:line="342" w:lineRule="auto"/>
        <w:tabs>
          <w:tab w:leader="none" w:pos="620" w:val="left"/>
        </w:tabs>
        <w:rPr>
          <w:sz w:val="20"/>
          <w:szCs w:val="20"/>
          <w:color w:val="auto"/>
        </w:rPr>
      </w:pPr>
      <w:r>
        <w:rPr>
          <w:rFonts w:ascii="Arial" w:cs="Arial" w:eastAsia="Arial" w:hAnsi="Arial"/>
          <w:sz w:val="18"/>
          <w:szCs w:val="18"/>
          <w:b w:val="1"/>
          <w:bCs w:val="1"/>
          <w:color w:val="auto"/>
        </w:rPr>
        <w:t>22.25</w:t>
      </w:r>
      <w:r>
        <w:rPr>
          <w:sz w:val="20"/>
          <w:szCs w:val="20"/>
          <w:color w:val="auto"/>
        </w:rPr>
        <w:tab/>
      </w:r>
      <w:r>
        <w:rPr>
          <w:rFonts w:ascii="Arial" w:cs="Arial" w:eastAsia="Arial" w:hAnsi="Arial"/>
          <w:sz w:val="16"/>
          <w:szCs w:val="16"/>
          <w:color w:val="auto"/>
        </w:rPr>
        <w:t>The Board may exercise the voting power conferred by the shares in any company held or owned by the Company in such manner in all respects as it thinks fit (including the exercise thereof in favour of any resolution appointing the Directors or any of them directors of such</w:t>
      </w:r>
    </w:p>
    <w:p>
      <w:pPr>
        <w:sectPr>
          <w:pgSz w:w="11900" w:h="16971" w:orient="portrait"/>
          <w:cols w:equalWidth="0" w:num="1">
            <w:col w:w="10920"/>
          </w:cols>
          <w:pgMar w:left="740" w:top="121" w:right="239" w:bottom="0" w:gutter="0" w:footer="0" w:header="0"/>
        </w:sectPr>
      </w:pPr>
    </w:p>
    <w:bookmarkStart w:id="258" w:name="page259"/>
    <w:bookmarkEnd w:id="258"/>
    <w:p>
      <w:pPr>
        <w:spacing w:after="0" w:line="11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company, or voting or providing for the payment of remuneration to the directors of such company).</w:t>
      </w:r>
    </w:p>
    <w:p>
      <w:pPr>
        <w:spacing w:after="0" w:line="221" w:lineRule="exact"/>
        <w:rPr>
          <w:sz w:val="20"/>
          <w:szCs w:val="20"/>
          <w:color w:val="auto"/>
        </w:rPr>
      </w:pPr>
    </w:p>
    <w:p>
      <w:pPr>
        <w:ind w:left="1020" w:right="560" w:hanging="647"/>
        <w:spacing w:after="0" w:line="308" w:lineRule="auto"/>
        <w:tabs>
          <w:tab w:leader="none" w:pos="1000" w:val="left"/>
        </w:tabs>
        <w:rPr>
          <w:sz w:val="20"/>
          <w:szCs w:val="20"/>
          <w:color w:val="auto"/>
        </w:rPr>
      </w:pPr>
      <w:r>
        <w:rPr>
          <w:rFonts w:ascii="Arial" w:cs="Arial" w:eastAsia="Arial" w:hAnsi="Arial"/>
          <w:sz w:val="18"/>
          <w:szCs w:val="18"/>
          <w:b w:val="1"/>
          <w:bCs w:val="1"/>
          <w:color w:val="auto"/>
        </w:rPr>
        <w:t>22.26</w:t>
      </w:r>
      <w:r>
        <w:rPr>
          <w:sz w:val="20"/>
          <w:szCs w:val="20"/>
          <w:color w:val="auto"/>
        </w:rPr>
        <w:tab/>
      </w:r>
      <w:r>
        <w:rPr>
          <w:rFonts w:ascii="Arial" w:cs="Arial" w:eastAsia="Arial" w:hAnsi="Arial"/>
          <w:sz w:val="17"/>
          <w:szCs w:val="17"/>
          <w:color w:val="auto"/>
        </w:rPr>
        <w:t>Subject to the Statutes, the Company may by ordinary resolution suspend or relax to any extent, in respect of any particular matter, any provision of these Articles prohibiting a Director from voting at a meeting of the Board or of a committee of the Board.</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MANAGING AND OTHER EXECUTIVE DIRECTORS</w:t>
      </w:r>
    </w:p>
    <w:p>
      <w:pPr>
        <w:spacing w:after="0" w:line="225" w:lineRule="exact"/>
        <w:rPr>
          <w:sz w:val="20"/>
          <w:szCs w:val="20"/>
          <w:color w:val="auto"/>
        </w:rPr>
      </w:pPr>
    </w:p>
    <w:p>
      <w:pPr>
        <w:ind w:left="102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Subject to the Statutes, the Board may from time to time appoint one or more of its body to be the holder of any executive office, including the office of Managing or Joint or Assistant Managing Director, on such terms and for such period as it may determine.</w:t>
      </w:r>
    </w:p>
    <w:p>
      <w:pPr>
        <w:spacing w:after="0" w:line="170" w:lineRule="exact"/>
        <w:rPr>
          <w:sz w:val="20"/>
          <w:szCs w:val="20"/>
          <w:color w:val="auto"/>
        </w:rPr>
      </w:pPr>
    </w:p>
    <w:p>
      <w:pPr>
        <w:jc w:val="both"/>
        <w:ind w:left="1020" w:right="4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color w:val="auto"/>
        </w:rPr>
        <w:t>The appointment of any Director to any executive office shall be capable of being terminated by the Board at any time, unless the contract or resolution under which he holds office shall expressly state otherwise, but without prejudice to any claim he may have for damages for breach of any contract of service between him and the Company.</w:t>
      </w:r>
    </w:p>
    <w:p>
      <w:pPr>
        <w:spacing w:after="0" w:line="181" w:lineRule="exact"/>
        <w:rPr>
          <w:sz w:val="20"/>
          <w:szCs w:val="20"/>
          <w:color w:val="auto"/>
        </w:rPr>
      </w:pPr>
    </w:p>
    <w:p>
      <w:pPr>
        <w:ind w:left="102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color w:val="auto"/>
        </w:rPr>
        <w:t>A Director holding any executive office shall receive such remuneration, whether in addition to or in substitution for his ordinary remuneration as a Director and whether by way of salary, commission, participation in profits or otherwise as the Remuneration Committee (if established) or the Board (if no Remuneration Committee is in existence at the time) may determine.</w:t>
      </w:r>
    </w:p>
    <w:p>
      <w:pPr>
        <w:spacing w:after="0" w:line="181" w:lineRule="exact"/>
        <w:rPr>
          <w:sz w:val="20"/>
          <w:szCs w:val="20"/>
          <w:color w:val="auto"/>
        </w:rPr>
      </w:pPr>
    </w:p>
    <w:p>
      <w:pPr>
        <w:ind w:left="1020" w:right="6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The Board may entrust to and confer upon a Director holding any executive office any of the powers exercisable by the Board upon such terms and conditions and with such restrictions as it thinks fit, and either collaterally with or to the exclusion of its own powers and may from time to time revoke, withdraw, alter or vary all or any of such powers.</w:t>
      </w:r>
    </w:p>
    <w:p>
      <w:pPr>
        <w:spacing w:after="0" w:line="181" w:lineRule="exact"/>
        <w:rPr>
          <w:sz w:val="20"/>
          <w:szCs w:val="20"/>
          <w:color w:val="auto"/>
        </w:rPr>
      </w:pPr>
    </w:p>
    <w:p>
      <w:pPr>
        <w:ind w:left="1020" w:right="18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8"/>
          <w:szCs w:val="18"/>
          <w:color w:val="auto"/>
        </w:rPr>
        <w:t>The Company shall not (and the Board shall exercise all voting and other rights and power of control exercisable by the Company in respect of its subsidiary companies so as to secure that none of its subsidiary companies shall) grant any contract of service to any such Managing Director or such</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60" w:right="160"/>
        <w:spacing w:after="0" w:line="264" w:lineRule="auto"/>
        <w:rPr>
          <w:sz w:val="20"/>
          <w:szCs w:val="20"/>
          <w:color w:val="auto"/>
        </w:rPr>
      </w:pPr>
      <w:r>
        <w:rPr>
          <w:rFonts w:ascii="Arial" w:cs="Arial" w:eastAsia="Arial" w:hAnsi="Arial"/>
          <w:sz w:val="18"/>
          <w:szCs w:val="18"/>
          <w:color w:val="auto"/>
        </w:rPr>
        <w:t>other officer as is referred to in Article 23.1 or any proposed Managing Director or such other officer as aforesaid which is or may be longer than 2 years in accordance with Section 188 of the 2006 Act except with the previous sanction of the Company in General Meeting given in accordance with that Section.</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POWERS OF DIRECTORS</w:t>
      </w:r>
    </w:p>
    <w:p>
      <w:pPr>
        <w:spacing w:after="0" w:line="225" w:lineRule="exact"/>
        <w:rPr>
          <w:sz w:val="20"/>
          <w:szCs w:val="20"/>
          <w:color w:val="auto"/>
        </w:rPr>
      </w:pPr>
    </w:p>
    <w:p>
      <w:pPr>
        <w:ind w:left="1020" w:right="180" w:hanging="647"/>
        <w:spacing w:after="0" w:line="272" w:lineRule="auto"/>
        <w:tabs>
          <w:tab w:leader="none" w:pos="100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7"/>
          <w:szCs w:val="17"/>
          <w:color w:val="auto"/>
        </w:rPr>
        <w:t>The business of the Company shall be managed by the Board, which may exercise all such powers of the Company and do on behalf of the Company all such acts as may be exercisable and done by the Company, and as are not by the Statutes or by these Articles required to be exercised or done by the Company in General Meeting, subject nevertheless to any regulations of these Articles, to the provisions of the Statutes, and to such regulations being not inconsistent with the aforesaid regulations or provisions as may be prescribed by the Company in General Meeting but no regulation made by the Company in General Meeting shall invalidate any prior act of the Board which would have been valid if such regulation had not been made. The general powers given by this Article shall not be limited or restricted by any special authority or power given to the Directors by any other Article.</w:t>
      </w:r>
    </w:p>
    <w:p>
      <w:pPr>
        <w:spacing w:after="0" w:line="178" w:lineRule="exact"/>
        <w:rPr>
          <w:sz w:val="20"/>
          <w:szCs w:val="20"/>
          <w:color w:val="auto"/>
        </w:rPr>
      </w:pPr>
    </w:p>
    <w:p>
      <w:pPr>
        <w:ind w:left="1020" w:right="6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8"/>
          <w:szCs w:val="18"/>
          <w:color w:val="auto"/>
        </w:rPr>
        <w:t>The Board may delegate any of its powers, authorities and discretions (with power to sub-delegate) for such time on such terms and subject to such conditions as it thinks fit to any committee consisting of two or more Directors and (if thought fit) one or more other persons, provided that:</w:t>
      </w:r>
    </w:p>
    <w:p>
      <w:pPr>
        <w:spacing w:after="0" w:line="185" w:lineRule="exact"/>
        <w:rPr>
          <w:sz w:val="20"/>
          <w:szCs w:val="20"/>
          <w:color w:val="auto"/>
        </w:rPr>
      </w:pPr>
    </w:p>
    <w:p>
      <w:pPr>
        <w:ind w:left="1400" w:hanging="385"/>
        <w:spacing w:after="0"/>
        <w:tabs>
          <w:tab w:leader="none" w:pos="14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majority of the members of a committee shall be Directors; and</w:t>
      </w:r>
    </w:p>
    <w:p>
      <w:pPr>
        <w:spacing w:after="0" w:line="225" w:lineRule="exact"/>
        <w:rPr>
          <w:rFonts w:ascii="Arial" w:cs="Arial" w:eastAsia="Arial" w:hAnsi="Arial"/>
          <w:sz w:val="18"/>
          <w:szCs w:val="18"/>
          <w:color w:val="auto"/>
        </w:rPr>
      </w:pPr>
    </w:p>
    <w:p>
      <w:pPr>
        <w:ind w:left="1420" w:hanging="405"/>
        <w:spacing w:after="0"/>
        <w:tabs>
          <w:tab w:leader="none" w:pos="14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no resolution of a committee shall be effective unless a majority of those present when it is passed are Directors or alternate Directors.</w:t>
      </w:r>
    </w:p>
    <w:p>
      <w:pPr>
        <w:spacing w:after="0" w:line="244" w:lineRule="exact"/>
        <w:rPr>
          <w:sz w:val="20"/>
          <w:szCs w:val="20"/>
          <w:color w:val="auto"/>
        </w:rPr>
      </w:pPr>
    </w:p>
    <w:p>
      <w:pPr>
        <w:ind w:left="1020" w:right="20" w:hanging="647"/>
        <w:spacing w:after="0" w:line="302" w:lineRule="auto"/>
        <w:tabs>
          <w:tab w:leader="none" w:pos="100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color w:val="auto"/>
        </w:rPr>
        <w:t>The Board may confer such powers either collaterally with, or to the exclusion of and in substitution for, all or any of the powers of the Board in that respect and may from time to time revoke, withdraw, alter or vary any of such powers and discharge any such committee in whole or in part. Insofar as any power, authority or discretion is so delegated, any reference in these Articles to the exercise by the Board of such power, authority or discretion shall be construed as if it were a reference to the exercise of such power, authority or discretion by such committee.</w:t>
      </w:r>
    </w:p>
    <w:p>
      <w:pPr>
        <w:spacing w:after="0" w:line="154" w:lineRule="exact"/>
        <w:rPr>
          <w:sz w:val="20"/>
          <w:szCs w:val="20"/>
          <w:color w:val="auto"/>
        </w:rPr>
      </w:pPr>
    </w:p>
    <w:p>
      <w:pPr>
        <w:jc w:val="both"/>
        <w:ind w:left="1020" w:right="380" w:hanging="647"/>
        <w:spacing w:after="0" w:line="286" w:lineRule="auto"/>
        <w:tabs>
          <w:tab w:leader="none" w:pos="100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color w:val="auto"/>
        </w:rPr>
        <w:t>Subject to a committee being quorate pursuant to Article 24.2(b), the meetings and proceedings of a committee consisting of two or more persons shall be governed by the provisions of these Articles regulating the meetings and proceedings of the Board so far as the same are applicable and are not superseded by any regulations made by the Board pursuant to Article 24.2.</w:t>
      </w:r>
    </w:p>
    <w:p>
      <w:pPr>
        <w:spacing w:after="0" w:line="166" w:lineRule="exact"/>
        <w:rPr>
          <w:sz w:val="20"/>
          <w:szCs w:val="20"/>
          <w:color w:val="auto"/>
        </w:rPr>
      </w:pPr>
    </w:p>
    <w:p>
      <w:pPr>
        <w:ind w:left="1020" w:right="120" w:hanging="647"/>
        <w:spacing w:after="0" w:line="291" w:lineRule="auto"/>
        <w:tabs>
          <w:tab w:leader="none" w:pos="100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color w:val="auto"/>
        </w:rPr>
        <w:t>The Board may establish any local boards or agencies for managing any of the affairs of the Company, and may appoint any persons to be members of such local boards or any managers or agents and may fix their remuneration, and may delegate to any local board, manager or agent any of the powers, authorities and discretions vested in the Board, with power to sub-delegate, and may authorise the members of any local board, or any of them, to fill any vacancies therein, and to act notwithstanding vacancies, and any such appointment or delegation may be made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 and no person so appointed shall for any purpose be deemed to be a Director of the Company.</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020" w:right="60" w:hanging="647"/>
        <w:spacing w:after="0" w:line="312" w:lineRule="auto"/>
        <w:tabs>
          <w:tab w:leader="none" w:pos="100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color w:val="auto"/>
        </w:rPr>
        <w:t>The Board may from time to time and at any time by power of attorney under the Seal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w:t>
      </w:r>
    </w:p>
    <w:p>
      <w:pPr>
        <w:sectPr>
          <w:pgSz w:w="11900" w:h="16949" w:orient="portrait"/>
          <w:cols w:equalWidth="0" w:num="1">
            <w:col w:w="11300"/>
          </w:cols>
          <w:pgMar w:left="360" w:top="126" w:right="239" w:bottom="0" w:gutter="0" w:footer="0" w:header="0"/>
        </w:sectPr>
      </w:pPr>
    </w:p>
    <w:bookmarkStart w:id="259" w:name="page260"/>
    <w:bookmarkEnd w:id="259"/>
    <w:p>
      <w:pPr>
        <w:ind w:left="1024" w:right="180"/>
        <w:spacing w:after="0" w:line="264" w:lineRule="auto"/>
        <w:rPr>
          <w:sz w:val="20"/>
          <w:szCs w:val="20"/>
          <w:color w:val="auto"/>
        </w:rPr>
      </w:pPr>
      <w:r>
        <w:rPr>
          <w:rFonts w:ascii="Arial" w:cs="Arial" w:eastAsia="Arial" w:hAnsi="Arial"/>
          <w:sz w:val="18"/>
          <w:szCs w:val="18"/>
          <w:color w:val="auto"/>
        </w:rPr>
        <w:t>period and subject to such conditions as it may think fit and any such powers of attorney may contain such provisions whether for the protection and conveniences of persons dealing with any such attorney or otherwise to sub-delegate all or any of the powers, authorities and discretions vested in him.</w:t>
      </w:r>
    </w:p>
    <w:p>
      <w:pPr>
        <w:spacing w:after="0" w:line="177" w:lineRule="exact"/>
        <w:rPr>
          <w:sz w:val="20"/>
          <w:szCs w:val="20"/>
          <w:color w:val="auto"/>
        </w:rPr>
      </w:pPr>
    </w:p>
    <w:p>
      <w:pPr>
        <w:jc w:val="both"/>
        <w:ind w:left="1024" w:right="12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8"/>
          <w:szCs w:val="18"/>
          <w:color w:val="auto"/>
        </w:rPr>
        <w:t>The Company or the Board on behalf of the Company may exercise all the powers of Section 49 of the 2006 Act, relating to official seals for use abroad, and any such seal shall be affixed by the authority and in the presence of, and the instrument sealed therewith shall be signed by, such persons as the Board shall from time to time by writing under the Seal appoint.</w:t>
      </w:r>
    </w:p>
    <w:p>
      <w:pPr>
        <w:spacing w:after="0" w:line="181" w:lineRule="exact"/>
        <w:rPr>
          <w:sz w:val="20"/>
          <w:szCs w:val="20"/>
          <w:color w:val="auto"/>
        </w:rPr>
      </w:pPr>
    </w:p>
    <w:p>
      <w:pPr>
        <w:ind w:left="1024" w:right="40" w:hanging="647"/>
        <w:spacing w:after="0" w:line="286" w:lineRule="auto"/>
        <w:tabs>
          <w:tab w:leader="none" w:pos="1004"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color w:val="auto"/>
        </w:rPr>
        <w:t>The Board may establish, maintain, participate in or contribute to or procure the establishment, maintenance of, participation in or contribution to any pension, superannuation, benevolent or life assurance fund, scheme or arrangement (whether contributory or otherwise) for the benefit of, and give or procure the giving of donations, gratuities, pensions, allowances, benefits and emoluments to, any persons who are or were at any time in the employment or service of the Company or any of its predecessors in business or of any company which is a holding company or a subsidiary of the Company or who may be or have been Directors or officers of the Company or of any such other company as aforesaid and who hold or have held executive positions or agreements for service with the Company or any such other company, and the spouses, widows or widowers, families and dependants of any such persons. The Board may also establish, subsidise and subscribe to any institutions, associations, societies, clubs or funds calculated to be for the benefit of or to advance the interests and well-being of the Company or of any such other company as aforesaid, or of any such person as aforesaid, and make payments for or towards the insurance of any such persons as aforesaid and subscribe or guarantee money for charitable or benevolent objects, or for any exhibition or for any public, general or useful object, and do any of the matters aforesaid either alone or in conjunction with any such other company as aforesaid. Any Director who holds or has held any such executive position or agreement for service shall be entitled to participate in and retain for his own benefit any such donations, gratuity, pension, allowance, benefit or emolument.</w:t>
      </w:r>
    </w:p>
    <w:p>
      <w:pPr>
        <w:spacing w:after="0" w:line="175" w:lineRule="exact"/>
        <w:rPr>
          <w:sz w:val="20"/>
          <w:szCs w:val="20"/>
          <w:color w:val="auto"/>
        </w:rPr>
      </w:pPr>
    </w:p>
    <w:p>
      <w:pPr>
        <w:ind w:left="1024" w:hanging="647"/>
        <w:spacing w:after="0" w:line="270" w:lineRule="auto"/>
        <w:tabs>
          <w:tab w:leader="none" w:pos="1004"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7"/>
          <w:szCs w:val="17"/>
          <w:color w:val="auto"/>
        </w:rPr>
        <w:t>The Board may also establish and maintain any employees’ share scheme share option or share incentive scheme approved by ordinary resolution whereby selected employees of the Company or of any company which is a subsidiary of the Company are given the opportunity of acquiring shares in the capital of the Company on the terms and subject to the conditions set out in such scheme and establish and (if any such scheme so provides) contribute to any scheme for the purchase by or transfer allotment or issue to trustees of shares in the Company or its holding company to be held for the benefit of employees (including Directors and officers) of the Company and subject to the Statutes lend money to such trustees or employees to enable them to purchase such shares provided that if any shares are to be issued to employees or trustees under the provisions of any such scheme pursuant to which the rights attaching to such shares shall be altered or varied then any such scheme shall be approved by special resolution and these Articles shall be deemed to be altered so far as appropriate by the special resolution approving such scheme.</w:t>
      </w:r>
    </w:p>
    <w:p>
      <w:pPr>
        <w:spacing w:after="0" w:line="182" w:lineRule="exact"/>
        <w:rPr>
          <w:sz w:val="20"/>
          <w:szCs w:val="20"/>
          <w:color w:val="auto"/>
        </w:rPr>
      </w:pPr>
    </w:p>
    <w:p>
      <w:pPr>
        <w:ind w:left="384"/>
        <w:spacing w:after="0"/>
        <w:tabs>
          <w:tab w:leader="none" w:pos="1004" w:val="left"/>
        </w:tabs>
        <w:rPr>
          <w:sz w:val="20"/>
          <w:szCs w:val="20"/>
          <w:color w:val="auto"/>
        </w:rPr>
      </w:pPr>
      <w:r>
        <w:rPr>
          <w:rFonts w:ascii="Arial" w:cs="Arial" w:eastAsia="Arial" w:hAnsi="Arial"/>
          <w:sz w:val="18"/>
          <w:szCs w:val="18"/>
          <w:b w:val="1"/>
          <w:bCs w:val="1"/>
          <w:color w:val="auto"/>
        </w:rPr>
        <w:t>24.10</w:t>
      </w:r>
      <w:r>
        <w:rPr>
          <w:sz w:val="20"/>
          <w:szCs w:val="20"/>
          <w:color w:val="auto"/>
        </w:rPr>
        <w:tab/>
      </w:r>
      <w:r>
        <w:rPr>
          <w:rFonts w:ascii="Arial" w:cs="Arial" w:eastAsia="Arial" w:hAnsi="Arial"/>
          <w:sz w:val="16"/>
          <w:szCs w:val="16"/>
          <w:color w:val="auto"/>
        </w:rPr>
        <w:t>All cheques, promissory notes, drafts, bills of exchange and other negotiable</w:t>
      </w:r>
    </w:p>
    <w:p>
      <w:pPr>
        <w:spacing w:after="0" w:line="229"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4" w:right="160"/>
        <w:spacing w:after="0" w:line="277" w:lineRule="auto"/>
        <w:rPr>
          <w:sz w:val="20"/>
          <w:szCs w:val="20"/>
          <w:color w:val="auto"/>
        </w:rPr>
      </w:pPr>
      <w:r>
        <w:rPr>
          <w:rFonts w:ascii="Arial" w:cs="Arial" w:eastAsia="Arial" w:hAnsi="Arial"/>
          <w:sz w:val="18"/>
          <w:szCs w:val="18"/>
          <w:color w:val="auto"/>
        </w:rPr>
        <w:t>instruments and all receipts for moneys paid to the Company, shall be signed, drawn, accepted, endorsed, or otherwise executed, as the case may be, in such manner as the Board shall from time to time by resolution determine.</w:t>
      </w:r>
    </w:p>
    <w:p>
      <w:pPr>
        <w:spacing w:after="0" w:line="16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POWERS OF BORROWING AND MORTGAGING</w:t>
      </w:r>
    </w:p>
    <w:p>
      <w:pPr>
        <w:spacing w:after="0" w:line="225" w:lineRule="exact"/>
        <w:rPr>
          <w:sz w:val="20"/>
          <w:szCs w:val="20"/>
          <w:color w:val="auto"/>
        </w:rPr>
      </w:pPr>
    </w:p>
    <w:p>
      <w:pPr>
        <w:jc w:val="both"/>
        <w:ind w:left="1024" w:right="220" w:hanging="647"/>
        <w:spacing w:after="0" w:line="264" w:lineRule="auto"/>
        <w:tabs>
          <w:tab w:leader="none" w:pos="1004"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8"/>
          <w:szCs w:val="18"/>
          <w:color w:val="auto"/>
        </w:rPr>
        <w:t>The Board may exercise all the powers of the Company to borrow money, and to mortgage or charge all or part of its undertaking, property and assets both present and future, including uncalled capital, and to issue debentures, and other securities, whether outright or as collateral security for any debt, liability or obligation of the Company or of any third party.</w:t>
      </w:r>
    </w:p>
    <w:p>
      <w:pPr>
        <w:spacing w:after="0" w:line="181" w:lineRule="exact"/>
        <w:rPr>
          <w:sz w:val="20"/>
          <w:szCs w:val="20"/>
          <w:color w:val="auto"/>
        </w:rPr>
      </w:pPr>
    </w:p>
    <w:p>
      <w:pPr>
        <w:ind w:left="1024" w:right="140" w:hanging="647"/>
        <w:spacing w:after="0" w:line="257" w:lineRule="auto"/>
        <w:tabs>
          <w:tab w:leader="none" w:pos="1004"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8"/>
          <w:szCs w:val="18"/>
          <w:color w:val="auto"/>
        </w:rPr>
        <w:t>The Board may mortgage or charge all or any part of the Company’s undertaking, property and uncalled capital and may issue or sell any bonds, loan notes, debentures or other securities whatsoever for such purposes and upon such terms as to time of repayment, rate of interest, price of issue or sale, payment of premium or bonus upon redemption or repayment or otherwise as it may think proper including a right for the holders of bonds, loan notes, debentures or other securities to exchange the same for shares in the Company of any class authorised to be issued.</w:t>
      </w:r>
    </w:p>
    <w:p>
      <w:pPr>
        <w:spacing w:after="0" w:line="188" w:lineRule="exact"/>
        <w:rPr>
          <w:sz w:val="20"/>
          <w:szCs w:val="20"/>
          <w:color w:val="auto"/>
        </w:rPr>
      </w:pPr>
    </w:p>
    <w:p>
      <w:pPr>
        <w:ind w:left="644" w:hanging="644"/>
        <w:spacing w:after="0"/>
        <w:tabs>
          <w:tab w:leader="none" w:pos="64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ROTATION, RETIREMENT AND REMOVAL OF DIRECTORS</w:t>
      </w:r>
    </w:p>
    <w:p>
      <w:pPr>
        <w:spacing w:after="0" w:line="225" w:lineRule="exact"/>
        <w:rPr>
          <w:rFonts w:ascii="Arial" w:cs="Arial" w:eastAsia="Arial" w:hAnsi="Arial"/>
          <w:sz w:val="18"/>
          <w:szCs w:val="18"/>
          <w:b w:val="1"/>
          <w:bCs w:val="1"/>
          <w:color w:val="auto"/>
        </w:rPr>
      </w:pPr>
    </w:p>
    <w:p>
      <w:pPr>
        <w:ind w:left="38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26.1</w:t>
      </w:r>
      <w:r>
        <w:rPr>
          <w:rFonts w:ascii="Arial" w:cs="Arial" w:eastAsia="Arial" w:hAnsi="Arial"/>
          <w:sz w:val="16"/>
          <w:szCs w:val="16"/>
          <w:color w:val="auto"/>
        </w:rPr>
        <w:t>The office of a Director shall be vacated if:</w:t>
      </w:r>
    </w:p>
    <w:p>
      <w:pPr>
        <w:spacing w:after="0" w:line="229" w:lineRule="exact"/>
        <w:rPr>
          <w:rFonts w:ascii="Arial" w:cs="Arial" w:eastAsia="Arial" w:hAnsi="Arial"/>
          <w:sz w:val="18"/>
          <w:szCs w:val="18"/>
          <w:b w:val="1"/>
          <w:bCs w:val="1"/>
          <w:color w:val="auto"/>
        </w:rPr>
      </w:pPr>
    </w:p>
    <w:p>
      <w:pPr>
        <w:ind w:left="1404" w:hanging="385"/>
        <w:spacing w:after="0"/>
        <w:tabs>
          <w:tab w:leader="none" w:pos="1404" w:val="left"/>
        </w:tabs>
        <w:numPr>
          <w:ilvl w:val="1"/>
          <w:numId w:val="225"/>
        </w:numPr>
        <w:rPr>
          <w:rFonts w:ascii="Arial" w:cs="Arial" w:eastAsia="Arial" w:hAnsi="Arial"/>
          <w:sz w:val="17"/>
          <w:szCs w:val="17"/>
          <w:color w:val="auto"/>
        </w:rPr>
      </w:pPr>
      <w:r>
        <w:rPr>
          <w:rFonts w:ascii="Arial" w:cs="Arial" w:eastAsia="Arial" w:hAnsi="Arial"/>
          <w:sz w:val="17"/>
          <w:szCs w:val="17"/>
          <w:color w:val="auto"/>
        </w:rPr>
        <w:t>he ceases to be a Director by virtue of any provision of the Statutes or he becomes prohibited by law from being a Director; or</w:t>
      </w:r>
    </w:p>
    <w:p>
      <w:pPr>
        <w:spacing w:after="0" w:line="236" w:lineRule="exact"/>
        <w:rPr>
          <w:rFonts w:ascii="Arial" w:cs="Arial" w:eastAsia="Arial" w:hAnsi="Arial"/>
          <w:sz w:val="17"/>
          <w:szCs w:val="17"/>
          <w:color w:val="auto"/>
        </w:rPr>
      </w:pPr>
    </w:p>
    <w:p>
      <w:pPr>
        <w:ind w:left="1424" w:hanging="405"/>
        <w:spacing w:after="0"/>
        <w:tabs>
          <w:tab w:leader="none" w:pos="142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 or</w:t>
      </w:r>
    </w:p>
    <w:p>
      <w:pPr>
        <w:spacing w:after="0" w:line="225" w:lineRule="exact"/>
        <w:rPr>
          <w:rFonts w:ascii="Arial" w:cs="Arial" w:eastAsia="Arial" w:hAnsi="Arial"/>
          <w:sz w:val="18"/>
          <w:szCs w:val="18"/>
          <w:color w:val="auto"/>
        </w:rPr>
      </w:pPr>
    </w:p>
    <w:p>
      <w:pPr>
        <w:ind w:left="1424" w:hanging="405"/>
        <w:spacing w:after="0"/>
        <w:tabs>
          <w:tab w:leader="none" w:pos="142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he is, or may be, suffering from mental disorder and:</w:t>
      </w:r>
    </w:p>
    <w:p>
      <w:pPr>
        <w:spacing w:after="0" w:line="225" w:lineRule="exact"/>
        <w:rPr>
          <w:rFonts w:ascii="Arial" w:cs="Arial" w:eastAsia="Arial" w:hAnsi="Arial"/>
          <w:sz w:val="18"/>
          <w:szCs w:val="18"/>
          <w:color w:val="auto"/>
        </w:rPr>
      </w:pPr>
    </w:p>
    <w:p>
      <w:pPr>
        <w:ind w:left="1784" w:right="440" w:hanging="379"/>
        <w:spacing w:after="0" w:line="277" w:lineRule="auto"/>
        <w:tabs>
          <w:tab w:leader="none" w:pos="1801" w:val="left"/>
        </w:tabs>
        <w:numPr>
          <w:ilvl w:val="2"/>
          <w:numId w:val="225"/>
        </w:numPr>
        <w:rPr>
          <w:rFonts w:ascii="Arial" w:cs="Arial" w:eastAsia="Arial" w:hAnsi="Arial"/>
          <w:sz w:val="18"/>
          <w:szCs w:val="18"/>
          <w:color w:val="auto"/>
        </w:rPr>
      </w:pPr>
      <w:r>
        <w:rPr>
          <w:rFonts w:ascii="Arial" w:cs="Arial" w:eastAsia="Arial" w:hAnsi="Arial"/>
          <w:sz w:val="18"/>
          <w:szCs w:val="18"/>
          <w:color w:val="auto"/>
        </w:rPr>
        <w:t>he is admitted to hospital in pursuance of an application for admission for treatment under the Mental Health Act 1983 or any equivalent legislation; or</w:t>
      </w:r>
    </w:p>
    <w:p>
      <w:pPr>
        <w:spacing w:after="0" w:line="170" w:lineRule="exact"/>
        <w:rPr>
          <w:rFonts w:ascii="Arial" w:cs="Arial" w:eastAsia="Arial" w:hAnsi="Arial"/>
          <w:sz w:val="18"/>
          <w:szCs w:val="18"/>
          <w:color w:val="auto"/>
        </w:rPr>
      </w:pPr>
    </w:p>
    <w:p>
      <w:pPr>
        <w:ind w:left="1784" w:right="180" w:hanging="379"/>
        <w:spacing w:after="0" w:line="264" w:lineRule="auto"/>
        <w:tabs>
          <w:tab w:leader="none" w:pos="181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an order is made by a court having jurisdiction (whether in the United Kingdom or elsewhere) in matters concerning mental disorder for his detention or for the appointment of a receiver, curator bonis or other person to exercise powers with respect to his property or affairs; or</w:t>
      </w:r>
    </w:p>
    <w:p>
      <w:pPr>
        <w:spacing w:after="0" w:line="181" w:lineRule="exact"/>
        <w:rPr>
          <w:rFonts w:ascii="Arial" w:cs="Arial" w:eastAsia="Arial" w:hAnsi="Arial"/>
          <w:sz w:val="18"/>
          <w:szCs w:val="18"/>
          <w:color w:val="auto"/>
        </w:rPr>
      </w:pPr>
    </w:p>
    <w:p>
      <w:pPr>
        <w:ind w:left="1404" w:right="880" w:hanging="385"/>
        <w:spacing w:after="0" w:line="277" w:lineRule="auto"/>
        <w:tabs>
          <w:tab w:leader="none" w:pos="141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he becomes physically or mentally incapable of performing the functions of a Director and the Board shall resolve that he be disqualified; or</w:t>
      </w:r>
    </w:p>
    <w:p>
      <w:pPr>
        <w:spacing w:after="0" w:line="170" w:lineRule="exact"/>
        <w:rPr>
          <w:rFonts w:ascii="Arial" w:cs="Arial" w:eastAsia="Arial" w:hAnsi="Arial"/>
          <w:sz w:val="18"/>
          <w:szCs w:val="18"/>
          <w:color w:val="auto"/>
        </w:rPr>
      </w:pPr>
    </w:p>
    <w:p>
      <w:pPr>
        <w:ind w:left="1404" w:right="440" w:hanging="385"/>
        <w:spacing w:after="0" w:line="277" w:lineRule="auto"/>
        <w:tabs>
          <w:tab w:leader="none" w:pos="142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 the case of a Director holding executive office subject to the terms of any contract between him and the Company, he resigns his office by notice in writing to the Company; or</w:t>
      </w:r>
    </w:p>
    <w:p>
      <w:pPr>
        <w:sectPr>
          <w:pgSz w:w="11900" w:h="16838" w:orient="portrait"/>
          <w:cols w:equalWidth="0" w:num="1">
            <w:col w:w="11284"/>
          </w:cols>
          <w:pgMar w:left="356" w:top="125" w:right="259" w:bottom="0" w:gutter="0" w:footer="0" w:header="0"/>
        </w:sectPr>
      </w:pPr>
    </w:p>
    <w:bookmarkStart w:id="260" w:name="page261"/>
    <w:bookmarkEnd w:id="260"/>
    <w:p>
      <w:pPr>
        <w:ind w:left="1400" w:right="160" w:hanging="385"/>
        <w:spacing w:after="0" w:line="277" w:lineRule="auto"/>
        <w:tabs>
          <w:tab w:leader="none" w:pos="14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he shall for more than 6 consecutive months have been absent without permission of the Board from meetings of the Board held during that period and the Board shall resolve that his office be vacated; or</w:t>
      </w:r>
    </w:p>
    <w:p>
      <w:pPr>
        <w:spacing w:after="0" w:line="170" w:lineRule="exact"/>
        <w:rPr>
          <w:rFonts w:ascii="Arial" w:cs="Arial" w:eastAsia="Arial" w:hAnsi="Arial"/>
          <w:sz w:val="18"/>
          <w:szCs w:val="18"/>
          <w:color w:val="auto"/>
        </w:rPr>
      </w:pPr>
    </w:p>
    <w:p>
      <w:pPr>
        <w:ind w:left="1400" w:hanging="385"/>
        <w:spacing w:after="0" w:line="312" w:lineRule="auto"/>
        <w:tabs>
          <w:tab w:leader="none" w:pos="142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he shall be removed from office by notice in writing served on him signed by all his co-Directors but so that if he holds an appointment to an executive office which thereby automatically determines such removal shall be deemed an act of the Company and shall have effect without prejudice to any claim for damages for breach of any contract of service between him and the Company; or</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405"/>
        <w:spacing w:after="0"/>
        <w:tabs>
          <w:tab w:leader="none" w:pos="14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he becomes prohibited by law or (if applicable) the NASDAQ Rules from acting as a Director; or</w:t>
      </w:r>
    </w:p>
    <w:p>
      <w:pPr>
        <w:spacing w:after="0" w:line="225" w:lineRule="exact"/>
        <w:rPr>
          <w:rFonts w:ascii="Arial" w:cs="Arial" w:eastAsia="Arial" w:hAnsi="Arial"/>
          <w:sz w:val="18"/>
          <w:szCs w:val="18"/>
          <w:color w:val="auto"/>
        </w:rPr>
      </w:pPr>
    </w:p>
    <w:p>
      <w:pPr>
        <w:ind w:left="1420" w:hanging="405"/>
        <w:spacing w:after="0"/>
        <w:tabs>
          <w:tab w:leader="none" w:pos="14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he shall be removed from office by ordinary resolution of the Company in General Meeting in accordance with the Statutes.</w:t>
      </w:r>
    </w:p>
    <w:p>
      <w:pPr>
        <w:spacing w:after="0" w:line="221" w:lineRule="exact"/>
        <w:rPr>
          <w:sz w:val="20"/>
          <w:szCs w:val="20"/>
          <w:color w:val="auto"/>
        </w:rPr>
      </w:pPr>
    </w:p>
    <w:p>
      <w:pPr>
        <w:ind w:left="102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At the annual General Meeting in every year one-third of the Directors for the time being (other than those retiring in accordance with Articles 21.2) or if their number is not a multiple of 3 then the number nearest to but not exceeding 33.3% shall retire from office: provided always that if in any year the number of Directors (other than those retiring as aforesaid) is two, one of such Directors shall retire, and if in any year there is only one Director (other than those retiring as aforesaid) that Director shall retire.</w:t>
      </w:r>
    </w:p>
    <w:p>
      <w:pPr>
        <w:spacing w:after="0" w:line="187" w:lineRule="exact"/>
        <w:rPr>
          <w:sz w:val="20"/>
          <w:szCs w:val="20"/>
          <w:color w:val="auto"/>
        </w:rPr>
      </w:pPr>
    </w:p>
    <w:p>
      <w:pPr>
        <w:ind w:left="1020" w:right="18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8"/>
          <w:szCs w:val="18"/>
          <w:color w:val="auto"/>
        </w:rPr>
        <w:t>The Directors to retire at the annual General Meeting in every year shall include (so far as necessary to obtain the number required) any Director who wishes to retire and not to offer himself for re-election. Any further Directors so to retire shall be the Directors who have been longest in office since their last election. As between Directors of equal seniority, the Directors to retire shall in the absence of agreement be selected from among them by lot. A retiring Director shall be eligible for re-election and shall act as a Director throughout the meeting at which he retires.</w:t>
      </w:r>
    </w:p>
    <w:p>
      <w:pPr>
        <w:spacing w:after="0" w:line="188" w:lineRule="exact"/>
        <w:rPr>
          <w:sz w:val="20"/>
          <w:szCs w:val="20"/>
          <w:color w:val="auto"/>
        </w:rPr>
      </w:pPr>
    </w:p>
    <w:p>
      <w:pPr>
        <w:ind w:left="102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8"/>
          <w:szCs w:val="18"/>
          <w:color w:val="auto"/>
        </w:rPr>
        <w:t>The Company at the annual General Meeting at which a Director retires in manner aforesaid may fill the vacated office by electing a person thereto, and in default the retiring Director shall if offering himself for re-election be deemed to have been re-elected, unless at such meeting it is expressly resolved not to fill such vacated office or unless a resolution for the re-election of such Director shall have been put to the meeting and lost.</w:t>
      </w:r>
    </w:p>
    <w:p>
      <w:pPr>
        <w:spacing w:after="0" w:line="187" w:lineRule="exact"/>
        <w:rPr>
          <w:sz w:val="20"/>
          <w:szCs w:val="20"/>
          <w:color w:val="auto"/>
        </w:rPr>
      </w:pPr>
    </w:p>
    <w:p>
      <w:pPr>
        <w:ind w:left="1020" w:right="24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color w:val="auto"/>
        </w:rPr>
        <w:t>No person not being a Director retiring at the annual General Meeting shall, unless recommended by the Board for election, be eligible for election to the office of Director at any General Meeting unless, not less than 7 nor more than 21 days before the day appointed for the meeting there shall have been given to the Secretary notice in writing by some Member duly qualified to be present and vote at the meeting for which such notice is given of his intention to propose such person for election, and also notice in writing, signed by the person to be proposed, of his willingness to be elected.</w:t>
      </w:r>
    </w:p>
    <w:p>
      <w:pPr>
        <w:spacing w:after="0" w:line="188" w:lineRule="exact"/>
        <w:rPr>
          <w:sz w:val="20"/>
          <w:szCs w:val="20"/>
          <w:color w:val="auto"/>
        </w:rPr>
      </w:pPr>
    </w:p>
    <w:p>
      <w:pPr>
        <w:ind w:left="1020" w:right="380" w:hanging="647"/>
        <w:spacing w:after="0" w:line="342" w:lineRule="auto"/>
        <w:tabs>
          <w:tab w:leader="none" w:pos="10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color w:val="auto"/>
        </w:rPr>
        <w:t>Subject to the provisions of these Articles the Company may from time to time in General Meeting appoint new Directors and increase or reduce the number of Directors and may also determine in what rotation the increased or reduced number is to go out of office.</w:t>
      </w:r>
    </w:p>
    <w:p>
      <w:pPr>
        <w:spacing w:after="0" w:line="124" w:lineRule="exact"/>
        <w:rPr>
          <w:sz w:val="20"/>
          <w:szCs w:val="20"/>
          <w:color w:val="auto"/>
        </w:rPr>
      </w:pPr>
    </w:p>
    <w:p>
      <w:pPr>
        <w:ind w:left="1020" w:right="6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8"/>
          <w:szCs w:val="18"/>
          <w:color w:val="auto"/>
        </w:rPr>
        <w:t>Subject to the 2006 Act, the Company may by ordinary resolution remove any Director before the expiration of his period of office, and may, subject to these Articles, by ordinary resolution appoint another Director in his place. A person appointed in place of a Director so removed shall be subject to retirement at the same time as if he had become a Director on the day on which the Director in whose place he is appointed was last elected a Director.</w:t>
      </w:r>
    </w:p>
    <w:p>
      <w:pPr>
        <w:spacing w:after="0" w:line="187" w:lineRule="exact"/>
        <w:rPr>
          <w:sz w:val="20"/>
          <w:szCs w:val="20"/>
          <w:color w:val="auto"/>
        </w:rPr>
      </w:pPr>
    </w:p>
    <w:p>
      <w:pPr>
        <w:jc w:val="both"/>
        <w:ind w:left="1020" w:right="22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8"/>
          <w:szCs w:val="18"/>
          <w:color w:val="auto"/>
        </w:rPr>
        <w:t>Every resolution of a General Meeting for the appointment or election of a Director shall relate to one named person and a single resolution for the appointment or election of two or more persons as Directors shall be void, unless a resolution that it shall be so moved has first been agreed to by the meeting without any vote being given against it.</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PROCEEDINGS OF THE BOARD</w:t>
      </w:r>
    </w:p>
    <w:p>
      <w:pPr>
        <w:spacing w:after="0" w:line="225" w:lineRule="exact"/>
        <w:rPr>
          <w:sz w:val="20"/>
          <w:szCs w:val="20"/>
          <w:color w:val="auto"/>
        </w:rPr>
      </w:pPr>
    </w:p>
    <w:p>
      <w:pPr>
        <w:ind w:left="1020" w:right="140" w:hanging="647"/>
        <w:spacing w:after="0" w:line="255" w:lineRule="auto"/>
        <w:tabs>
          <w:tab w:leader="none" w:pos="100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8"/>
          <w:szCs w:val="18"/>
          <w:color w:val="auto"/>
        </w:rPr>
        <w:t>The Board or any Committee of the Board may meet for the despatch of business, adjourn and otherwise regulate its meetings as it thinks fit, and determine the quorum necessary for the transaction of business. Meetings of the Board or of any committee of the Board may take place in any part of the world and may take place via telephonic communication, video conference or similar means of communication notwithstanding that the Directors or Committee members present may not all be meeting in one particular place. Unless otherwise determined by the Board two Directors shall be a quorum. For the purposes of this Article an alternate Director shall be counted in a quorum but so that not less than two persons shall constitute the quorum.</w:t>
      </w:r>
    </w:p>
    <w:p>
      <w:pPr>
        <w:spacing w:after="0" w:line="193" w:lineRule="exact"/>
        <w:rPr>
          <w:sz w:val="20"/>
          <w:szCs w:val="20"/>
          <w:color w:val="auto"/>
        </w:rPr>
      </w:pPr>
    </w:p>
    <w:p>
      <w:pPr>
        <w:ind w:left="1020" w:right="120" w:hanging="647"/>
        <w:spacing w:after="0" w:line="276" w:lineRule="auto"/>
        <w:tabs>
          <w:tab w:leader="none" w:pos="10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color w:val="auto"/>
        </w:rPr>
        <w:t>A Director may, and on the request of a Director the Secretary shall, at any time summon a meeting of the Board. Unless all the Directors by resolution in writing resolve otherwise, it shall be necessary to give notice (which need not be in writing) of a meeting of the Board to any Director whether or not for the time being he is absent from the country in which the meeting is proposed to take place. Notwithstanding the foregoing neither the accidental failure to give notice of a meeting of the Board to any Director nor the non-receipt in any case of such notice if given shall invalidate such meeting or any resolution passed or business transacted thereat.</w:t>
      </w:r>
    </w:p>
    <w:p>
      <w:pPr>
        <w:spacing w:after="0" w:line="173" w:lineRule="exact"/>
        <w:rPr>
          <w:sz w:val="20"/>
          <w:szCs w:val="20"/>
          <w:color w:val="auto"/>
        </w:rPr>
      </w:pPr>
    </w:p>
    <w:p>
      <w:pPr>
        <w:ind w:left="1020" w:right="58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8"/>
          <w:szCs w:val="18"/>
          <w:color w:val="auto"/>
        </w:rPr>
        <w:t>Questions arising at any meeting of the Board or any Committee of the Board shall be decided by a majority of votes. In the case of an equality of votes the Chairman shall have a second or casting vote.</w:t>
      </w:r>
    </w:p>
    <w:p>
      <w:pPr>
        <w:spacing w:after="0" w:line="170" w:lineRule="exact"/>
        <w:rPr>
          <w:sz w:val="20"/>
          <w:szCs w:val="20"/>
          <w:color w:val="auto"/>
        </w:rPr>
      </w:pPr>
    </w:p>
    <w:p>
      <w:pPr>
        <w:ind w:left="1020" w:right="14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8"/>
          <w:szCs w:val="18"/>
          <w:color w:val="auto"/>
        </w:rPr>
        <w:t>The Board or any committee of the Board may from time to time elect a Chairman or Deputy-Chairman, who shall preside at its meetings on such terms and for such periods as they may determine, but if no such Chairman or Deputy-Chairman be elected, or if at any meeting the Chairman or Deputy-Chairman is not present within 5 minutes after the time appointed for holding the a meeting, the Board or Committee shall choose one of its number to be Chairman of such meeting.</w:t>
      </w:r>
    </w:p>
    <w:p>
      <w:pPr>
        <w:sectPr>
          <w:pgSz w:w="11900" w:h="16838" w:orient="portrait"/>
          <w:cols w:equalWidth="0" w:num="1">
            <w:col w:w="11300"/>
          </w:cols>
          <w:pgMar w:left="360" w:top="125" w:right="239" w:bottom="0" w:gutter="0" w:footer="0" w:header="0"/>
        </w:sectPr>
      </w:pPr>
    </w:p>
    <w:bookmarkStart w:id="261" w:name="page262"/>
    <w:bookmarkEnd w:id="261"/>
    <w:p>
      <w:pPr>
        <w:spacing w:after="0" w:line="65" w:lineRule="exact"/>
        <w:rPr>
          <w:sz w:val="20"/>
          <w:szCs w:val="20"/>
          <w:color w:val="auto"/>
        </w:rPr>
      </w:pPr>
    </w:p>
    <w:p>
      <w:pPr>
        <w:jc w:val="both"/>
        <w:ind w:left="1020" w:right="60" w:hanging="647"/>
        <w:spacing w:after="0" w:line="302" w:lineRule="auto"/>
        <w:tabs>
          <w:tab w:leader="none" w:pos="100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6"/>
          <w:szCs w:val="16"/>
          <w:color w:val="auto"/>
        </w:rPr>
        <w:t>The Board may delegate any of its powers, including authority to affix the Seal to any document, to Committees consisting of such members, or member, of its body as it thinks fit. Any Committee so formed shall in the exercise of the powers so delegated conform to any regulations that may from time to time be imposed upon it by the Board. The meetings and proceedings of any such committee consisting of two or more members shall be governed by the provisions of these Articles regulating the meetings and proceedings of Directors.</w:t>
      </w:r>
    </w:p>
    <w:p>
      <w:pPr>
        <w:spacing w:after="0" w:line="154" w:lineRule="exact"/>
        <w:rPr>
          <w:sz w:val="20"/>
          <w:szCs w:val="20"/>
          <w:color w:val="auto"/>
        </w:rPr>
      </w:pPr>
    </w:p>
    <w:p>
      <w:pPr>
        <w:ind w:left="1020" w:right="6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27.6</w:t>
      </w:r>
      <w:r>
        <w:rPr>
          <w:sz w:val="20"/>
          <w:szCs w:val="20"/>
          <w:color w:val="auto"/>
        </w:rPr>
        <w:tab/>
      </w:r>
      <w:r>
        <w:rPr>
          <w:rFonts w:ascii="Arial" w:cs="Arial" w:eastAsia="Arial" w:hAnsi="Arial"/>
          <w:sz w:val="18"/>
          <w:szCs w:val="18"/>
          <w:color w:val="auto"/>
        </w:rPr>
        <w:t>Any Committee shall have power unless the Board directs otherwise to co-opt as a member or members of the Committee for a specific purpose any person or persons not being members of the Board or of the Company, provided that no person shall be co-opted pursuant to this Article if as a result of his appointment the number of persons so co-opted would be equal to or greater than the number of members of such Committee who are Directors and no resolution passed at a meeting of such Committee shall be effective unless a majority of the members of such Committee present at the meeting are Directors.</w:t>
      </w:r>
    </w:p>
    <w:p>
      <w:pPr>
        <w:spacing w:after="0" w:line="188" w:lineRule="exact"/>
        <w:rPr>
          <w:sz w:val="20"/>
          <w:szCs w:val="20"/>
          <w:color w:val="auto"/>
        </w:rPr>
      </w:pPr>
    </w:p>
    <w:p>
      <w:pPr>
        <w:ind w:left="102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27.7</w:t>
      </w:r>
      <w:r>
        <w:rPr>
          <w:sz w:val="20"/>
          <w:szCs w:val="20"/>
          <w:color w:val="auto"/>
        </w:rPr>
        <w:tab/>
      </w:r>
      <w:r>
        <w:rPr>
          <w:rFonts w:ascii="Arial" w:cs="Arial" w:eastAsia="Arial" w:hAnsi="Arial"/>
          <w:sz w:val="18"/>
          <w:szCs w:val="18"/>
          <w:color w:val="auto"/>
        </w:rPr>
        <w:t>All acts bona fide done by any meeting of the Board or of a Committee of the Board or by any person acting as a Director, shall, notwithstanding it be afterwards discovered that there was some defect in the appointment of any Director or person acting as aforesaid or that they or any of them were disqualified or had ceased to be Directors or a Director, be as valid as if every such person had been duly appointed and was qualified to be and had continued to be a Director.</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right="4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27.8</w:t>
      </w:r>
      <w:r>
        <w:rPr>
          <w:sz w:val="20"/>
          <w:szCs w:val="20"/>
          <w:color w:val="auto"/>
        </w:rPr>
        <w:tab/>
      </w:r>
      <w:r>
        <w:rPr>
          <w:rFonts w:ascii="Arial" w:cs="Arial" w:eastAsia="Arial" w:hAnsi="Arial"/>
          <w:sz w:val="18"/>
          <w:szCs w:val="18"/>
          <w:color w:val="auto"/>
        </w:rPr>
        <w:t>The Board shall cause proper minutes to be made of all General Meetings of the Company and also of all appointments of officers and of the proceedings of all meetings of the Board and Committees of the Board, and of the attendances thereat, and all business transacted at such meetings, and any such minutes of any meeting, if purporting to be signed by the Chairman of such meeting, or by the Chairman of the next succeeding meeting of the Company or of the Board or Committee, shall be conclusive evidence without any further proof of the facts therein stated.</w:t>
      </w:r>
    </w:p>
    <w:p>
      <w:pPr>
        <w:spacing w:after="0" w:line="188" w:lineRule="exact"/>
        <w:rPr>
          <w:sz w:val="20"/>
          <w:szCs w:val="20"/>
          <w:color w:val="auto"/>
        </w:rPr>
      </w:pPr>
    </w:p>
    <w:p>
      <w:pPr>
        <w:ind w:left="102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27.9</w:t>
      </w:r>
      <w:r>
        <w:rPr>
          <w:sz w:val="20"/>
          <w:szCs w:val="20"/>
          <w:color w:val="auto"/>
        </w:rPr>
        <w:tab/>
      </w:r>
      <w:r>
        <w:rPr>
          <w:rFonts w:ascii="Arial" w:cs="Arial" w:eastAsia="Arial" w:hAnsi="Arial"/>
          <w:sz w:val="18"/>
          <w:szCs w:val="18"/>
          <w:color w:val="auto"/>
        </w:rPr>
        <w:t>A resolution in writing signed by all the Directors for the time being entitled to receive notice of a meeting of the Board shall be as effective for all purposes as a resolution passed at a meeting of the Board duly convened and held and may consist of several documents in the like form each signed by one or more of the Directors and so that any such resolution or document signed by an alternate Director shall be deemed to have been signed by the Director who appointed such alternate Director.</w:t>
      </w:r>
    </w:p>
    <w:p>
      <w:pPr>
        <w:spacing w:after="0" w:line="187" w:lineRule="exact"/>
        <w:rPr>
          <w:sz w:val="20"/>
          <w:szCs w:val="20"/>
          <w:color w:val="auto"/>
        </w:rPr>
      </w:pPr>
    </w:p>
    <w:p>
      <w:pPr>
        <w:ind w:left="1020" w:right="60" w:hanging="647"/>
        <w:spacing w:after="0" w:line="297" w:lineRule="auto"/>
        <w:tabs>
          <w:tab w:leader="none" w:pos="1000" w:val="left"/>
        </w:tabs>
        <w:rPr>
          <w:sz w:val="20"/>
          <w:szCs w:val="20"/>
          <w:color w:val="auto"/>
        </w:rPr>
      </w:pPr>
      <w:r>
        <w:rPr>
          <w:rFonts w:ascii="Arial" w:cs="Arial" w:eastAsia="Arial" w:hAnsi="Arial"/>
          <w:sz w:val="18"/>
          <w:szCs w:val="18"/>
          <w:b w:val="1"/>
          <w:bCs w:val="1"/>
          <w:color w:val="auto"/>
        </w:rPr>
        <w:t>27.10</w:t>
      </w:r>
      <w:r>
        <w:rPr>
          <w:sz w:val="20"/>
          <w:szCs w:val="20"/>
          <w:color w:val="auto"/>
        </w:rPr>
        <w:tab/>
      </w:r>
      <w:r>
        <w:rPr>
          <w:rFonts w:ascii="Arial" w:cs="Arial" w:eastAsia="Arial" w:hAnsi="Arial"/>
          <w:sz w:val="16"/>
          <w:szCs w:val="16"/>
          <w:color w:val="auto"/>
        </w:rPr>
        <w:t>Any resolution in writing for the purposes of Article 27.9 may consist of several documents in the like form each signed by or on behalf of one or more of the Directors and any such document may be in the form of a telex, fax or in any other legible form sent by any other similar method of transmission or by electronic communications. Unless the contrary shall be proved, any such document shall be deemed to be duly and validly signed by the person or persons purporting to sign the same and whose name appears in the text as the person signing the same. Where electronic communications are used, no signature is necessary, subject to any terms and conditions the Board may decide.</w:t>
      </w:r>
    </w:p>
    <w:p>
      <w:pPr>
        <w:spacing w:after="0" w:line="158" w:lineRule="exact"/>
        <w:rPr>
          <w:sz w:val="20"/>
          <w:szCs w:val="20"/>
          <w:color w:val="auto"/>
        </w:rPr>
      </w:pPr>
    </w:p>
    <w:p>
      <w:pPr>
        <w:ind w:left="1000" w:right="300" w:hanging="647"/>
        <w:spacing w:after="0" w:line="264" w:lineRule="auto"/>
        <w:tabs>
          <w:tab w:leader="none" w:pos="980" w:val="left"/>
        </w:tabs>
        <w:rPr>
          <w:sz w:val="20"/>
          <w:szCs w:val="20"/>
          <w:color w:val="auto"/>
        </w:rPr>
      </w:pPr>
      <w:r>
        <w:rPr>
          <w:rFonts w:ascii="Arial" w:cs="Arial" w:eastAsia="Arial" w:hAnsi="Arial"/>
          <w:sz w:val="18"/>
          <w:szCs w:val="18"/>
          <w:b w:val="1"/>
          <w:bCs w:val="1"/>
          <w:color w:val="auto"/>
        </w:rPr>
        <w:t>27.11</w:t>
      </w:r>
      <w:r>
        <w:rPr>
          <w:sz w:val="20"/>
          <w:szCs w:val="20"/>
          <w:color w:val="auto"/>
        </w:rPr>
        <w:tab/>
      </w:r>
      <w:r>
        <w:rPr>
          <w:rFonts w:ascii="Arial" w:cs="Arial" w:eastAsia="Arial" w:hAnsi="Arial"/>
          <w:sz w:val="18"/>
          <w:szCs w:val="18"/>
          <w:color w:val="auto"/>
        </w:rPr>
        <w:t>A meeting of the Board or a Committee of the Board may consist of a conference between Directors some or all of whom are in different places, if, when the meeting proceeds to business, it appears that the following conditions are satisfied in relation to sufficient Directors to form a quorum:</w:t>
      </w:r>
    </w:p>
    <w:p>
      <w:pPr>
        <w:spacing w:after="0" w:line="185" w:lineRule="exact"/>
        <w:rPr>
          <w:sz w:val="20"/>
          <w:szCs w:val="20"/>
          <w:color w:val="auto"/>
        </w:rPr>
      </w:pPr>
    </w:p>
    <w:p>
      <w:pPr>
        <w:ind w:left="1400" w:hanging="385"/>
        <w:spacing w:after="0"/>
        <w:tabs>
          <w:tab w:leader="none" w:pos="14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such Director can hear every other Director addressing the meeting; and</w:t>
      </w:r>
    </w:p>
    <w:p>
      <w:pPr>
        <w:spacing w:after="0" w:line="225" w:lineRule="exact"/>
        <w:rPr>
          <w:rFonts w:ascii="Arial" w:cs="Arial" w:eastAsia="Arial" w:hAnsi="Arial"/>
          <w:sz w:val="18"/>
          <w:szCs w:val="18"/>
          <w:color w:val="auto"/>
        </w:rPr>
      </w:pPr>
    </w:p>
    <w:p>
      <w:pPr>
        <w:ind w:left="1420" w:hanging="405"/>
        <w:spacing w:after="0"/>
        <w:tabs>
          <w:tab w:leader="none" w:pos="14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such Director can, if he wishes, address every other Director simultaneously,</w:t>
      </w:r>
    </w:p>
    <w:p>
      <w:pPr>
        <w:spacing w:after="0" w:line="225" w:lineRule="exact"/>
        <w:rPr>
          <w:sz w:val="20"/>
          <w:szCs w:val="20"/>
          <w:color w:val="auto"/>
        </w:rPr>
      </w:pPr>
    </w:p>
    <w:p>
      <w:pPr>
        <w:jc w:val="both"/>
        <w:ind w:left="1020" w:right="20"/>
        <w:spacing w:after="0" w:line="259" w:lineRule="auto"/>
        <w:rPr>
          <w:sz w:val="20"/>
          <w:szCs w:val="20"/>
          <w:color w:val="auto"/>
        </w:rPr>
      </w:pPr>
      <w:r>
        <w:rPr>
          <w:rFonts w:ascii="Arial" w:cs="Arial" w:eastAsia="Arial" w:hAnsi="Arial"/>
          <w:sz w:val="18"/>
          <w:szCs w:val="18"/>
          <w:color w:val="auto"/>
        </w:rPr>
        <w:t>whether by word of mouth, by conference telephone, video conference or by any other form of communications equipment (whether in use at the date of the adoption of these Articles or developed subsequently) or by a combination of these methods. Such a meeting is deemed to take place at the place where the largest number of participating Directors is assembled or, if this is not readily identifiable, at the location at which the Chairman of the meeting participates.</w:t>
      </w:r>
    </w:p>
    <w:p>
      <w:pPr>
        <w:spacing w:after="0" w:line="183" w:lineRule="exact"/>
        <w:rPr>
          <w:sz w:val="20"/>
          <w:szCs w:val="20"/>
          <w:color w:val="auto"/>
        </w:rPr>
      </w:pPr>
    </w:p>
    <w:p>
      <w:pPr>
        <w:ind w:left="1020" w:right="16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27.12</w:t>
      </w:r>
      <w:r>
        <w:rPr>
          <w:sz w:val="20"/>
          <w:szCs w:val="20"/>
          <w:color w:val="auto"/>
        </w:rPr>
        <w:tab/>
      </w:r>
      <w:r>
        <w:rPr>
          <w:rFonts w:ascii="Arial" w:cs="Arial" w:eastAsia="Arial" w:hAnsi="Arial"/>
          <w:sz w:val="18"/>
          <w:szCs w:val="18"/>
          <w:color w:val="auto"/>
        </w:rPr>
        <w:t>The continuing Directors or a sole continuing Director may act notwithstanding any vacancies in their body but if and so long as the number of Directors is reduced below the number fixed by or pursuant to these Articles as the quorum of Directors, the continuing Directors or Director may act for the purpose of filling up vacancies in their body or of summoning General Meetings of the Company, but not for any other purpose.</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ALTERNATE DIRECTORS</w:t>
      </w:r>
    </w:p>
    <w:p>
      <w:pPr>
        <w:spacing w:after="0" w:line="225" w:lineRule="exact"/>
        <w:rPr>
          <w:sz w:val="20"/>
          <w:szCs w:val="20"/>
          <w:color w:val="auto"/>
        </w:rPr>
      </w:pPr>
    </w:p>
    <w:p>
      <w:pPr>
        <w:jc w:val="both"/>
        <w:ind w:left="1020" w:right="8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8"/>
          <w:szCs w:val="18"/>
          <w:color w:val="auto"/>
        </w:rPr>
        <w:t>A Director (other than an alternate Director) may from time to time by writing under his hand appoint another Director or any other person to be his alternate but no such appointment of any person not being a Director shall be operative unless and until approved by the Board. Every such alternate shall</w:t>
      </w:r>
    </w:p>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60" w:right="40"/>
        <w:spacing w:after="0" w:line="287" w:lineRule="auto"/>
        <w:rPr>
          <w:sz w:val="20"/>
          <w:szCs w:val="20"/>
          <w:color w:val="auto"/>
        </w:rPr>
      </w:pPr>
      <w:r>
        <w:rPr>
          <w:rFonts w:ascii="Arial" w:cs="Arial" w:eastAsia="Arial" w:hAnsi="Arial"/>
          <w:sz w:val="16"/>
          <w:szCs w:val="16"/>
          <w:color w:val="auto"/>
        </w:rPr>
        <w:t>(subject to his giving to the Company an address in the United Kingdom at which notice may be served upon him) be entitled to notice of meetings of the Board and to attend and vote as a Director at any such meeting at which the Director appointing him is not personally present and generally at such meeting to have and exercise all the powers, rights, duties and authorities of the Director appointing him in his absence, but it shall not be necessary to give notice of such a meeting to an alternate Director who is absent from the United Kingdom. If the alternate Director is a Director or if he shall attend a meeting as an alternate for more than one Director his voting rights shall be cumulative but he shall not be counted more than once in a quorum. Every such alternate shall also be entitled in the absence of the Director appointing him to sign on his behalf a resolution in writing of the Directors. An alternate Director shall be repaid by the Company such expenses as might properly have been repaid to him if he had been a Director but shall not (unless the Company by ordinary resolution determines) in respect of his office of alternate Director be entitled to receive any remuneration or fee from the Company. An alternate Director shall be entitled to be indemnified by the Company to the same extent as if he were a Director. An alternate Director shall not be required to hold any shares in the Company. A Director may in writing (to be deposited or delivered to the Office or, in the case of an electronic communication, to the number or address which has been specified by the Company for the purpose of receiving such electronic communications) at any time revoke the</w:t>
      </w:r>
    </w:p>
    <w:p>
      <w:pPr>
        <w:sectPr>
          <w:pgSz w:w="11900" w:h="16903" w:orient="portrait"/>
          <w:cols w:equalWidth="0" w:num="1">
            <w:col w:w="11280"/>
          </w:cols>
          <w:pgMar w:left="360" w:top="121" w:right="259" w:bottom="0" w:gutter="0" w:footer="0" w:header="0"/>
        </w:sectPr>
      </w:pPr>
    </w:p>
    <w:bookmarkStart w:id="262" w:name="page263"/>
    <w:bookmarkEnd w:id="262"/>
    <w:p>
      <w:pPr>
        <w:ind w:left="1060" w:right="120"/>
        <w:spacing w:after="0" w:line="272" w:lineRule="auto"/>
        <w:rPr>
          <w:sz w:val="20"/>
          <w:szCs w:val="20"/>
          <w:color w:val="auto"/>
        </w:rPr>
      </w:pPr>
      <w:r>
        <w:rPr>
          <w:rFonts w:ascii="Arial" w:cs="Arial" w:eastAsia="Arial" w:hAnsi="Arial"/>
          <w:sz w:val="17"/>
          <w:szCs w:val="17"/>
          <w:color w:val="auto"/>
        </w:rPr>
        <w:t>appointment of an alternate appointed by him. If a Director dies or ceases to hold the office of Director the appointment of his alternate shall thereupon cease and determine, provided that if any Director retires at any General Meeting (whether by rotation or otherwise) but is re-appointed by the meeting at which such retirement took effect, any appointment made by him pursuant to this Article which was in force immediately prior to his retirement shall continue to operate after his re-appointment as if he had not so retired. An alternate Director shall not be deemed to be the agent of his appointor, but shall be deemed to be an officer of the Company and shall alone be responsible for his own acts and defaults. Notwithstanding the foregoing, unless he is already an officer of the Company in his own right, an alternate Director shall not, as such, have any rights or powers other than those mentioned in this Article.</w:t>
      </w:r>
    </w:p>
    <w:p>
      <w:pPr>
        <w:spacing w:after="0" w:line="174"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color w:val="auto"/>
        </w:rPr>
        <w:t>An alternate Director automatically ceases to be an alternate:</w:t>
      </w:r>
    </w:p>
    <w:p>
      <w:pPr>
        <w:spacing w:after="0" w:line="229" w:lineRule="exact"/>
        <w:rPr>
          <w:sz w:val="20"/>
          <w:szCs w:val="20"/>
          <w:color w:val="auto"/>
        </w:rPr>
      </w:pPr>
    </w:p>
    <w:p>
      <w:pPr>
        <w:ind w:left="1400" w:right="560" w:hanging="385"/>
        <w:spacing w:after="0" w:line="277" w:lineRule="auto"/>
        <w:tabs>
          <w:tab w:leader="none" w:pos="140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there occurs in relation to him any of the events which, if he were a Director would cause his office to be vacated, including the delivery by the alternate of a written notice of resignation; or</w:t>
      </w:r>
    </w:p>
    <w:p>
      <w:pPr>
        <w:spacing w:after="0" w:line="170" w:lineRule="exact"/>
        <w:rPr>
          <w:rFonts w:ascii="Arial" w:cs="Arial" w:eastAsia="Arial" w:hAnsi="Arial"/>
          <w:sz w:val="18"/>
          <w:szCs w:val="18"/>
          <w:color w:val="auto"/>
        </w:rPr>
      </w:pPr>
    </w:p>
    <w:p>
      <w:pPr>
        <w:ind w:left="1420" w:hanging="405"/>
        <w:spacing w:after="0"/>
        <w:tabs>
          <w:tab w:leader="none" w:pos="14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his appointor’s office as Director is vacated,</w:t>
      </w:r>
    </w:p>
    <w:p>
      <w:pPr>
        <w:spacing w:after="0" w:line="225" w:lineRule="exact"/>
        <w:rPr>
          <w:sz w:val="20"/>
          <w:szCs w:val="20"/>
          <w:color w:val="auto"/>
        </w:rPr>
      </w:pPr>
    </w:p>
    <w:p>
      <w:pPr>
        <w:ind w:left="1020" w:right="80"/>
        <w:spacing w:after="0" w:line="277" w:lineRule="auto"/>
        <w:rPr>
          <w:sz w:val="20"/>
          <w:szCs w:val="20"/>
          <w:color w:val="auto"/>
        </w:rPr>
      </w:pPr>
      <w:r>
        <w:rPr>
          <w:rFonts w:ascii="Arial" w:cs="Arial" w:eastAsia="Arial" w:hAnsi="Arial"/>
          <w:sz w:val="18"/>
          <w:szCs w:val="18"/>
          <w:color w:val="auto"/>
        </w:rPr>
        <w:t>provided that Article 28.2(b) does not apply where the appointor ceases to be a Director at a General Meeting but is reappointed or deemed to be reappointed at the same meeting.</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THE SEAL</w:t>
      </w:r>
    </w:p>
    <w:p>
      <w:pPr>
        <w:spacing w:after="0" w:line="225" w:lineRule="exact"/>
        <w:rPr>
          <w:sz w:val="20"/>
          <w:szCs w:val="20"/>
          <w:color w:val="auto"/>
        </w:rPr>
      </w:pPr>
    </w:p>
    <w:p>
      <w:pPr>
        <w:ind w:left="1020" w:right="4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8"/>
          <w:szCs w:val="18"/>
          <w:color w:val="auto"/>
        </w:rPr>
        <w:t>The Seal shall not be affixed to any instrument except by the authority of a resolution of the Board or a committee of the Board and except as hereinafter provided every instrument to which the Seal shall be so affixed shall be autographically signed by a Director and countersigned by a second Director or the Secretary or an Assistant Secretary or some other person appointed by the Board for such purpose and in favour of any purchaser or person bona fide dealing with the Company, such signatures shall be conclusive evidence of the fact that the Seal has been properly affixed.</w:t>
      </w:r>
    </w:p>
    <w:p>
      <w:pPr>
        <w:spacing w:after="0" w:line="188"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color w:val="auto"/>
        </w:rPr>
        <w:t>As respects certificates for shares, stock, debentures or other securities of the</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right="40"/>
        <w:spacing w:after="0" w:line="312" w:lineRule="auto"/>
        <w:rPr>
          <w:sz w:val="20"/>
          <w:szCs w:val="20"/>
          <w:color w:val="auto"/>
        </w:rPr>
      </w:pPr>
      <w:r>
        <w:rPr>
          <w:rFonts w:ascii="Arial" w:cs="Arial" w:eastAsia="Arial" w:hAnsi="Arial"/>
          <w:sz w:val="16"/>
          <w:szCs w:val="16"/>
          <w:color w:val="auto"/>
        </w:rPr>
        <w:t>Company issued from time to time the Board may by resolution authorise the same to be sealed by a securities seal and may determine that in connection with the sealing thereof the presence of such persons as are referred to in Article 29.1 and the signatures thereof or of either of them shall be dispensed with and/or that such signatures shall be affixed by some method or system of mechanical or electronic signature.</w:t>
      </w:r>
    </w:p>
    <w:p>
      <w:pPr>
        <w:spacing w:after="0" w:line="143" w:lineRule="exact"/>
        <w:rPr>
          <w:sz w:val="20"/>
          <w:szCs w:val="20"/>
          <w:color w:val="auto"/>
        </w:rPr>
      </w:pPr>
    </w:p>
    <w:p>
      <w:pPr>
        <w:ind w:left="102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8"/>
          <w:szCs w:val="18"/>
          <w:color w:val="auto"/>
        </w:rPr>
        <w:t>Subject to compliance with the requirements of the 2006 Act the Board may authorise the adoption for use in any territory district or place elsewhere than in the United Kingdom as an official seal being a facsimile or electronic version of the Seal and may subject to compliance with the requirements of the 2006 Act give direction for the fixing of such official seal to deeds or instruments on behalf of the Company. Any deeds or instruments to which such a facsimile or electronic version of the Seal is affixed in accordance with Article 29.1 shall bind the Company for all purposes as if the Seal had been affixed thereto.</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SECRETARY</w:t>
      </w:r>
    </w:p>
    <w:p>
      <w:pPr>
        <w:spacing w:after="0" w:line="225" w:lineRule="exact"/>
        <w:rPr>
          <w:sz w:val="20"/>
          <w:szCs w:val="20"/>
          <w:color w:val="auto"/>
        </w:rPr>
      </w:pPr>
    </w:p>
    <w:p>
      <w:pPr>
        <w:ind w:left="1020" w:right="40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8"/>
          <w:szCs w:val="18"/>
          <w:color w:val="auto"/>
        </w:rPr>
        <w:t>The Board shall from time to time appoint and may remove a Secretary or Joint Secretaries who shall be qualified in accordance with the provisions of the Statutes and may appoint and remove one or more Assistant Secretaries.</w:t>
      </w:r>
    </w:p>
    <w:p>
      <w:pPr>
        <w:spacing w:after="0" w:line="170" w:lineRule="exact"/>
        <w:rPr>
          <w:sz w:val="20"/>
          <w:szCs w:val="20"/>
          <w:color w:val="auto"/>
        </w:rPr>
      </w:pPr>
    </w:p>
    <w:p>
      <w:pPr>
        <w:ind w:left="1020" w:hanging="647"/>
        <w:spacing w:after="0" w:line="297" w:lineRule="auto"/>
        <w:tabs>
          <w:tab w:leader="none" w:pos="10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color w:val="auto"/>
        </w:rPr>
        <w:t>Anything by the Statutes or these Articles required or authorised to be done by or to the Secretary may if the office is vacant or there is for any other reason no Secretary capable of acting, be done by or to any Joint Assistant or Deputy Secretary or, if there is no Joint Assistant or Deputy Secretary capable of acting, by or to any officer of the Company authorised generally or specially in that behalf by the Board, provided that any provision of the Statutes or of these Articles requiring or authorising a thing to be done by or to a Director and the Secretary shall not be satisfied by its being done by or to the same person acting both as Director and as, or in the place of, the Secretary.</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AUTHENTICATION OF DOCUMENTS</w:t>
      </w:r>
    </w:p>
    <w:p>
      <w:pPr>
        <w:spacing w:after="0" w:line="225" w:lineRule="exact"/>
        <w:rPr>
          <w:sz w:val="20"/>
          <w:szCs w:val="20"/>
          <w:color w:val="auto"/>
        </w:rPr>
      </w:pPr>
    </w:p>
    <w:p>
      <w:pPr>
        <w:ind w:left="1020" w:right="80" w:hanging="647"/>
        <w:spacing w:after="0" w:line="272" w:lineRule="auto"/>
        <w:tabs>
          <w:tab w:leader="none" w:pos="10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color w:val="auto"/>
        </w:rPr>
        <w:t>Any Director or the Secretary or any person appointed by the Board for the purpose shall have power to authenticate any documents affecting the constitution of the Company and any resolutions passed by the Company or the Board or any Committee of the Board and any books, records, documents and accounts relating to the business of the Company, and to certify copies thereof or extracts therefrom as true copies or extracts. A document purporting to be a copy of a resolution, or an extract from the minutes of a meeting of the Company or of the Board or any Committee of the Board which is certified as aforesaid shall be conclusive evidence in favour of all persons dealing with the Company upon the faith thereof that such resolution has been duly passed or, as the case may be, that such minutes are or extract is a true and accurate record of proceedings at a duly constituted meeting.</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REGISTERS</w:t>
      </w:r>
    </w:p>
    <w:p>
      <w:pPr>
        <w:spacing w:after="0" w:line="225" w:lineRule="exact"/>
        <w:rPr>
          <w:sz w:val="20"/>
          <w:szCs w:val="20"/>
          <w:color w:val="auto"/>
        </w:rPr>
      </w:pPr>
    </w:p>
    <w:p>
      <w:pPr>
        <w:ind w:left="1020" w:right="4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color w:val="auto"/>
        </w:rPr>
        <w:t>The register of Directors and Secretaries, the register of charges, the Register, the register of interests in shares and all other associated registers and indices shall be kept in accordance with the Statutes and shall be open to the inspection of any member of the Company or of any other person without charge between the hours of 10 a.m. and noon on each day during which the same is bound to be open for inspection pursuant to the Statutes.</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DIVIDENDS</w:t>
      </w:r>
    </w:p>
    <w:p>
      <w:pPr>
        <w:sectPr>
          <w:pgSz w:w="11900" w:h="16838" w:orient="portrait"/>
          <w:cols w:equalWidth="0" w:num="1">
            <w:col w:w="11300"/>
          </w:cols>
          <w:pgMar w:left="360" w:top="125" w:right="239" w:bottom="0" w:gutter="0" w:footer="0" w:header="0"/>
        </w:sectPr>
      </w:pPr>
    </w:p>
    <w:bookmarkStart w:id="263" w:name="page264"/>
    <w:bookmarkEnd w:id="263"/>
    <w:p>
      <w:pPr>
        <w:ind w:left="640" w:right="180" w:hanging="647"/>
        <w:spacing w:after="0" w:line="259" w:lineRule="auto"/>
        <w:tabs>
          <w:tab w:leader="none" w:pos="62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color w:val="auto"/>
        </w:rPr>
        <w:t>Subject to the Statutes and any preferential or other special rights for the time being attached to any special class of shares, the profits of the Company available for dividend in accordance with the Statutes which it shall from time to time determine to distribute by way of dividend shall be applied in payment of dividends upon the shares of the Company to the Members at the date of record in accordance with their respective rights and priorities.</w:t>
      </w:r>
    </w:p>
    <w:p>
      <w:pPr>
        <w:spacing w:after="0" w:line="187"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color w:val="auto"/>
        </w:rPr>
        <w:t>All dividends shall be apportioned and paid proportionately to the amounts paid up on the shares (otherwise than amounts paid up in advance of calls) during any part or parts of the period in respect of which the dividend is paid but if any share is issued on terms providing that it shall rank for dividend as from a particular date such share shall rank for dividend accordingly.</w:t>
      </w:r>
    </w:p>
    <w:p>
      <w:pPr>
        <w:spacing w:after="0" w:line="181" w:lineRule="exact"/>
        <w:rPr>
          <w:sz w:val="20"/>
          <w:szCs w:val="20"/>
          <w:color w:val="auto"/>
        </w:rPr>
      </w:pPr>
    </w:p>
    <w:p>
      <w:pPr>
        <w:ind w:left="640" w:right="180" w:hanging="647"/>
        <w:spacing w:after="0" w:line="259" w:lineRule="auto"/>
        <w:tabs>
          <w:tab w:leader="none" w:pos="62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8"/>
          <w:szCs w:val="18"/>
          <w:color w:val="auto"/>
        </w:rPr>
        <w:t>The Company in General Meeting may from time to time declare by ordinary resolution dividends but no such dividends shall (except as by the Statutes expressly authorised) be payable otherwise than out of the profits of the Company available for the purpose in accordance with the Statutes. No higher dividend shall be paid than is recommended by the Board and the declaration of the Board as to the amount of the profits at any time available for dividend shall be conclusive.</w:t>
      </w:r>
    </w:p>
    <w:p>
      <w:pPr>
        <w:spacing w:after="0" w:line="187" w:lineRule="exact"/>
        <w:rPr>
          <w:sz w:val="20"/>
          <w:szCs w:val="20"/>
          <w:color w:val="auto"/>
        </w:rPr>
      </w:pPr>
    </w:p>
    <w:p>
      <w:pPr>
        <w:ind w:left="640" w:right="40" w:hanging="647"/>
        <w:spacing w:after="0" w:line="290" w:lineRule="auto"/>
        <w:tabs>
          <w:tab w:leader="none" w:pos="62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color w:val="auto"/>
        </w:rPr>
        <w:t>Subject to the provisions of the Statutes the Board may if it thinks fit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non-preferred rights as well as in respect of those shares which confer on the holders thereof preferential rights with regard to dividend and the Board may also pay 6 monthly or at other suitable intervals to be settled by it any dividend which may be payable at a fixed rate if it is of the opinion that the profits justify the payment, provided the Directors act bona fide they shall not incur any responsibility to the holders of shares conferring a preference for any damage that they may suffer by reason of the payment of an interim dividend on any shares having deferred or non-preferred rights.</w:t>
      </w:r>
    </w:p>
    <w:p>
      <w:pPr>
        <w:spacing w:after="0" w:line="166"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7"/>
          <w:szCs w:val="17"/>
          <w:color w:val="auto"/>
        </w:rPr>
        <w:t>Notwithstanding any other provision of these Articles the Directors may fix a date as the record date which holders of shares or other securities on the Company’s relevant registers shall be entitled to the receipt of any dividend, distribution, allotment or issue, notice, information and document, and such record date may be on or at any time within 6 months before or after any date on which such dividend, distribution, allotment or issue is declared, paid or made. All dividend and interest shall belong and be paid (subject to any lien of the Company) to those Members whose name shall be on the Register at the record date despite any subsequent transfer or transmission of shares. The Board may retain the dividends payable upon shares in respect of which any person is under the provisions as to the transmission of shares contained in these Articles entitled to become a Member, or which any person is under these provisions entitled to transfer, until that person shall become a Member in respect of these shares or shall transfer them.</w:t>
      </w:r>
    </w:p>
    <w:p>
      <w:pPr>
        <w:spacing w:after="0" w:line="179" w:lineRule="exact"/>
        <w:rPr>
          <w:sz w:val="20"/>
          <w:szCs w:val="20"/>
          <w:color w:val="auto"/>
        </w:rPr>
      </w:pPr>
    </w:p>
    <w:p>
      <w:pPr>
        <w:ind w:left="640" w:right="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8"/>
          <w:szCs w:val="18"/>
          <w:color w:val="auto"/>
        </w:rPr>
        <w:t>With the sanction of a General Meeting, dividends may be paid wholly or in part in specie and may be satisfied in whole or in part by the distribution amongst Members, in accordance with their rights, of fully paid shares, debentures or other securities of the Company or of any other company, or of any other property suitable for distribution as aforesaid provided that no distribution shall be made which would amount to a reduction of capital except in the manner approved by law. The Board shall have full liberty to make all such valuations, adjustments and arrangements (including cash</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60"/>
        <w:spacing w:after="0" w:line="276" w:lineRule="auto"/>
        <w:rPr>
          <w:sz w:val="20"/>
          <w:szCs w:val="20"/>
          <w:color w:val="auto"/>
        </w:rPr>
      </w:pPr>
      <w:r>
        <w:rPr>
          <w:rFonts w:ascii="Arial" w:cs="Arial" w:eastAsia="Arial" w:hAnsi="Arial"/>
          <w:sz w:val="17"/>
          <w:szCs w:val="17"/>
          <w:color w:val="auto"/>
        </w:rPr>
        <w:t>payments to Members upon the basis of the value fixed in order to adjust the rights of Members and vesting any specific assets in trustees upon trust for the persons entitled to the dividend), and to issue, in the case of certificated shares, all such certificates or documents of title as may in its opinion be necessary or expedient with a view to facilitating the equitable distribution amongst the Members of any dividends or portions of dividends to be satisfied as aforesaid or to giving them the benefit of their proper shares and interests in the property and no valuation, adjustment or arrangement so made shall be questioned by any Member.</w:t>
      </w:r>
    </w:p>
    <w:p>
      <w:pPr>
        <w:spacing w:after="0" w:line="169" w:lineRule="exact"/>
        <w:rPr>
          <w:sz w:val="20"/>
          <w:szCs w:val="20"/>
          <w:color w:val="auto"/>
        </w:rPr>
      </w:pPr>
    </w:p>
    <w:p>
      <w:pPr>
        <w:ind w:left="640" w:right="260" w:hanging="647"/>
        <w:spacing w:after="0" w:line="302" w:lineRule="auto"/>
        <w:tabs>
          <w:tab w:leader="none" w:pos="62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6"/>
          <w:szCs w:val="16"/>
          <w:color w:val="auto"/>
        </w:rPr>
        <w:t>Subject as follows, the Directors may resolve that ordinary shareholders will be entitled to elect to receive an allotment of further Ordinary Shares (“a scrip dividend”) credited as fully paid in lieu of any cash dividend or any part of a cash dividend, subject to such exclusions or restrictions as the Directors may in their absolute discretion deem necessary or desirable in relation to compliance with legal or practical problems under the laws of, or the requirements of any recognised regulatory body or any stock exchange in, any territory.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said resolution may specify a particular dividend, or may specify all or any dividends declared within a specified period.</w:t>
      </w:r>
    </w:p>
    <w:p>
      <w:pPr>
        <w:spacing w:after="0" w:line="225" w:lineRule="exact"/>
        <w:rPr>
          <w:sz w:val="20"/>
          <w:szCs w:val="20"/>
          <w:color w:val="auto"/>
        </w:rPr>
      </w:pPr>
    </w:p>
    <w:p>
      <w:pPr>
        <w:ind w:left="640" w:right="220"/>
        <w:spacing w:after="0" w:line="308" w:lineRule="auto"/>
        <w:rPr>
          <w:sz w:val="20"/>
          <w:szCs w:val="20"/>
          <w:color w:val="auto"/>
        </w:rPr>
      </w:pPr>
      <w:r>
        <w:rPr>
          <w:rFonts w:ascii="Arial" w:cs="Arial" w:eastAsia="Arial" w:hAnsi="Arial"/>
          <w:sz w:val="17"/>
          <w:szCs w:val="17"/>
          <w:color w:val="auto"/>
        </w:rPr>
        <w:t>The Directors shall determine the basis of allotment so that, as nearly as they consider convenient, the value of the further Ordinary Shares, including any fractional entitlement, equals the amount of the cash dividend which would otherwise have been paid.</w:t>
      </w:r>
    </w:p>
    <w:p>
      <w:pPr>
        <w:spacing w:after="0" w:line="147" w:lineRule="exact"/>
        <w:rPr>
          <w:sz w:val="20"/>
          <w:szCs w:val="20"/>
          <w:color w:val="auto"/>
        </w:rPr>
      </w:pPr>
    </w:p>
    <w:p>
      <w:pPr>
        <w:ind w:left="640" w:right="240"/>
        <w:spacing w:after="0" w:line="259" w:lineRule="auto"/>
        <w:rPr>
          <w:sz w:val="20"/>
          <w:szCs w:val="20"/>
          <w:color w:val="auto"/>
        </w:rPr>
      </w:pPr>
      <w:r>
        <w:rPr>
          <w:rFonts w:ascii="Arial" w:cs="Arial" w:eastAsia="Arial" w:hAnsi="Arial"/>
          <w:sz w:val="18"/>
          <w:szCs w:val="18"/>
          <w:color w:val="auto"/>
        </w:rPr>
        <w:t>For this purpose, the value of the further Ordinary Shares should be calculated by reference to the middle-market quotation, adjusted if necessary for the proposed dividend, as published by the London Stock Exchange, or the middle-market quotation of American Depositary Shares in NASDAQ for the five business days immediately preceding or following the announcement of the relevant cash dividend, as the Directors decide.</w:t>
      </w:r>
    </w:p>
    <w:p>
      <w:pPr>
        <w:spacing w:after="0" w:line="187"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color w:val="auto"/>
        </w:rPr>
        <w:t>A certificate or report by the auditors as to the amount of the relevant value in respect of any dividend shall be conclusive evidence of that amount.</w:t>
      </w:r>
    </w:p>
    <w:p>
      <w:pPr>
        <w:spacing w:after="0" w:line="170"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color w:val="auto"/>
        </w:rPr>
        <w:t>The Directors shall give notice in writing to the ordinary shareholders of their rights of election in respect of the scrip dividend and of the procedure to be followed in order for an election to be made. In relation to uncertificated shares, the Directors may make such arrangements as they in their absolute discretion think fit (subject always to the facilities and requirements of the relevant system concerned).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 Ordinary Shares shall be allotted in accordance with valid elections.</w:t>
      </w:r>
    </w:p>
    <w:p>
      <w:pPr>
        <w:spacing w:after="0" w:line="225"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The Directors shall capitalise a sum equal to the aggregate nominal amount of the further Ordinary Shares to be allotted out of any sums available for the purpose which the Directors consider appropriate.</w:t>
      </w:r>
    </w:p>
    <w:p>
      <w:pPr>
        <w:sectPr>
          <w:pgSz w:w="11900" w:h="16838" w:orient="portrait"/>
          <w:cols w:equalWidth="0" w:num="1">
            <w:col w:w="10900"/>
          </w:cols>
          <w:pgMar w:left="740" w:top="121" w:right="259" w:bottom="45" w:gutter="0" w:footer="0" w:header="0"/>
        </w:sectPr>
      </w:pPr>
    </w:p>
    <w:bookmarkStart w:id="264" w:name="page265"/>
    <w:bookmarkEnd w:id="264"/>
    <w:p>
      <w:pPr>
        <w:spacing w:after="0" w:line="133" w:lineRule="exact"/>
        <w:rPr>
          <w:sz w:val="20"/>
          <w:szCs w:val="20"/>
          <w:color w:val="auto"/>
        </w:rPr>
      </w:pPr>
    </w:p>
    <w:p>
      <w:pPr>
        <w:ind w:left="640" w:right="220"/>
        <w:spacing w:after="0" w:line="255" w:lineRule="auto"/>
        <w:rPr>
          <w:sz w:val="20"/>
          <w:szCs w:val="20"/>
          <w:color w:val="auto"/>
        </w:rPr>
      </w:pPr>
      <w:r>
        <w:rPr>
          <w:rFonts w:ascii="Arial" w:cs="Arial" w:eastAsia="Arial" w:hAnsi="Arial"/>
          <w:sz w:val="18"/>
          <w:szCs w:val="18"/>
          <w:color w:val="auto"/>
        </w:rPr>
        <w:t>The further Ordinary Shares allotted shall rank pari passu in all respects with the fully paid Ordinary Shares then in issue except only as regards participation in the relevant cash dividend or shares in lieu of that cash dividend. Unless the Directors otherwise determine (and subject always to the Regulations and the requirements of the relevant system concerned), the Ordinary Shares so allotted shall be issued as certificated shares (where the Ordinary Shares in respect of which they have been allotted were certificated shares at the Scrip Record Time) or as uncertificated shares (where the Ordinary Shares in respect of which they have been allotted were uncertificated shares at the Scrip Record Time) provided that if the Company</w:t>
      </w:r>
    </w:p>
    <w:p>
      <w:pPr>
        <w:spacing w:after="0" w:line="19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40"/>
        <w:spacing w:after="0" w:line="302" w:lineRule="auto"/>
        <w:rPr>
          <w:sz w:val="20"/>
          <w:szCs w:val="20"/>
          <w:color w:val="auto"/>
        </w:rPr>
      </w:pPr>
      <w:r>
        <w:rPr>
          <w:rFonts w:ascii="Arial" w:cs="Arial" w:eastAsia="Arial" w:hAnsi="Arial"/>
          <w:sz w:val="16"/>
          <w:szCs w:val="16"/>
          <w:color w:val="auto"/>
        </w:rPr>
        <w:t>is unable under the facilities and requirements of the relevant system concerned to issue Ordinary Shares in respect of the person entitled thereto as uncertificated shares able to be evidenced and transferred without a written instrument, such shares shall be issued as certificated shares; for these purposes, “</w:t>
      </w:r>
      <w:r>
        <w:rPr>
          <w:rFonts w:ascii="Arial" w:cs="Arial" w:eastAsia="Arial" w:hAnsi="Arial"/>
          <w:sz w:val="16"/>
          <w:szCs w:val="16"/>
          <w:b w:val="1"/>
          <w:bCs w:val="1"/>
          <w:color w:val="auto"/>
        </w:rPr>
        <w:t>Scrip Record Time</w:t>
      </w:r>
      <w:r>
        <w:rPr>
          <w:rFonts w:ascii="Arial" w:cs="Arial" w:eastAsia="Arial" w:hAnsi="Arial"/>
          <w:sz w:val="16"/>
          <w:szCs w:val="16"/>
          <w:color w:val="auto"/>
        </w:rPr>
        <w:t>” means such time on the record date for determining the entitlements of Members to make elections as described in this Article, or on such other date, as the Directors may in their absolute discretion determine.</w:t>
      </w:r>
    </w:p>
    <w:p>
      <w:pPr>
        <w:spacing w:after="0" w:line="154" w:lineRule="exact"/>
        <w:rPr>
          <w:sz w:val="20"/>
          <w:szCs w:val="20"/>
          <w:color w:val="auto"/>
        </w:rPr>
      </w:pPr>
    </w:p>
    <w:p>
      <w:pPr>
        <w:ind w:left="640" w:right="440"/>
        <w:spacing w:after="0" w:line="342" w:lineRule="auto"/>
        <w:rPr>
          <w:sz w:val="20"/>
          <w:szCs w:val="20"/>
          <w:color w:val="auto"/>
        </w:rPr>
      </w:pPr>
      <w:r>
        <w:rPr>
          <w:rFonts w:ascii="Arial" w:cs="Arial" w:eastAsia="Arial" w:hAnsi="Arial"/>
          <w:sz w:val="16"/>
          <w:szCs w:val="16"/>
          <w:color w:val="auto"/>
        </w:rPr>
        <w:t>The Directors may resolve that the rights to elect for a scrip dividend shall not be made available to shareholders resident in a country or countries where, in the opinion of the Directors, compliance with local laws or regulatory requirements would be unduly burdensome.</w:t>
      </w:r>
    </w:p>
    <w:p>
      <w:pPr>
        <w:spacing w:after="0" w:line="124" w:lineRule="exact"/>
        <w:rPr>
          <w:sz w:val="20"/>
          <w:szCs w:val="20"/>
          <w:color w:val="auto"/>
        </w:rPr>
      </w:pPr>
    </w:p>
    <w:p>
      <w:pPr>
        <w:ind w:left="640" w:right="120"/>
        <w:spacing w:after="0" w:line="293" w:lineRule="auto"/>
        <w:rPr>
          <w:sz w:val="20"/>
          <w:szCs w:val="20"/>
          <w:color w:val="auto"/>
        </w:rPr>
      </w:pPr>
      <w:r>
        <w:rPr>
          <w:rFonts w:ascii="Arial" w:cs="Arial" w:eastAsia="Arial" w:hAnsi="Arial"/>
          <w:sz w:val="16"/>
          <w:szCs w:val="16"/>
          <w:color w:val="auto"/>
        </w:rPr>
        <w:t>The Directors may do anything which they consider necessary or expedient for the purpose of or in connection with the allotment or issue of further Ordinary Shares under this Article, and may authorise any person, acting on behalf of the holders concerned, to enter into an agreement with the Company providing for such allotment and incidental matters and any agreement made under such authority shall be effective and binding on all concerned, and may make any provisions which they think fit in the case of shares becoming distributable in fractions, including, in the case of uncertificated shares, the issue of fractional entitlements. The Directors may also include provisions under which all or any part of the benefit of fractional entitlements accrues to the Company rather than to the shareholders concerned.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Directors may only make a scrip dividend available if:</w:t>
      </w:r>
    </w:p>
    <w:p>
      <w:pPr>
        <w:spacing w:after="0" w:line="225" w:lineRule="exact"/>
        <w:rPr>
          <w:sz w:val="20"/>
          <w:szCs w:val="20"/>
          <w:color w:val="auto"/>
        </w:rPr>
      </w:pPr>
    </w:p>
    <w:p>
      <w:pPr>
        <w:ind w:left="1020" w:hanging="384"/>
        <w:spacing w:after="0" w:line="277" w:lineRule="auto"/>
        <w:tabs>
          <w:tab w:leader="none" w:pos="1000" w:val="left"/>
        </w:tabs>
        <w:rPr>
          <w:sz w:val="20"/>
          <w:szCs w:val="20"/>
          <w:color w:val="auto"/>
        </w:rPr>
      </w:pPr>
      <w:r>
        <w:rPr>
          <w:rFonts w:ascii="Arial" w:cs="Arial" w:eastAsia="Arial" w:hAnsi="Arial"/>
          <w:sz w:val="18"/>
          <w:szCs w:val="18"/>
          <w:color w:val="auto"/>
        </w:rPr>
        <w:t>(a)</w:t>
        <w:tab/>
        <w:t>the Company has sufficient unissued shares and undistributed profits or reserves to give effect to the elections which could be made to receive the scrip dividend; and</w:t>
      </w:r>
    </w:p>
    <w:p>
      <w:pPr>
        <w:spacing w:after="0" w:line="170" w:lineRule="exact"/>
        <w:rPr>
          <w:sz w:val="20"/>
          <w:szCs w:val="20"/>
          <w:color w:val="auto"/>
        </w:rPr>
      </w:pPr>
    </w:p>
    <w:p>
      <w:pPr>
        <w:ind w:left="1020" w:right="180" w:hanging="385"/>
        <w:spacing w:after="0" w:line="264" w:lineRule="auto"/>
        <w:tabs>
          <w:tab w:leader="none" w:pos="103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has by ordinary resolution authorised the Directors’ exercise of their powers under this Article in relation to the dividend concerned or in relation to any dividends which are declared or paid in respect of a particular financial year or period of the Company and which include the dividend concerned.</w:t>
      </w:r>
    </w:p>
    <w:p>
      <w:pPr>
        <w:spacing w:after="0" w:line="18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color w:val="auto"/>
        </w:rPr>
        <w:t>However, an ordinary resolution may not authorise the Directors to exercise their powers under this Article in relation to a dividend declared or paid in respect of a financial year or period commencing more than 5 years after the date on which the resolution is passed.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Directors may, in their discretion, amend, suspend or terminate any offer which is in operation.</w:t>
      </w:r>
    </w:p>
    <w:p>
      <w:pPr>
        <w:spacing w:after="0" w:line="221" w:lineRule="exact"/>
        <w:rPr>
          <w:sz w:val="20"/>
          <w:szCs w:val="20"/>
          <w:color w:val="auto"/>
        </w:rPr>
      </w:pPr>
    </w:p>
    <w:p>
      <w:pPr>
        <w:ind w:left="640" w:right="20" w:hanging="647"/>
        <w:spacing w:after="0" w:line="291" w:lineRule="auto"/>
        <w:tabs>
          <w:tab w:leader="none" w:pos="620" w:val="left"/>
        </w:tabs>
        <w:rPr>
          <w:sz w:val="20"/>
          <w:szCs w:val="20"/>
          <w:color w:val="auto"/>
        </w:rPr>
      </w:pPr>
      <w:r>
        <w:rPr>
          <w:rFonts w:ascii="Arial" w:cs="Arial" w:eastAsia="Arial" w:hAnsi="Arial"/>
          <w:sz w:val="18"/>
          <w:szCs w:val="18"/>
          <w:b w:val="1"/>
          <w:bCs w:val="1"/>
          <w:color w:val="auto"/>
        </w:rPr>
        <w:t>33.8</w:t>
      </w:r>
      <w:r>
        <w:rPr>
          <w:sz w:val="20"/>
          <w:szCs w:val="20"/>
          <w:color w:val="auto"/>
        </w:rPr>
        <w:tab/>
      </w:r>
      <w:r>
        <w:rPr>
          <w:rFonts w:ascii="Arial" w:cs="Arial" w:eastAsia="Arial" w:hAnsi="Arial"/>
          <w:sz w:val="16"/>
          <w:szCs w:val="16"/>
          <w:color w:val="auto"/>
        </w:rPr>
        <w:t>Any dividend, instalment of dividend or interest or other moneys payable in cash in respect of any share may be paid by cheque or warrant payable to the order of the Member entitled thereto or (in the case of joint holders) of that Member whose name stands first on the Register in respect of the joint holding. Every such cheque or warrant shall (unless otherwise directed) be sent by post to the last registered address of the Member entitled thereto, and payment of the cheque or warrant shall be a good discharge to the Company for the same. Any such dividend or other moneys may also be paid by such other method (including, without limitation, direct debit, bank or other funds transfer system) as the Directors may in their absolute discretion think fit (subject always, in the case of uncertificated shares, to the facilities and requirements of the relevant system concerned where payment is to be made by means of such system) to or through such person as the holder or person</w:t>
      </w:r>
    </w:p>
    <w:p>
      <w:pPr>
        <w:spacing w:after="0" w:line="17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20"/>
        <w:spacing w:after="0" w:line="286" w:lineRule="auto"/>
        <w:rPr>
          <w:sz w:val="20"/>
          <w:szCs w:val="20"/>
          <w:color w:val="auto"/>
        </w:rPr>
      </w:pPr>
      <w:r>
        <w:rPr>
          <w:rFonts w:ascii="Arial" w:cs="Arial" w:eastAsia="Arial" w:hAnsi="Arial"/>
          <w:sz w:val="16"/>
          <w:szCs w:val="16"/>
          <w:color w:val="auto"/>
        </w:rPr>
        <w:t>entitled may in writing direct. If cheques or warrants in respect of dividends are returned undelivered or are left uncashed on two consecutive occasions the Board may determine that the Company shall cease sending such cheques or warrants by post to the Member or person concerned save, subject to these Articles, the Company shall recommence sending cheques or warrants or transferring funds or using other means of payment, as the case may be, in respect of dividends payable on these shares if the holder or person entitled by transmission claims the arrears of dividend in which event the Company shall resume payment of dividend (and arrears) as notified by the claimant, or in the absence of such notification, in the same manner in which payment was effected prior to the suspension of the payment of the dividend. Every such cheque or warrant so sent and every payment so made shall be at the risk of the person entitled to the money represented thereby. Payment of a cheque or warrant by the bank on which it was drawn, the transfer of the funds by the bank instructed to make the same or the making of payment otherwise in accordance with this Article shall be a good discharge by the Company. The Company shall have no responsibility for any sums lost or delayed in the course of payment by a method selected by the Directors pursuant to this Article, or where it has acted on any directions given by the holder or person entitled. Subject to the provisions of these Articles and to the rights attaching to, or the terms of issue of, any shares, any dividend or other moneys payable on or in respect of a share may be declared or paid in such currency as the Directors may think fit or otherwise determine. The Directors may decide the rate of exchange for any currency conversions that may be required and how any costs involved are to be met, in relation to the currency of any dividend. No unpaid dividend, interest or other monies payable in respect of the shares in the capital of the Company shall bear interest as against the Company.</w:t>
      </w:r>
    </w:p>
    <w:p>
      <w:pPr>
        <w:spacing w:after="0" w:line="165" w:lineRule="exact"/>
        <w:rPr>
          <w:sz w:val="20"/>
          <w:szCs w:val="20"/>
          <w:color w:val="auto"/>
        </w:rPr>
      </w:pPr>
    </w:p>
    <w:p>
      <w:pPr>
        <w:jc w:val="center"/>
        <w:ind w:right="40"/>
        <w:spacing w:after="0"/>
        <w:tabs>
          <w:tab w:leader="none" w:pos="300" w:val="left"/>
        </w:tabs>
        <w:rPr>
          <w:sz w:val="20"/>
          <w:szCs w:val="20"/>
          <w:color w:val="auto"/>
        </w:rPr>
      </w:pPr>
      <w:r>
        <w:rPr>
          <w:rFonts w:ascii="Arial" w:cs="Arial" w:eastAsia="Arial" w:hAnsi="Arial"/>
          <w:sz w:val="18"/>
          <w:szCs w:val="18"/>
          <w:b w:val="1"/>
          <w:bCs w:val="1"/>
          <w:color w:val="auto"/>
        </w:rPr>
        <w:t>33.9</w:t>
      </w:r>
      <w:r>
        <w:rPr>
          <w:sz w:val="20"/>
          <w:szCs w:val="20"/>
          <w:color w:val="auto"/>
        </w:rPr>
        <w:tab/>
      </w:r>
      <w:r>
        <w:rPr>
          <w:rFonts w:ascii="Arial" w:cs="Arial" w:eastAsia="Arial" w:hAnsi="Arial"/>
          <w:sz w:val="16"/>
          <w:szCs w:val="16"/>
          <w:color w:val="auto"/>
        </w:rPr>
        <w:t>The Board may deduct from any dividend or other moneys payable in respect of any shares held by a Member, either alone or jointly with any</w:t>
      </w:r>
    </w:p>
    <w:p>
      <w:pPr>
        <w:spacing w:after="0" w:line="27" w:lineRule="exact"/>
        <w:rPr>
          <w:sz w:val="20"/>
          <w:szCs w:val="20"/>
          <w:color w:val="auto"/>
        </w:rPr>
      </w:pPr>
    </w:p>
    <w:p>
      <w:pPr>
        <w:ind w:left="640" w:right="140"/>
        <w:spacing w:after="0" w:line="254" w:lineRule="auto"/>
        <w:rPr>
          <w:sz w:val="20"/>
          <w:szCs w:val="20"/>
          <w:color w:val="auto"/>
        </w:rPr>
      </w:pPr>
      <w:r>
        <w:rPr>
          <w:rFonts w:ascii="Arial" w:cs="Arial" w:eastAsia="Arial" w:hAnsi="Arial"/>
          <w:sz w:val="18"/>
          <w:szCs w:val="18"/>
          <w:color w:val="auto"/>
        </w:rPr>
        <w:t>other Member, all such sums of money (if any) as may be due and payable by him either alone or jointly with any other person to the Company on account of calls or otherwise in respect of shares of the Company. The Board may retain any dividend or other moneys payable on or in respect of a share on which the Company has a lien, and may apply them in or towards satisfaction of the debts, liabilities or engagements in respect of which the lien exists.</w:t>
      </w:r>
    </w:p>
    <w:p>
      <w:pPr>
        <w:spacing w:after="0" w:line="186" w:lineRule="exact"/>
        <w:rPr>
          <w:sz w:val="20"/>
          <w:szCs w:val="20"/>
          <w:color w:val="auto"/>
        </w:rPr>
      </w:pPr>
    </w:p>
    <w:p>
      <w:pPr>
        <w:ind w:left="640" w:right="180" w:hanging="647"/>
        <w:spacing w:after="0" w:line="342" w:lineRule="auto"/>
        <w:tabs>
          <w:tab w:leader="none" w:pos="620" w:val="left"/>
        </w:tabs>
        <w:rPr>
          <w:sz w:val="20"/>
          <w:szCs w:val="20"/>
          <w:color w:val="auto"/>
        </w:rPr>
      </w:pPr>
      <w:r>
        <w:rPr>
          <w:rFonts w:ascii="Arial" w:cs="Arial" w:eastAsia="Arial" w:hAnsi="Arial"/>
          <w:sz w:val="18"/>
          <w:szCs w:val="18"/>
          <w:b w:val="1"/>
          <w:bCs w:val="1"/>
          <w:color w:val="auto"/>
        </w:rPr>
        <w:t>33.10</w:t>
      </w:r>
      <w:r>
        <w:rPr>
          <w:sz w:val="20"/>
          <w:szCs w:val="20"/>
          <w:color w:val="auto"/>
        </w:rPr>
        <w:tab/>
      </w:r>
      <w:r>
        <w:rPr>
          <w:rFonts w:ascii="Arial" w:cs="Arial" w:eastAsia="Arial" w:hAnsi="Arial"/>
          <w:sz w:val="16"/>
          <w:szCs w:val="16"/>
          <w:color w:val="auto"/>
        </w:rPr>
        <w:t>All unclaimed dividends or other monies payable on or in respect of a share may be invested or otherwise made use of by the Board for the benefit of the Company until claimed and the payment of any such dividend into a separate account or the investment of such dividend shall</w:t>
      </w:r>
    </w:p>
    <w:p>
      <w:pPr>
        <w:sectPr>
          <w:pgSz w:w="11900" w:h="16971" w:orient="portrait"/>
          <w:cols w:equalWidth="0" w:num="1">
            <w:col w:w="10920"/>
          </w:cols>
          <w:pgMar w:left="740" w:top="125" w:right="239" w:bottom="0" w:gutter="0" w:footer="0" w:header="0"/>
        </w:sectPr>
      </w:pPr>
    </w:p>
    <w:bookmarkStart w:id="265" w:name="page266"/>
    <w:bookmarkEnd w:id="265"/>
    <w:p>
      <w:pPr>
        <w:spacing w:after="0" w:line="90" w:lineRule="exact"/>
        <w:rPr>
          <w:sz w:val="20"/>
          <w:szCs w:val="20"/>
          <w:color w:val="auto"/>
        </w:rPr>
      </w:pPr>
    </w:p>
    <w:p>
      <w:pPr>
        <w:ind w:left="1020" w:right="140"/>
        <w:spacing w:after="0" w:line="312" w:lineRule="auto"/>
        <w:rPr>
          <w:sz w:val="20"/>
          <w:szCs w:val="20"/>
          <w:color w:val="auto"/>
        </w:rPr>
      </w:pPr>
      <w:r>
        <w:rPr>
          <w:rFonts w:ascii="Arial" w:cs="Arial" w:eastAsia="Arial" w:hAnsi="Arial"/>
          <w:sz w:val="16"/>
          <w:szCs w:val="16"/>
          <w:color w:val="auto"/>
        </w:rPr>
        <w:t>not constitute the Company a trustee in respect thereof. No dividend shall bear interest as against the Company. Any dividend which has remained unclaimed for a period of 12 years from the date of declaration and payment thereof shall, if the Board so resolve, at the expiration of that period be forfeited and cease to remain owing by the Company and shall thenceforth belong to the Company absolutely.</w:t>
      </w:r>
    </w:p>
    <w:p>
      <w:pPr>
        <w:spacing w:after="0" w:line="143" w:lineRule="exact"/>
        <w:rPr>
          <w:sz w:val="20"/>
          <w:szCs w:val="20"/>
          <w:color w:val="auto"/>
        </w:rPr>
      </w:pPr>
    </w:p>
    <w:p>
      <w:pPr>
        <w:ind w:left="1000" w:hanging="647"/>
        <w:spacing w:after="0" w:line="273" w:lineRule="auto"/>
        <w:tabs>
          <w:tab w:leader="none" w:pos="980" w:val="left"/>
        </w:tabs>
        <w:rPr>
          <w:sz w:val="20"/>
          <w:szCs w:val="20"/>
          <w:color w:val="auto"/>
        </w:rPr>
      </w:pPr>
      <w:r>
        <w:rPr>
          <w:rFonts w:ascii="Arial" w:cs="Arial" w:eastAsia="Arial" w:hAnsi="Arial"/>
          <w:sz w:val="18"/>
          <w:szCs w:val="18"/>
          <w:b w:val="1"/>
          <w:bCs w:val="1"/>
          <w:color w:val="auto"/>
        </w:rPr>
        <w:t>33.11</w:t>
      </w:r>
      <w:r>
        <w:rPr>
          <w:sz w:val="20"/>
          <w:szCs w:val="20"/>
          <w:color w:val="auto"/>
        </w:rPr>
        <w:tab/>
      </w:r>
      <w:r>
        <w:rPr>
          <w:rFonts w:ascii="Arial" w:cs="Arial" w:eastAsia="Arial" w:hAnsi="Arial"/>
          <w:sz w:val="17"/>
          <w:szCs w:val="17"/>
          <w:color w:val="auto"/>
        </w:rPr>
        <w:t>The Board may before recommending any dividend set aside out of the profits of the Company (including any premiums received upon the issue of debentures or other securities or rights of the Company) such sums as it thinks proper as a reserve fund or reserve funds which shall at the discretion of the Board be applicable for any purpose for which the profits of the Company may lawfully be applied, and pending such application the Board may employ the sums from time to time so set apart as aforesaid in the business of the Company or invest the same in such securities (other than the shares of the Company or its holding company) as it may select. The Board may also from time to time carry forward such sums as it may deem expedient in the interests of the Company not to divide.</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CAPITALISATION OF PROFITS AND RESERVES</w:t>
      </w:r>
    </w:p>
    <w:p>
      <w:pPr>
        <w:spacing w:after="0" w:line="225" w:lineRule="exact"/>
        <w:rPr>
          <w:sz w:val="20"/>
          <w:szCs w:val="20"/>
          <w:color w:val="auto"/>
        </w:rPr>
      </w:pPr>
    </w:p>
    <w:p>
      <w:pPr>
        <w:ind w:left="1020" w:right="40" w:hanging="647"/>
        <w:spacing w:after="0" w:line="269" w:lineRule="auto"/>
        <w:tabs>
          <w:tab w:leader="none" w:pos="100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7"/>
          <w:szCs w:val="17"/>
          <w:color w:val="auto"/>
        </w:rPr>
        <w:t>The Company may, upon the recommendation of the Board, by ordinary resolution resolve to capitalise any sum standing to the credit of any of the Company’s reserve accounts (including any share premium account and any capital redemption reserve fund) or any sum standing to the credit of profit and loss account or otherwise available for distribution, provided that such sum be not required for paying the dividends on any shares carrying a fixed cumulative preferential dividend, and accordingly that the Board be authorised and directed to appropriate the sum resolved to be capitalised to the Members in the proportions in which such sum would have been divisible amongst them had the same been applied or been applicable in paying dividends and to apply such sum on their behalf, either in or towards paying up the amounts, if any, for the time being unpaid on any shares held by such Members respectively or in paying up in full unissued shares or debentures of the Company of a nominal amount equal to such sum such shares or debentures to be allotted and distributed credited as fully paid up to and amongst such Members in the proportions aforesaid or partly in one way and partly in the other, provided that a sum standing to the credit of a share premium account or a capital redemption reserve fund may only be applied hereunder in the paying up of unissued shares to be allotted to Members as fully paid.</w:t>
      </w:r>
    </w:p>
    <w:p>
      <w:pPr>
        <w:spacing w:after="0" w:line="183" w:lineRule="exact"/>
        <w:rPr>
          <w:sz w:val="20"/>
          <w:szCs w:val="20"/>
          <w:color w:val="auto"/>
        </w:rPr>
      </w:pPr>
    </w:p>
    <w:p>
      <w:pPr>
        <w:ind w:left="1020" w:right="4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8"/>
          <w:szCs w:val="18"/>
          <w:color w:val="auto"/>
        </w:rPr>
        <w:t>The Company in General Meeting may on the recommendation of the Board resolve that it is desirable to capitalise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shares to those members of the Company for the time being who would have been entitled to that sum if it were distributed by way of dividend (and in the same proportions) and the Board shall give effect to such resolution.</w:t>
      </w:r>
    </w:p>
    <w:p>
      <w:pPr>
        <w:spacing w:after="0" w:line="188" w:lineRule="exact"/>
        <w:rPr>
          <w:sz w:val="20"/>
          <w:szCs w:val="20"/>
          <w:color w:val="auto"/>
        </w:rPr>
      </w:pPr>
    </w:p>
    <w:p>
      <w:pPr>
        <w:jc w:val="both"/>
        <w:ind w:left="1020" w:right="120" w:hanging="647"/>
        <w:spacing w:after="0" w:line="255" w:lineRule="auto"/>
        <w:tabs>
          <w:tab w:leader="none" w:pos="100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8"/>
          <w:szCs w:val="18"/>
          <w:color w:val="auto"/>
        </w:rPr>
        <w:t>The Company may upon recommendation of the Board, by ordinary resolution, resolve to issue Ordinary Shares pursuant to the exercise of warrants issued by the Company pursuant to a warrant instrument executed by the Company on 17 June 2016 by way of a non-pre-emptive bonus issue of Ordinary Shares to the relevant warrantholder, paid up in full by the capitalisation of any sum standing to the credit of any of the Company’s reserve accounts from time to time (including any share premium account, any capital redemption reserve, or other permitted distributable reserve from time to time) or any sum standing to the credit of the profit and loss account or otherwise available for distribution from time to time.</w:t>
      </w:r>
    </w:p>
    <w:p>
      <w:pPr>
        <w:spacing w:after="0" w:line="193" w:lineRule="exact"/>
        <w:rPr>
          <w:sz w:val="20"/>
          <w:szCs w:val="20"/>
          <w:color w:val="auto"/>
        </w:rPr>
      </w:pPr>
    </w:p>
    <w:p>
      <w:pPr>
        <w:ind w:left="1020" w:right="20" w:hanging="647"/>
        <w:spacing w:after="0" w:line="272" w:lineRule="auto"/>
        <w:tabs>
          <w:tab w:leader="none" w:pos="100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7"/>
          <w:szCs w:val="17"/>
          <w:color w:val="auto"/>
        </w:rPr>
        <w:t>Whenever such a resolution as aforesaid is passed, the Board shall make all appropriations and applications of the sum resolved to be capitalised thereby and all allotments and issues of fully paid shares or debentures, if any, and generally shall do all acts and things required to give effect thereto with full power to the Board to make such provision by the issue of certificates in respect of fractional entitlements or by payment in cash or otherwise as it thinks fit for the case of shares or debentures becoming distributable in fractions, and also to authorise any person to enter on behalf of all the Members interested into any agreement with the Company providing for the allotment to them respectively credited as fully paid up of any further shares to which they may be entitled upon such capitalisation and any agreement made under such authority shall be effective and binding on all such Members.</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color w:val="auto"/>
        </w:rPr>
        <w:t>ACCOUNTS</w:t>
      </w:r>
    </w:p>
    <w:p>
      <w:pPr>
        <w:spacing w:after="0" w:line="225" w:lineRule="exact"/>
        <w:rPr>
          <w:sz w:val="20"/>
          <w:szCs w:val="20"/>
          <w:color w:val="auto"/>
        </w:rPr>
      </w:pPr>
    </w:p>
    <w:p>
      <w:pPr>
        <w:ind w:left="1020" w:right="4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8"/>
          <w:szCs w:val="18"/>
          <w:color w:val="auto"/>
        </w:rPr>
        <w:t>The Board shall cause proper accounts and accounting records to be kept and the provisions of the Statutes in this regard shall be complied with. The books of account and accounting records shall be kept at the Office or subject to the provisions of the Statutes at such other place or places as the Board thinks fit and shall always be open to the inspection of any Director.</w:t>
      </w:r>
    </w:p>
    <w:p>
      <w:pPr>
        <w:spacing w:after="0" w:line="181" w:lineRule="exact"/>
        <w:rPr>
          <w:sz w:val="20"/>
          <w:szCs w:val="20"/>
          <w:color w:val="auto"/>
        </w:rPr>
      </w:pPr>
    </w:p>
    <w:p>
      <w:pPr>
        <w:ind w:left="1020" w:right="60" w:hanging="647"/>
        <w:spacing w:after="0" w:line="257" w:lineRule="auto"/>
        <w:tabs>
          <w:tab w:leader="none" w:pos="100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8"/>
          <w:szCs w:val="18"/>
          <w:color w:val="auto"/>
        </w:rPr>
        <w:t>The Board shall from time to time determine whether in any particular case or class of cases or generally and to what extent and at what times and places and under what conditions or regulations (subject to the provisions of the Statutes) the accounts and books of the Company or any of them, shall be open to the inspection of Members, and no Member (not being a Director) shall have any right of inspecting any account or book or document of the Company, except as conferred by Statute or authorised by the Board or by a resolution of the Company in General Meeting or under an order of a Court of competent jurisdiction.</w:t>
      </w:r>
    </w:p>
    <w:p>
      <w:pPr>
        <w:spacing w:after="0" w:line="188" w:lineRule="exact"/>
        <w:rPr>
          <w:sz w:val="20"/>
          <w:szCs w:val="20"/>
          <w:color w:val="auto"/>
        </w:rPr>
      </w:pPr>
    </w:p>
    <w:p>
      <w:pPr>
        <w:ind w:left="1020" w:right="100" w:hanging="647"/>
        <w:spacing w:after="0" w:line="308" w:lineRule="auto"/>
        <w:tabs>
          <w:tab w:leader="none" w:pos="100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7"/>
          <w:szCs w:val="17"/>
          <w:color w:val="auto"/>
        </w:rPr>
        <w:t>The Board shall in accordance with the provisions of the Statutes cause to be prepared and to be laid before the Company in General Meeting such profit and loss accounts, balance sheets, group accounts (if any) and reports as are referred to in the Statutes.</w:t>
      </w:r>
    </w:p>
    <w:p>
      <w:pPr>
        <w:spacing w:after="0" w:line="147" w:lineRule="exact"/>
        <w:rPr>
          <w:sz w:val="20"/>
          <w:szCs w:val="20"/>
          <w:color w:val="auto"/>
        </w:rPr>
      </w:pPr>
    </w:p>
    <w:p>
      <w:pPr>
        <w:ind w:left="1020" w:right="40" w:hanging="647"/>
        <w:spacing w:after="0" w:line="291" w:lineRule="auto"/>
        <w:tabs>
          <w:tab w:leader="none" w:pos="100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6"/>
          <w:szCs w:val="16"/>
          <w:color w:val="auto"/>
        </w:rPr>
        <w:t>A printed copy of every Directors’ report and ‘auditor’s report accompanied by the balance sheet and profit and loss account which is to be laid before a General Meeting of the Company (including every document required by law to be attached or annexed thereto) shall not less than 21 days before the date of the meeting be delivered or sent to every shareholder and to every holder of debentures of the Company and to every other person who is entitled to receive notices of meetings from the Company under the provisions of the Statutes or of these Articles, provided that this Article shall not require a copy of such documents to be sent to any person to whom the Company is not required to send the same nor to any person of whose address the Company is not aware nor to more than one of the joint holders of any shares or debentures, but any Member or debenture holder to whom a copy of these documents has not been sent shall be entitled to receive a copy free of charge</w:t>
      </w:r>
    </w:p>
    <w:p>
      <w:pPr>
        <w:sectPr>
          <w:pgSz w:w="11900" w:h="16928" w:orient="portrait"/>
          <w:cols w:equalWidth="0" w:num="1">
            <w:col w:w="11300"/>
          </w:cols>
          <w:pgMar w:left="360" w:top="125" w:right="239" w:bottom="0" w:gutter="0" w:footer="0" w:header="0"/>
        </w:sectPr>
      </w:pPr>
    </w:p>
    <w:bookmarkStart w:id="266" w:name="page267"/>
    <w:bookmarkEnd w:id="266"/>
    <w:p>
      <w:pPr>
        <w:spacing w:after="0" w:line="133" w:lineRule="exact"/>
        <w:rPr>
          <w:sz w:val="20"/>
          <w:szCs w:val="20"/>
          <w:color w:val="auto"/>
        </w:rPr>
      </w:pPr>
    </w:p>
    <w:p>
      <w:pPr>
        <w:jc w:val="both"/>
        <w:ind w:left="1020" w:right="20"/>
        <w:spacing w:after="0" w:line="312" w:lineRule="auto"/>
        <w:rPr>
          <w:sz w:val="20"/>
          <w:szCs w:val="20"/>
          <w:color w:val="auto"/>
        </w:rPr>
      </w:pPr>
      <w:r>
        <w:rPr>
          <w:rFonts w:ascii="Arial" w:cs="Arial" w:eastAsia="Arial" w:hAnsi="Arial"/>
          <w:sz w:val="16"/>
          <w:szCs w:val="16"/>
          <w:color w:val="auto"/>
        </w:rPr>
        <w:t>on application at the Office. Whenever all or any of the shares in or debentures or securities of the Company are listed or dealt in on any stock exchange in the United Kingdom or the United States of America, there shall at the same time be forwarded to the appropriate officer of such stock exchange such number of copies of such documents as may for the time being be required under its regulations or practice.</w:t>
      </w:r>
    </w:p>
    <w:p>
      <w:pPr>
        <w:spacing w:after="0" w:line="14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6"/>
          <w:szCs w:val="16"/>
          <w:color w:val="auto"/>
        </w:rPr>
        <w:t>Every account of the Company, when audited and approved by an annual General Meeting, shall be conclusive.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AUDIT</w:t>
      </w:r>
    </w:p>
    <w:p>
      <w:pPr>
        <w:spacing w:after="0" w:line="225" w:lineRule="exact"/>
        <w:rPr>
          <w:sz w:val="20"/>
          <w:szCs w:val="20"/>
          <w:color w:val="auto"/>
        </w:rPr>
      </w:pPr>
    </w:p>
    <w:p>
      <w:pPr>
        <w:ind w:left="1020" w:right="16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8"/>
          <w:szCs w:val="18"/>
          <w:color w:val="auto"/>
        </w:rPr>
        <w:t>In accordance with the requirements of the Statutes the accounts of the Company shall be examined and the truth and fairness of the balance sheet, profit and loss account and group accounts (if any) reported on by an auditor or auditors.</w:t>
      </w:r>
    </w:p>
    <w:p>
      <w:pPr>
        <w:spacing w:after="0" w:line="170" w:lineRule="exact"/>
        <w:rPr>
          <w:sz w:val="20"/>
          <w:szCs w:val="20"/>
          <w:color w:val="auto"/>
        </w:rPr>
      </w:pPr>
    </w:p>
    <w:p>
      <w:pPr>
        <w:ind w:left="1020" w:right="24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8"/>
          <w:szCs w:val="18"/>
          <w:color w:val="auto"/>
        </w:rPr>
        <w:t>Auditors shall be appointed and their duties, powers, rights and remuneration regulated in accordance with the provisions of the Statutes. 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w:t>
      </w:r>
    </w:p>
    <w:p>
      <w:pPr>
        <w:spacing w:after="0" w:line="187"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6"/>
          <w:szCs w:val="16"/>
          <w:color w:val="auto"/>
        </w:rPr>
        <w:t>The ‘auditors’ report shall be read before the Company in General Meeting</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right="40"/>
        <w:spacing w:after="0" w:line="286" w:lineRule="auto"/>
        <w:rPr>
          <w:sz w:val="20"/>
          <w:szCs w:val="20"/>
          <w:color w:val="auto"/>
        </w:rPr>
      </w:pPr>
      <w:r>
        <w:rPr>
          <w:rFonts w:ascii="Arial" w:cs="Arial" w:eastAsia="Arial" w:hAnsi="Arial"/>
          <w:sz w:val="17"/>
          <w:szCs w:val="17"/>
          <w:color w:val="auto"/>
        </w:rPr>
        <w:t>and shall be open to inspection as required by the Statutes. The auditor or auditors shall be entitled to attend any General Meeting and to receive notices of and other communications relating to any General Meeting which any Member is entitled to receive, and to be heard at any General Meeting on any part of the business of the Meeting which concerns him or them as auditor or auditors.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UNTRACED SHAREHOLDERS</w:t>
      </w:r>
    </w:p>
    <w:p>
      <w:pPr>
        <w:spacing w:after="0" w:line="225" w:lineRule="exact"/>
        <w:rPr>
          <w:sz w:val="20"/>
          <w:szCs w:val="20"/>
          <w:color w:val="auto"/>
        </w:rPr>
      </w:pPr>
    </w:p>
    <w:p>
      <w:pPr>
        <w:ind w:left="1020" w:right="52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8"/>
          <w:szCs w:val="18"/>
          <w:color w:val="auto"/>
        </w:rPr>
        <w:t>The Company shall be entitled to sell at the best price reasonably obtainable any shares of a Member or any shares to which a person is entitled by virtue of transmission on death or bankruptcy if and provided that:</w:t>
      </w:r>
    </w:p>
    <w:p>
      <w:pPr>
        <w:spacing w:after="0" w:line="174" w:lineRule="exact"/>
        <w:rPr>
          <w:sz w:val="20"/>
          <w:szCs w:val="20"/>
          <w:color w:val="auto"/>
        </w:rPr>
      </w:pPr>
    </w:p>
    <w:p>
      <w:pPr>
        <w:ind w:left="1400" w:right="100" w:hanging="385"/>
        <w:spacing w:after="0" w:line="257" w:lineRule="auto"/>
        <w:tabs>
          <w:tab w:leader="none" w:pos="140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during the period of 12 years prior to the date of the publication of the advertisements referred to in Article 37.1(b) below (or, if published on different dates the earlier or earliest thereof) at least 3 dividends in respect of the Shares in question have become payable and all warrants and cheques in respect of the Shares in question sent in the manner authorised by these Articles have been returned or remained uncashed and unclaimed or, following one such occasion, reasonable enquiries have failed to establish any new address of the registered holder; and</w:t>
      </w:r>
    </w:p>
    <w:p>
      <w:pPr>
        <w:spacing w:after="0" w:line="188" w:lineRule="exact"/>
        <w:rPr>
          <w:rFonts w:ascii="Arial" w:cs="Arial" w:eastAsia="Arial" w:hAnsi="Arial"/>
          <w:sz w:val="18"/>
          <w:szCs w:val="18"/>
          <w:color w:val="auto"/>
        </w:rPr>
      </w:pPr>
    </w:p>
    <w:p>
      <w:pPr>
        <w:ind w:left="1400" w:right="40" w:hanging="385"/>
        <w:spacing w:after="0" w:line="279" w:lineRule="auto"/>
        <w:tabs>
          <w:tab w:leader="none" w:pos="141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Company on expiry of the said period of 12 years shall have inserted advertisements (which if not published on the same day, shall have been published within 30 days of each other), both in a leading national newspaper published in the United Kingdom and in a newspaper circulating in the area of the last known address of the Member or person entitled by transmission or the registered address as appearing in the Register of such Member, giving notice of its intention to sell the said shares; and</w:t>
      </w:r>
    </w:p>
    <w:p>
      <w:pPr>
        <w:spacing w:after="0" w:line="171" w:lineRule="exact"/>
        <w:rPr>
          <w:rFonts w:ascii="Arial" w:cs="Arial" w:eastAsia="Arial" w:hAnsi="Arial"/>
          <w:sz w:val="17"/>
          <w:szCs w:val="17"/>
          <w:color w:val="auto"/>
        </w:rPr>
      </w:pPr>
    </w:p>
    <w:p>
      <w:pPr>
        <w:ind w:left="1400" w:hanging="385"/>
        <w:spacing w:after="0" w:line="259" w:lineRule="auto"/>
        <w:tabs>
          <w:tab w:leader="none" w:pos="141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during the said period of 12 years and the period of three months following the date of publication of the said advertisements (or, if published on different dates, the later or latest thereof) and prior to the exercise of the power of sale the Company shall not have received indication, either of the whereabouts or of the existence of such Member or person and no dividend which has become payable during that period has been claimed; and</w:t>
      </w:r>
    </w:p>
    <w:p>
      <w:pPr>
        <w:spacing w:after="0" w:line="186" w:lineRule="exact"/>
        <w:rPr>
          <w:rFonts w:ascii="Arial" w:cs="Arial" w:eastAsia="Arial" w:hAnsi="Arial"/>
          <w:sz w:val="18"/>
          <w:szCs w:val="18"/>
          <w:color w:val="auto"/>
        </w:rPr>
      </w:pPr>
    </w:p>
    <w:p>
      <w:pPr>
        <w:ind w:left="1400" w:right="120" w:hanging="385"/>
        <w:spacing w:after="0" w:line="277" w:lineRule="auto"/>
        <w:tabs>
          <w:tab w:leader="none" w:pos="141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notice shall have been given to the London Stock Exchange of its intention to make such sale, if shares of the class concerned are listed or dealt in on that exchange.</w:t>
      </w:r>
    </w:p>
    <w:p>
      <w:pPr>
        <w:spacing w:after="0" w:line="166" w:lineRule="exact"/>
        <w:rPr>
          <w:sz w:val="20"/>
          <w:szCs w:val="20"/>
          <w:color w:val="auto"/>
        </w:rPr>
      </w:pPr>
    </w:p>
    <w:p>
      <w:pPr>
        <w:ind w:left="1020" w:hanging="647"/>
        <w:spacing w:after="0" w:line="270" w:lineRule="auto"/>
        <w:tabs>
          <w:tab w:leader="none" w:pos="100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color w:val="auto"/>
        </w:rPr>
        <w:t>To give effect to any such sale the Company may appoint any person to execute as transferor an instrument of transfer of the said shares and such instrument of transfer shall be as effective as if it had been executed by the registered holder of or person entitled by transmission to such shares and the title of the transferee shall not be affected by any irregularity or invalidity in the proceedings relating thereto. The person so appointed may enter the name of the transferee in respect of the transferred shares in the Register notwithstanding the absence of any share certificate being lodged in respect thereof and may issue a new certificate to the transferee. The net proceeds of sale shall belong to the Company which shall be obliged to account to the former Member or other person previously entitled as aforesaid for an amount equal to such proceeds and shall enter the name of such former Member or other person in the book of the Company as a creditor for such amount.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shares of the Company or its holding company if any) as the Directors may from time to time think fit.</w:t>
      </w:r>
    </w:p>
    <w:p>
      <w:pPr>
        <w:spacing w:after="0" w:line="221" w:lineRule="exact"/>
        <w:rPr>
          <w:sz w:val="20"/>
          <w:szCs w:val="20"/>
          <w:color w:val="auto"/>
        </w:rPr>
      </w:pPr>
    </w:p>
    <w:p>
      <w:pPr>
        <w:ind w:left="1020" w:right="16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8"/>
          <w:szCs w:val="18"/>
          <w:color w:val="auto"/>
        </w:rPr>
        <w:t>If during the period of 12 years referred to in Article 37.1(a), or during any period ending on the date when all the requirements of Articles 37.1(a) to (c) have been satisfied, any additional shares have been issued in respect of those held at the beginning of, or previously so issued during, any such period and all the requirements of Articles 37.1(b) and (c) have been satisfied in regard to such additional shares, the Company shall also be entitled to sell the additional shares.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NOTICES</w:t>
      </w:r>
    </w:p>
    <w:p>
      <w:pPr>
        <w:spacing w:after="0" w:line="225" w:lineRule="exact"/>
        <w:rPr>
          <w:sz w:val="20"/>
          <w:szCs w:val="20"/>
          <w:color w:val="auto"/>
        </w:rPr>
      </w:pPr>
    </w:p>
    <w:p>
      <w:pPr>
        <w:ind w:left="1020" w:right="60" w:hanging="647"/>
        <w:spacing w:after="0" w:line="342" w:lineRule="auto"/>
        <w:tabs>
          <w:tab w:leader="none" w:pos="100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6"/>
          <w:szCs w:val="16"/>
          <w:color w:val="auto"/>
        </w:rPr>
        <w:t>A notice or other document may be served by the Company upon any Member either personally or by sending it through the post in a prepaid letter addressed to such Member at his registered address as appearing in the Register or by delivering it to or leaving it at that address</w:t>
      </w:r>
    </w:p>
    <w:p>
      <w:pPr>
        <w:sectPr>
          <w:pgSz w:w="11900" w:h="16971" w:orient="portrait"/>
          <w:cols w:equalWidth="0" w:num="1">
            <w:col w:w="11280"/>
          </w:cols>
          <w:pgMar w:left="360" w:top="125" w:right="259" w:bottom="0" w:gutter="0" w:footer="0" w:header="0"/>
        </w:sectPr>
      </w:pPr>
    </w:p>
    <w:bookmarkStart w:id="267" w:name="page268"/>
    <w:bookmarkEnd w:id="267"/>
    <w:p>
      <w:pPr>
        <w:spacing w:after="0" w:line="59"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color w:val="auto"/>
        </w:rPr>
        <w:t>addressed as aforesaid, or by electronic communications (except for share certificates) to a number or address used for the purpose of such communications notified by the Member in writing or by any other means, including making it available on a website, provided such other means has been authorised in writing by the Member concerned.</w:t>
      </w:r>
    </w:p>
    <w:p>
      <w:pPr>
        <w:spacing w:after="0" w:line="177" w:lineRule="exact"/>
        <w:rPr>
          <w:sz w:val="20"/>
          <w:szCs w:val="20"/>
          <w:color w:val="auto"/>
        </w:rPr>
      </w:pPr>
    </w:p>
    <w:p>
      <w:pPr>
        <w:ind w:left="640" w:right="160" w:hanging="647"/>
        <w:spacing w:after="0" w:line="308" w:lineRule="auto"/>
        <w:tabs>
          <w:tab w:leader="none" w:pos="62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7"/>
          <w:szCs w:val="17"/>
          <w:color w:val="auto"/>
        </w:rPr>
        <w:t>All notices directed to be given to the Members shall with respect to any share to which persons are jointly entitled be given to whichever of such persons is named first in the Register, and notice given shall be sufficient notice to all the holders of such share.</w:t>
      </w:r>
    </w:p>
    <w:p>
      <w:pPr>
        <w:spacing w:after="0" w:line="147" w:lineRule="exact"/>
        <w:rPr>
          <w:sz w:val="20"/>
          <w:szCs w:val="20"/>
          <w:color w:val="auto"/>
        </w:rPr>
      </w:pPr>
    </w:p>
    <w:p>
      <w:pPr>
        <w:ind w:left="640" w:right="120" w:hanging="647"/>
        <w:spacing w:after="0" w:line="276" w:lineRule="auto"/>
        <w:tabs>
          <w:tab w:leader="none" w:pos="62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7"/>
          <w:szCs w:val="17"/>
          <w:color w:val="auto"/>
        </w:rPr>
        <w:t>Any Member described in the Register by an address not within the United Kingdom who shall from time to time give the Company an address within the United Kingdom at which notices may be served upon him or an address to which notices or other documents may be sent in electronic form shall be entitled to have notices served upon him at such address and, without prejudice any notice of a General Meeting which is in fact or purports to be given to such members shall be ignored for the purpose of determining the validity of the proceedings at such General Meeting, but otherwise no such Member shall be entitled to receive any notice from the Company.</w:t>
      </w:r>
    </w:p>
    <w:p>
      <w:pPr>
        <w:spacing w:after="0" w:line="173" w:lineRule="exact"/>
        <w:rPr>
          <w:sz w:val="20"/>
          <w:szCs w:val="20"/>
          <w:color w:val="auto"/>
        </w:rPr>
      </w:pPr>
    </w:p>
    <w:p>
      <w:pPr>
        <w:ind w:left="640" w:hanging="647"/>
        <w:spacing w:after="0" w:line="276" w:lineRule="auto"/>
        <w:tabs>
          <w:tab w:leader="none" w:pos="620" w:val="left"/>
        </w:tabs>
        <w:rPr>
          <w:sz w:val="20"/>
          <w:szCs w:val="20"/>
          <w:color w:val="auto"/>
        </w:rPr>
      </w:pPr>
      <w:r>
        <w:rPr>
          <w:rFonts w:ascii="Arial" w:cs="Arial" w:eastAsia="Arial" w:hAnsi="Arial"/>
          <w:sz w:val="18"/>
          <w:szCs w:val="18"/>
          <w:b w:val="1"/>
          <w:bCs w:val="1"/>
          <w:color w:val="auto"/>
        </w:rPr>
        <w:t>38.4</w:t>
      </w:r>
      <w:r>
        <w:rPr>
          <w:sz w:val="20"/>
          <w:szCs w:val="20"/>
          <w:color w:val="auto"/>
        </w:rPr>
        <w:tab/>
      </w:r>
      <w:r>
        <w:rPr>
          <w:rFonts w:ascii="Arial" w:cs="Arial" w:eastAsia="Arial" w:hAnsi="Arial"/>
          <w:sz w:val="17"/>
          <w:szCs w:val="17"/>
          <w:color w:val="auto"/>
        </w:rPr>
        <w:t>A Member who (having no registered address within the United Kingdom) has not supplied to the Company an address within the United Kingdom for the service of notices shall not be entitled to receive any document, information or notice from the Company except to the extent that the Directors decide to send a document, information or a notice to that Member or custodian at a Depositary by electronic means and that Member or custodian at the Depositary has consented (or is deemed to have consented) to the sending of that document, information or notice by electronic means and has, where necessary, notified the Company of an address for that purpose.</w:t>
      </w:r>
    </w:p>
    <w:p>
      <w:pPr>
        <w:spacing w:after="0" w:line="173" w:lineRule="exact"/>
        <w:rPr>
          <w:sz w:val="20"/>
          <w:szCs w:val="20"/>
          <w:color w:val="auto"/>
        </w:rPr>
      </w:pPr>
    </w:p>
    <w:p>
      <w:pPr>
        <w:ind w:left="640" w:right="80" w:hanging="647"/>
        <w:spacing w:after="0" w:line="273" w:lineRule="auto"/>
        <w:tabs>
          <w:tab w:leader="none" w:pos="620" w:val="left"/>
        </w:tabs>
        <w:rPr>
          <w:sz w:val="20"/>
          <w:szCs w:val="20"/>
          <w:color w:val="auto"/>
        </w:rPr>
      </w:pPr>
      <w:r>
        <w:rPr>
          <w:rFonts w:ascii="Arial" w:cs="Arial" w:eastAsia="Arial" w:hAnsi="Arial"/>
          <w:sz w:val="18"/>
          <w:szCs w:val="18"/>
          <w:b w:val="1"/>
          <w:bCs w:val="1"/>
          <w:color w:val="auto"/>
        </w:rPr>
        <w:t>38.5</w:t>
      </w:r>
      <w:r>
        <w:rPr>
          <w:sz w:val="20"/>
          <w:szCs w:val="20"/>
          <w:color w:val="auto"/>
        </w:rPr>
        <w:tab/>
      </w:r>
      <w:r>
        <w:rPr>
          <w:rFonts w:ascii="Arial" w:cs="Arial" w:eastAsia="Arial" w:hAnsi="Arial"/>
          <w:sz w:val="17"/>
          <w:szCs w:val="17"/>
          <w:color w:val="auto"/>
        </w:rPr>
        <w:t>Any summons, notice, order or other document required to be sent to or served upon the Company or upon any officer of the Company may be sent or served by leaving the same or sending it through the post in a prepaid registered letter addressed to the Company or to such officer, at the Office, or sent or delivered by electronic communications to a number or address used for the purpose of such communications notified by the Company in its communications to Members for this purpose. If a notice or document is sent to the Company by electronic communications, it is treated as being delivered at the time it was received. Electronic communications received by the Company which cannot be read or opened or which contain a computer virus will not be treated as being received.</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40" w:hanging="647"/>
        <w:spacing w:after="0" w:line="269" w:lineRule="auto"/>
        <w:tabs>
          <w:tab w:leader="none" w:pos="620" w:val="left"/>
        </w:tabs>
        <w:rPr>
          <w:sz w:val="20"/>
          <w:szCs w:val="20"/>
          <w:color w:val="auto"/>
        </w:rPr>
      </w:pPr>
      <w:r>
        <w:rPr>
          <w:rFonts w:ascii="Arial" w:cs="Arial" w:eastAsia="Arial" w:hAnsi="Arial"/>
          <w:sz w:val="18"/>
          <w:szCs w:val="18"/>
          <w:b w:val="1"/>
          <w:bCs w:val="1"/>
          <w:color w:val="auto"/>
        </w:rPr>
        <w:t>38.6</w:t>
      </w:r>
      <w:r>
        <w:rPr>
          <w:sz w:val="20"/>
          <w:szCs w:val="20"/>
          <w:color w:val="auto"/>
        </w:rPr>
        <w:tab/>
      </w:r>
      <w:r>
        <w:rPr>
          <w:rFonts w:ascii="Arial" w:cs="Arial" w:eastAsia="Arial" w:hAnsi="Arial"/>
          <w:sz w:val="17"/>
          <w:szCs w:val="17"/>
          <w:color w:val="auto"/>
        </w:rPr>
        <w:t>Save as otherwise provided by the Act or by these Articles any notice shall be exclusive of the day on which it is served or deemed to be served and of the day for which it is given. Any notice or other document if served by first class post shall be deemed to have been served on the day following and if served by second class post shall be deemed to have been served on the second day following and if served by airmail shall be deemed to have been served on the second day following that on which the letter containing the same is put into the post, and in proving such service it shall be sufficient to prove that the letter containing the notice or document was properly addressed and put into the post office as a prepaid letter or prepaid registered letter as the case may be. Any notice or other document served or delivered by the Company by an electronic communication shall be deemed to have been duly served or delivered at the time it was sent. Proof that a notice contained in an electronic communication was sent in accordance with guidance issued by the Institute of Chartered Secretaries and Administrators shall be conclusive evidence that the notice was given. A Member present either in person or by proxy, or in the case of a corporate member by duly authorised representative, at any meeting of the Company or holders of any class of shares shall be deemed to have received notice of the meeting and, where requisite, of the purpose for which is was called.</w:t>
      </w:r>
    </w:p>
    <w:p>
      <w:pPr>
        <w:spacing w:after="0" w:line="183"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38.7</w:t>
      </w:r>
      <w:r>
        <w:rPr>
          <w:sz w:val="20"/>
          <w:szCs w:val="20"/>
          <w:color w:val="auto"/>
        </w:rPr>
        <w:tab/>
      </w:r>
      <w:r>
        <w:rPr>
          <w:rFonts w:ascii="Arial" w:cs="Arial" w:eastAsia="Arial" w:hAnsi="Arial"/>
          <w:sz w:val="18"/>
          <w:szCs w:val="18"/>
          <w:color w:val="auto"/>
        </w:rPr>
        <w:t>Any notice sent by a relevant system shall be deemed to have been delivered when the Company, or sponsoring system participates acting on its behalf, sends the issuer instructions relating to the notice or document.</w:t>
      </w:r>
    </w:p>
    <w:p>
      <w:pPr>
        <w:spacing w:after="0" w:line="170" w:lineRule="exact"/>
        <w:rPr>
          <w:sz w:val="20"/>
          <w:szCs w:val="20"/>
          <w:color w:val="auto"/>
        </w:rPr>
      </w:pPr>
    </w:p>
    <w:p>
      <w:pPr>
        <w:ind w:left="640" w:right="20" w:hanging="647"/>
        <w:spacing w:after="0" w:line="289" w:lineRule="auto"/>
        <w:tabs>
          <w:tab w:leader="none" w:pos="620" w:val="left"/>
        </w:tabs>
        <w:rPr>
          <w:sz w:val="20"/>
          <w:szCs w:val="20"/>
          <w:color w:val="auto"/>
        </w:rPr>
      </w:pPr>
      <w:r>
        <w:rPr>
          <w:rFonts w:ascii="Arial" w:cs="Arial" w:eastAsia="Arial" w:hAnsi="Arial"/>
          <w:sz w:val="18"/>
          <w:szCs w:val="18"/>
          <w:b w:val="1"/>
          <w:bCs w:val="1"/>
          <w:color w:val="auto"/>
        </w:rPr>
        <w:t>38.8</w:t>
      </w:r>
      <w:r>
        <w:rPr>
          <w:sz w:val="20"/>
          <w:szCs w:val="20"/>
          <w:color w:val="auto"/>
        </w:rPr>
        <w:tab/>
      </w:r>
      <w:r>
        <w:rPr>
          <w:rFonts w:ascii="Arial" w:cs="Arial" w:eastAsia="Arial" w:hAnsi="Arial"/>
          <w:sz w:val="16"/>
          <w:szCs w:val="16"/>
          <w:color w:val="auto"/>
        </w:rPr>
        <w:t>Any notice or document delivered or sent by post to or left at the registered address of any Member or sent or delivered by an electronic communication to any Member in pursuance of these Articles shall, notwithstanding that such Member be then dead or bankrupt, and whether or not the Company have notice of his death or bankruptcy be deemed to have been duly served in respect of any share registered in the name of such Member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 Save where expressly provided, any document, information or notice sent by post to, left at or sent or supplied using electronic means to the address of any Member in pursuant of these Articles shall, even if the Member is then dead or bankrupt, and whether or not the Company has notice of his death or bankruptcy, be deemed to have been duly sent or supplied in respect of any share registered in the name of such Member as sole or first-named joint-holder.</w:t>
      </w:r>
    </w:p>
    <w:p>
      <w:pPr>
        <w:spacing w:after="0" w:line="167"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Arial" w:cs="Arial" w:eastAsia="Arial" w:hAnsi="Arial"/>
          <w:sz w:val="18"/>
          <w:szCs w:val="18"/>
          <w:b w:val="1"/>
          <w:bCs w:val="1"/>
          <w:color w:val="auto"/>
        </w:rPr>
        <w:t>38.9</w:t>
      </w:r>
      <w:r>
        <w:rPr>
          <w:sz w:val="20"/>
          <w:szCs w:val="20"/>
          <w:color w:val="auto"/>
        </w:rPr>
        <w:tab/>
      </w:r>
      <w:r>
        <w:rPr>
          <w:rFonts w:ascii="Arial" w:cs="Arial" w:eastAsia="Arial" w:hAnsi="Arial"/>
          <w:sz w:val="17"/>
          <w:szCs w:val="17"/>
          <w:color w:val="auto"/>
        </w:rPr>
        <w:t>Any notice required to be given by the Company to the Members or any of them, and not provided for by or pursuant to these Articles shall be sufficiently given by advertisement which shall be inserted once in at least one leading United Kingdom national newspaper. Any notice given by advertisement shall be deemed to have been served at noon on the day on which the advertisement appears.</w:t>
      </w:r>
    </w:p>
    <w:p>
      <w:pPr>
        <w:spacing w:after="0" w:line="166" w:lineRule="exact"/>
        <w:rPr>
          <w:sz w:val="20"/>
          <w:szCs w:val="20"/>
          <w:color w:val="auto"/>
        </w:rPr>
      </w:pPr>
    </w:p>
    <w:p>
      <w:pPr>
        <w:ind w:left="640" w:hanging="647"/>
        <w:spacing w:after="0" w:line="276" w:lineRule="auto"/>
        <w:tabs>
          <w:tab w:leader="none" w:pos="620" w:val="left"/>
        </w:tabs>
        <w:rPr>
          <w:sz w:val="20"/>
          <w:szCs w:val="20"/>
          <w:color w:val="auto"/>
        </w:rPr>
      </w:pPr>
      <w:r>
        <w:rPr>
          <w:rFonts w:ascii="Arial" w:cs="Arial" w:eastAsia="Arial" w:hAnsi="Arial"/>
          <w:sz w:val="18"/>
          <w:szCs w:val="18"/>
          <w:b w:val="1"/>
          <w:bCs w:val="1"/>
          <w:color w:val="auto"/>
        </w:rPr>
        <w:t>38.10</w:t>
      </w:r>
      <w:r>
        <w:rPr>
          <w:sz w:val="20"/>
          <w:szCs w:val="20"/>
          <w:color w:val="auto"/>
        </w:rPr>
        <w:tab/>
      </w:r>
      <w:r>
        <w:rPr>
          <w:rFonts w:ascii="Arial" w:cs="Arial" w:eastAsia="Arial" w:hAnsi="Arial"/>
          <w:sz w:val="17"/>
          <w:szCs w:val="17"/>
          <w:color w:val="auto"/>
        </w:rPr>
        <w:t>If at any time by reason of the suspension or any curtailment of postal services in the United Kingdom the Company is unable effectively to convene a General Meeting by notices sent through the post and the Board has resolved that it is necessary to do so in the interests of the Company, a General Meeting may (subject in the case of an annual General Meeting to Sections 433 to 436 of the 2006 Act) be convened by a notice advertised on the same date in at least one leading United Kingdom national daily newspaper and such notice shall be deemed to have been duly served on all Members entitled thereto at noon on the day when the advertisements appear</w:t>
      </w:r>
    </w:p>
    <w:p>
      <w:pPr>
        <w:spacing w:after="0" w:line="17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220"/>
        <w:spacing w:after="0" w:line="342" w:lineRule="auto"/>
        <w:rPr>
          <w:sz w:val="20"/>
          <w:szCs w:val="20"/>
          <w:color w:val="auto"/>
        </w:rPr>
      </w:pPr>
      <w:r>
        <w:rPr>
          <w:rFonts w:ascii="Arial" w:cs="Arial" w:eastAsia="Arial" w:hAnsi="Arial"/>
          <w:sz w:val="16"/>
          <w:szCs w:val="16"/>
          <w:color w:val="auto"/>
        </w:rPr>
        <w:t>or if the same appear on different days, at noon on the last of the days when the advertisement appears. In any such case the Company shall send confirmatory copies of the notice by post if at least 5 days prior to the meeting the posting of notices again becomes practicable.</w:t>
      </w:r>
    </w:p>
    <w:p>
      <w:pPr>
        <w:spacing w:after="0" w:line="120" w:lineRule="exact"/>
        <w:rPr>
          <w:sz w:val="20"/>
          <w:szCs w:val="20"/>
          <w:color w:val="auto"/>
        </w:rPr>
      </w:pPr>
    </w:p>
    <w:p>
      <w:pPr>
        <w:ind w:left="620" w:right="340" w:hanging="647"/>
        <w:spacing w:after="0" w:line="342" w:lineRule="auto"/>
        <w:tabs>
          <w:tab w:leader="none" w:pos="600" w:val="left"/>
        </w:tabs>
        <w:rPr>
          <w:sz w:val="20"/>
          <w:szCs w:val="20"/>
          <w:color w:val="auto"/>
        </w:rPr>
      </w:pPr>
      <w:r>
        <w:rPr>
          <w:rFonts w:ascii="Arial" w:cs="Arial" w:eastAsia="Arial" w:hAnsi="Arial"/>
          <w:sz w:val="18"/>
          <w:szCs w:val="18"/>
          <w:b w:val="1"/>
          <w:bCs w:val="1"/>
          <w:color w:val="auto"/>
        </w:rPr>
        <w:t>38.11</w:t>
      </w:r>
      <w:r>
        <w:rPr>
          <w:sz w:val="20"/>
          <w:szCs w:val="20"/>
          <w:color w:val="auto"/>
        </w:rPr>
        <w:tab/>
      </w:r>
      <w:r>
        <w:rPr>
          <w:rFonts w:ascii="Arial" w:cs="Arial" w:eastAsia="Arial" w:hAnsi="Arial"/>
          <w:sz w:val="16"/>
          <w:szCs w:val="16"/>
          <w:color w:val="auto"/>
        </w:rPr>
        <w:t>Without prejudice to any other Articles, the accidental failure to send any document, notice or information to or the non-receipt of any document, notice or information relating to any meeting or other proceeding shall not invalidate the relevant meeting or other proceeding.</w:t>
      </w:r>
    </w:p>
    <w:p>
      <w:pPr>
        <w:spacing w:after="0" w:line="124" w:lineRule="exact"/>
        <w:rPr>
          <w:sz w:val="20"/>
          <w:szCs w:val="20"/>
          <w:color w:val="auto"/>
        </w:rPr>
      </w:pPr>
    </w:p>
    <w:p>
      <w:pPr>
        <w:ind w:left="640" w:right="58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38.12</w:t>
      </w:r>
      <w:r>
        <w:rPr>
          <w:sz w:val="20"/>
          <w:szCs w:val="20"/>
          <w:color w:val="auto"/>
        </w:rPr>
        <w:tab/>
      </w:r>
      <w:r>
        <w:rPr>
          <w:rFonts w:ascii="Arial" w:cs="Arial" w:eastAsia="Arial" w:hAnsi="Arial"/>
          <w:sz w:val="18"/>
          <w:szCs w:val="18"/>
          <w:color w:val="auto"/>
        </w:rPr>
        <w:t>Nothing in Articles 38.1 to 38.11 shall affect any provision of the Statutes or any other legislation requiring notices or documents to be delivered in a particular way.</w:t>
      </w:r>
    </w:p>
    <w:p>
      <w:pPr>
        <w:sectPr>
          <w:pgSz w:w="11900" w:h="16898" w:orient="portrait"/>
          <w:cols w:equalWidth="0" w:num="1">
            <w:col w:w="10920"/>
          </w:cols>
          <w:pgMar w:left="740" w:top="125" w:right="239" w:bottom="0" w:gutter="0" w:footer="0" w:header="0"/>
        </w:sectPr>
      </w:pPr>
    </w:p>
    <w:bookmarkStart w:id="268" w:name="page269"/>
    <w:bookmarkEnd w:id="268"/>
    <w:p>
      <w:pPr>
        <w:spacing w:after="0"/>
        <w:tabs>
          <w:tab w:leader="none" w:pos="6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WINDING UP</w:t>
      </w:r>
    </w:p>
    <w:p>
      <w:pPr>
        <w:spacing w:after="0" w:line="225" w:lineRule="exact"/>
        <w:rPr>
          <w:sz w:val="20"/>
          <w:szCs w:val="20"/>
          <w:color w:val="auto"/>
        </w:rPr>
      </w:pPr>
    </w:p>
    <w:p>
      <w:pPr>
        <w:ind w:left="1020" w:right="20" w:hanging="647"/>
        <w:spacing w:after="0" w:line="270" w:lineRule="auto"/>
        <w:tabs>
          <w:tab w:leader="none" w:pos="1000" w:val="left"/>
        </w:tabs>
        <w:rPr>
          <w:sz w:val="20"/>
          <w:szCs w:val="20"/>
          <w:color w:val="auto"/>
        </w:rPr>
      </w:pPr>
      <w:r>
        <w:rPr>
          <w:rFonts w:ascii="Arial" w:cs="Arial" w:eastAsia="Arial" w:hAnsi="Arial"/>
          <w:sz w:val="18"/>
          <w:szCs w:val="18"/>
          <w:b w:val="1"/>
          <w:bCs w:val="1"/>
          <w:color w:val="auto"/>
        </w:rPr>
        <w:t>39.1</w:t>
      </w:r>
      <w:r>
        <w:rPr>
          <w:sz w:val="20"/>
          <w:szCs w:val="20"/>
          <w:color w:val="auto"/>
        </w:rPr>
        <w:tab/>
      </w:r>
      <w:r>
        <w:rPr>
          <w:rFonts w:ascii="Arial" w:cs="Arial" w:eastAsia="Arial" w:hAnsi="Arial"/>
          <w:sz w:val="17"/>
          <w:szCs w:val="17"/>
          <w:color w:val="auto"/>
        </w:rPr>
        <w:t>If the Company shall be wound up (whether the liquidation is altogether voluntary, under supervision or by the Court) the liquidator may, with the authority of a special resolution and any other sanction or authority required by the Statutes, including, the Insolvency Act 1986, divide among the Members (excluding the Company itself to the extent it is a Member by virtue only of its holding of shares as treasury shares) in proportion to their shareholdings in specie or in kind the whole or any part of the assets of the Company, and whether or not the assets shall consist of property of one kind or shall consist of properties of different kinds, and may for such purposes set such value as he deems fair upon any one or more class or classes of property, and may determine how such division shall be carried out as between the Members or different classes of Members. The liquidator may, with the like authority, vest the whole or any part of the assets in trustees upon such trusts for the benefit of Members as the liquidator shall think fit, and the liquidation of the Company may be closed and the Company dissolved, but so that no Member shall be compelled by the liquidator to accept any assets in respect of which there is attached a liability or potential liability.</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INDEMNITY</w:t>
      </w:r>
    </w:p>
    <w:p>
      <w:pPr>
        <w:spacing w:after="0" w:line="225" w:lineRule="exact"/>
        <w:rPr>
          <w:sz w:val="20"/>
          <w:szCs w:val="20"/>
          <w:color w:val="auto"/>
        </w:rPr>
      </w:pPr>
    </w:p>
    <w:p>
      <w:pPr>
        <w:ind w:left="1020" w:right="40" w:hanging="647"/>
        <w:spacing w:after="0" w:line="291" w:lineRule="auto"/>
        <w:tabs>
          <w:tab w:leader="none" w:pos="100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color w:val="auto"/>
        </w:rPr>
        <w:t>Subject always to the provisions of the Statutes, and without prejudice to any protection from liability which may otherwise apply, the Company may, at its discretion and subject to any policies adopted by the Directors from time to time, indemnify every Director or other officer or auditor of the Company or associated company (as defined in Section 256 of the 2006 Act) out of the assets of the Company against all costs, charges, losses, expenses and liabilities which he may sustain or incur in connection with any negligence, default, breach of duty or breach of trust by him in relation to the Company or in relation to the actual or purported execution of the duties of his office or the exercise or purported exercise of his powers or otherwise in relation thereto, including any liability incurred by him in defending any actual or threatened criminal, regulatory or civil proceedings, provided that no such indemnity shall be provided in respect of any liability incurred:</w:t>
      </w:r>
    </w:p>
    <w:p>
      <w:pPr>
        <w:spacing w:after="0" w:line="171" w:lineRule="exact"/>
        <w:rPr>
          <w:sz w:val="20"/>
          <w:szCs w:val="20"/>
          <w:color w:val="auto"/>
        </w:rPr>
      </w:pPr>
    </w:p>
    <w:p>
      <w:pPr>
        <w:ind w:left="1400" w:hanging="385"/>
        <w:spacing w:after="0"/>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by a Director:</w:t>
      </w:r>
    </w:p>
    <w:p>
      <w:pPr>
        <w:spacing w:after="0" w:line="225" w:lineRule="exact"/>
        <w:rPr>
          <w:rFonts w:ascii="Arial" w:cs="Arial" w:eastAsia="Arial" w:hAnsi="Arial"/>
          <w:sz w:val="18"/>
          <w:szCs w:val="18"/>
          <w:color w:val="auto"/>
        </w:rPr>
      </w:pPr>
    </w:p>
    <w:p>
      <w:pPr>
        <w:ind w:left="1800" w:hanging="399"/>
        <w:spacing w:after="0"/>
        <w:tabs>
          <w:tab w:leader="none" w:pos="18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to the Company or any associated company of the Company;</w:t>
      </w:r>
    </w:p>
    <w:p>
      <w:pPr>
        <w:spacing w:after="0" w:line="225" w:lineRule="exact"/>
        <w:rPr>
          <w:rFonts w:ascii="Arial" w:cs="Arial" w:eastAsia="Arial" w:hAnsi="Arial"/>
          <w:sz w:val="18"/>
          <w:szCs w:val="18"/>
          <w:color w:val="auto"/>
        </w:rPr>
      </w:pPr>
    </w:p>
    <w:p>
      <w:pPr>
        <w:ind w:left="1780" w:right="380" w:hanging="379"/>
        <w:spacing w:after="0" w:line="277" w:lineRule="auto"/>
        <w:tabs>
          <w:tab w:leader="none" w:pos="180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to pay a fine imposed in any criminal proceedings or a penalty imposed by a regulatory authority for non-compliance with any requirement of a regulatory nature (however arising);</w:t>
      </w:r>
    </w:p>
    <w:p>
      <w:pPr>
        <w:spacing w:after="0" w:line="170" w:lineRule="exact"/>
        <w:rPr>
          <w:rFonts w:ascii="Arial" w:cs="Arial" w:eastAsia="Arial" w:hAnsi="Arial"/>
          <w:sz w:val="18"/>
          <w:szCs w:val="18"/>
          <w:color w:val="auto"/>
        </w:rPr>
      </w:pPr>
    </w:p>
    <w:p>
      <w:pPr>
        <w:ind w:left="1820" w:hanging="419"/>
        <w:spacing w:after="0"/>
        <w:tabs>
          <w:tab w:leader="none" w:pos="18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in defending any criminal proceedings in which he is convicted;</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780" w:hanging="379"/>
        <w:spacing w:after="0" w:line="277" w:lineRule="auto"/>
        <w:tabs>
          <w:tab w:leader="none" w:pos="17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of the Company, in which judgment is given against him; or</w:t>
      </w:r>
    </w:p>
    <w:p>
      <w:pPr>
        <w:spacing w:after="0" w:line="170" w:lineRule="exact"/>
        <w:rPr>
          <w:rFonts w:ascii="Arial" w:cs="Arial" w:eastAsia="Arial" w:hAnsi="Arial"/>
          <w:sz w:val="18"/>
          <w:szCs w:val="18"/>
          <w:color w:val="auto"/>
        </w:rPr>
      </w:pPr>
    </w:p>
    <w:p>
      <w:pPr>
        <w:ind w:left="1780" w:hanging="379"/>
        <w:spacing w:after="0"/>
        <w:tabs>
          <w:tab w:leader="none" w:pos="17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connection with any application for relief under the Statutes in which the court refuses to grant him relief; or</w:t>
      </w:r>
    </w:p>
    <w:p>
      <w:pPr>
        <w:spacing w:after="0" w:line="225" w:lineRule="exact"/>
        <w:rPr>
          <w:sz w:val="20"/>
          <w:szCs w:val="20"/>
          <w:color w:val="auto"/>
        </w:rPr>
      </w:pPr>
    </w:p>
    <w:p>
      <w:pPr>
        <w:ind w:left="1420" w:hanging="405"/>
        <w:spacing w:after="0"/>
        <w:tabs>
          <w:tab w:leader="none" w:pos="14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by an auditor in defending any proceedings (whether civil or criminal) in which judgment is given against him or he is convicted.</w:t>
      </w:r>
    </w:p>
    <w:p>
      <w:pPr>
        <w:spacing w:after="0" w:line="233" w:lineRule="exact"/>
        <w:rPr>
          <w:sz w:val="20"/>
          <w:szCs w:val="20"/>
          <w:color w:val="auto"/>
        </w:rPr>
      </w:pPr>
    </w:p>
    <w:p>
      <w:pPr>
        <w:ind w:left="1020" w:right="100" w:hanging="647"/>
        <w:spacing w:after="0" w:line="270" w:lineRule="auto"/>
        <w:tabs>
          <w:tab w:leader="none" w:pos="100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7"/>
          <w:szCs w:val="17"/>
          <w:color w:val="auto"/>
        </w:rPr>
        <w:t>The Company may at its discretion provide a Director or other officer with funds, or otherwise arrange, to meet expenditure incurred or to be incurred by him or to enable him to avoid incurring such expenditure in defending any criminal or civil proceedings or defending himself in an investigation by a regulatory authority or against action proposed to be taken by a regulatory authority or in connection with any application for relief under the Statues arising in relation to the Company or an associated company by virtue of the actual or purported execution of the duties of his office or the exercise or purported exercise of his powers or otherwise in relation thereto, provided that such funds may only be made available in accordance with the provisions of the Statutes, including on the terms that such funds shall be repaid by the Director or other officer to the Company in the circumstances required by the Statutes, where relevant, or in any other circumstances the Company may prescribe, or where the Company otherwise reserves the right to require repayment, at any time, and the Company at its discretion exercises such right.</w:t>
      </w:r>
    </w:p>
    <w:p>
      <w:pPr>
        <w:spacing w:after="0" w:line="182" w:lineRule="exact"/>
        <w:rPr>
          <w:sz w:val="20"/>
          <w:szCs w:val="20"/>
          <w:color w:val="auto"/>
        </w:rPr>
      </w:pPr>
    </w:p>
    <w:p>
      <w:pPr>
        <w:ind w:left="1020" w:right="28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8"/>
          <w:szCs w:val="18"/>
          <w:color w:val="auto"/>
        </w:rPr>
        <w:t>Articles 40.1 and 40.2 shall permit the Company to give such indemnities and to provide such funding to any persons who were formerly a Director or other officer of the Company where the proceedings brought against him relate to any act or omission alleged to have been committed or to have occurred at a time during which he held such office.</w:t>
      </w:r>
    </w:p>
    <w:p>
      <w:pPr>
        <w:spacing w:after="0" w:line="181" w:lineRule="exact"/>
        <w:rPr>
          <w:sz w:val="20"/>
          <w:szCs w:val="20"/>
          <w:color w:val="auto"/>
        </w:rPr>
      </w:pPr>
    </w:p>
    <w:p>
      <w:pPr>
        <w:ind w:left="1020" w:right="40" w:hanging="647"/>
        <w:spacing w:after="0" w:line="289" w:lineRule="auto"/>
        <w:tabs>
          <w:tab w:leader="none" w:pos="100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6"/>
          <w:szCs w:val="16"/>
          <w:color w:val="auto"/>
        </w:rPr>
        <w:t>Without prejudice to the provisions of Articles 40.1 to 40.3, the Directors shall have power to purchase and maintain insurance for or for the benefit of any persons who are or were at any time Directors, officers or employees of the Company, or of any other company in which the Company or any of the predecessors of the Company has any interest whether direct or indirect or which is in any way allied to or associated with the Company, or of any subsidiary undertaking of the Company or of any such other company, or who are or were at any time trustees of any pension fund in which employees of the Company or of any such other company or subsidiary undertaking are interested, including, (without prejudice to the generality of the foregoing) insurance against any liability incurred by such persons in respect of any act or omission in the actual or purported execution and/or discharge of their duties and/or in the exercise or purported exercise of their powers and/or otherwise in relation to their duties, powers or offices in relation to the Company or any such other company, subsidiary undertaking or pension fund. For the purposes of this Article “subsidiary undertaking” shall have the meaning assigned to it in Section 1162 of the 2006 Act.</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POWER TO APPOINT A PRESIDENT OF THE COMPANY</w:t>
      </w:r>
    </w:p>
    <w:p>
      <w:pPr>
        <w:spacing w:after="0" w:line="225" w:lineRule="exact"/>
        <w:rPr>
          <w:sz w:val="20"/>
          <w:szCs w:val="20"/>
          <w:color w:val="auto"/>
        </w:rPr>
      </w:pPr>
    </w:p>
    <w:p>
      <w:pPr>
        <w:ind w:left="1020" w:hanging="647"/>
        <w:spacing w:after="0" w:line="259" w:lineRule="auto"/>
        <w:tabs>
          <w:tab w:leader="none" w:pos="10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8"/>
          <w:szCs w:val="18"/>
          <w:color w:val="auto"/>
        </w:rPr>
        <w:t>The Board shall have power to appoint any person deemed by the Board to be fit for such appointment to be the President of the Company and any person so appointed shall hold office for life or for such other lesser period as from time to time shall be determined by the Board. If the President is appointed otherwise than from among the Directors then, while he shall not be counted in the quorum at any meeting of the Directors nor shall be entitled</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60" w:top="338" w:right="239" w:bottom="0" w:gutter="0" w:footer="0" w:header="0"/>
        </w:sectPr>
      </w:pPr>
    </w:p>
    <w:bookmarkStart w:id="269" w:name="page270"/>
    <w:bookmarkEnd w:id="269"/>
    <w:p>
      <w:pPr>
        <w:ind w:left="1060" w:right="20"/>
        <w:spacing w:after="0" w:line="264" w:lineRule="auto"/>
        <w:rPr>
          <w:sz w:val="20"/>
          <w:szCs w:val="20"/>
          <w:color w:val="auto"/>
        </w:rPr>
      </w:pPr>
      <w:r>
        <w:rPr>
          <w:rFonts w:ascii="Arial" w:cs="Arial" w:eastAsia="Arial" w:hAnsi="Arial"/>
          <w:sz w:val="18"/>
          <w:szCs w:val="18"/>
          <w:color w:val="auto"/>
        </w:rPr>
        <w:t>to vote on any matter decided at any such meeting or otherwise in any way to exercise any of the rights privileges and powers of a Director, he shall be entitled to attend meetings of the Directors although failure to give notice to the President of any such meeting shall not invalidate such meeting or any business transacted thereat.</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SHARE WARRANTS</w:t>
      </w:r>
    </w:p>
    <w:p>
      <w:pPr>
        <w:spacing w:after="0" w:line="225" w:lineRule="exact"/>
        <w:rPr>
          <w:sz w:val="20"/>
          <w:szCs w:val="20"/>
          <w:color w:val="auto"/>
        </w:rPr>
      </w:pPr>
    </w:p>
    <w:p>
      <w:pPr>
        <w:jc w:val="both"/>
        <w:ind w:left="1020" w:right="60" w:hanging="647"/>
        <w:spacing w:after="0" w:line="266" w:lineRule="auto"/>
        <w:tabs>
          <w:tab w:leader="none" w:pos="100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8"/>
          <w:szCs w:val="18"/>
          <w:color w:val="auto"/>
        </w:rPr>
        <w:t>The Company may, with respect to any fully paid shares, issue a warrant (a “</w:t>
      </w:r>
      <w:r>
        <w:rPr>
          <w:rFonts w:ascii="Arial" w:cs="Arial" w:eastAsia="Arial" w:hAnsi="Arial"/>
          <w:sz w:val="18"/>
          <w:szCs w:val="18"/>
          <w:b w:val="1"/>
          <w:bCs w:val="1"/>
          <w:color w:val="auto"/>
        </w:rPr>
        <w:t>share warrant</w:t>
      </w:r>
      <w:r>
        <w:rPr>
          <w:rFonts w:ascii="Arial" w:cs="Arial" w:eastAsia="Arial" w:hAnsi="Arial"/>
          <w:sz w:val="18"/>
          <w:szCs w:val="18"/>
          <w:color w:val="auto"/>
        </w:rPr>
        <w:t>”) stating that the bearer of the warrant is entitled to the shares specified in it and may provide (by coupons or otherwise) for the payment of future dividends on the shares included in a share warrant.</w:t>
      </w:r>
    </w:p>
    <w:p>
      <w:pPr>
        <w:spacing w:after="0" w:line="176" w:lineRule="exact"/>
        <w:rPr>
          <w:sz w:val="20"/>
          <w:szCs w:val="20"/>
          <w:color w:val="auto"/>
        </w:rPr>
      </w:pPr>
    </w:p>
    <w:p>
      <w:pPr>
        <w:jc w:val="both"/>
        <w:ind w:left="1020" w:right="60" w:hanging="647"/>
        <w:spacing w:after="0" w:line="277" w:lineRule="auto"/>
        <w:tabs>
          <w:tab w:leader="none" w:pos="100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8"/>
          <w:szCs w:val="18"/>
          <w:color w:val="auto"/>
        </w:rPr>
        <w:t>The powers referred to in Article 42.1 may be exercised by the Board, which may determine and vary the conditions on which share warrants shall be issued, and in particular on which:</w:t>
      </w:r>
    </w:p>
    <w:p>
      <w:pPr>
        <w:spacing w:after="0" w:line="174" w:lineRule="exact"/>
        <w:rPr>
          <w:sz w:val="20"/>
          <w:szCs w:val="20"/>
          <w:color w:val="auto"/>
        </w:rPr>
      </w:pPr>
    </w:p>
    <w:p>
      <w:pPr>
        <w:ind w:left="1400" w:hanging="385"/>
        <w:spacing w:after="0" w:line="264" w:lineRule="auto"/>
        <w:tabs>
          <w:tab w:leader="none" w:pos="140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new share warrant or coupon will be issued in the place of one damaged, defaced, worn out or lost (provided that no new share warrant shall be issued to replace one that has been lost unless the Board is satisfied beyond reasonable doubt that the original has been destroyed);</w:t>
      </w:r>
    </w:p>
    <w:p>
      <w:pPr>
        <w:spacing w:after="0" w:line="181" w:lineRule="exact"/>
        <w:rPr>
          <w:rFonts w:ascii="Arial" w:cs="Arial" w:eastAsia="Arial" w:hAnsi="Arial"/>
          <w:sz w:val="18"/>
          <w:szCs w:val="18"/>
          <w:color w:val="auto"/>
        </w:rPr>
      </w:pPr>
    </w:p>
    <w:p>
      <w:pPr>
        <w:ind w:left="1420" w:hanging="405"/>
        <w:spacing w:after="0"/>
        <w:tabs>
          <w:tab w:leader="none" w:pos="14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bearer of a share warrant shall be entitled to receive notice of and to attend, vote and demand a poll at General Meetings;</w:t>
      </w:r>
    </w:p>
    <w:p>
      <w:pPr>
        <w:spacing w:after="0" w:line="236" w:lineRule="exact"/>
        <w:rPr>
          <w:rFonts w:ascii="Arial" w:cs="Arial" w:eastAsia="Arial" w:hAnsi="Arial"/>
          <w:sz w:val="17"/>
          <w:szCs w:val="17"/>
          <w:color w:val="auto"/>
        </w:rPr>
      </w:pPr>
    </w:p>
    <w:p>
      <w:pPr>
        <w:ind w:left="1420" w:hanging="405"/>
        <w:spacing w:after="0"/>
        <w:tabs>
          <w:tab w:leader="none" w:pos="14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dividends will be paid; and</w:t>
      </w:r>
    </w:p>
    <w:p>
      <w:pPr>
        <w:spacing w:after="0" w:line="225" w:lineRule="exact"/>
        <w:rPr>
          <w:rFonts w:ascii="Arial" w:cs="Arial" w:eastAsia="Arial" w:hAnsi="Arial"/>
          <w:sz w:val="18"/>
          <w:szCs w:val="18"/>
          <w:color w:val="auto"/>
        </w:rPr>
      </w:pPr>
    </w:p>
    <w:p>
      <w:pPr>
        <w:ind w:left="1420" w:hanging="405"/>
        <w:spacing w:after="0"/>
        <w:tabs>
          <w:tab w:leader="none" w:pos="14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 share warrant may be surrendered and the name of the holder entered in the Register in respect of the shares specified in it.</w:t>
      </w:r>
    </w:p>
    <w:p>
      <w:pPr>
        <w:spacing w:after="0" w:line="233" w:lineRule="exact"/>
        <w:rPr>
          <w:sz w:val="20"/>
          <w:szCs w:val="20"/>
          <w:color w:val="auto"/>
        </w:rPr>
      </w:pPr>
    </w:p>
    <w:p>
      <w:pPr>
        <w:jc w:val="both"/>
        <w:ind w:left="1020" w:right="80" w:hanging="647"/>
        <w:spacing w:after="0" w:line="264" w:lineRule="auto"/>
        <w:tabs>
          <w:tab w:leader="none" w:pos="100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8"/>
          <w:szCs w:val="18"/>
          <w:color w:val="auto"/>
        </w:rPr>
        <w:t>Subject to such conditions and to these Articles, the bearer of a share warrant shall be deemed to be a Member for all purposes. The bearer of a share warrant shall be subject to the conditions for the time being in force and applicable thereto, whether made before or after the issue of such share warrant.</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36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E373"/>
    <w:multiLevelType w:val="hybridMultilevel"/>
    <w:lvl w:ilvl="0">
      <w:lvlJc w:val="left"/>
      <w:lvlText w:val="(%1)"/>
      <w:numFmt w:val="decimal"/>
      <w:start w:val="2"/>
    </w:lvl>
  </w:abstractNum>
  <w:abstractNum w:abstractNumId="1">
    <w:nsid w:val="2C27173B"/>
    <w:multiLevelType w:val="hybridMultilevel"/>
    <w:lvl w:ilvl="0">
      <w:lvlJc w:val="left"/>
      <w:lvlText w:val="(%1)"/>
      <w:numFmt w:val="decimal"/>
      <w:start w:val="3"/>
    </w:lvl>
  </w:abstractNum>
  <w:abstractNum w:abstractNumId="2">
    <w:nsid w:val="4C9B0904"/>
    <w:multiLevelType w:val="hybridMultilevel"/>
    <w:lvl w:ilvl="0">
      <w:lvlJc w:val="left"/>
      <w:lvlText w:val="(%1)"/>
      <w:numFmt w:val="decimal"/>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
      <w:numFmt w:val="bullet"/>
      <w:start w:val="1"/>
    </w:lvl>
  </w:abstractNum>
  <w:abstractNum w:abstractNumId="6">
    <w:nsid w:val="3DD15094"/>
    <w:multiLevelType w:val="hybridMultilevel"/>
    <w:lvl w:ilvl="0">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1)"/>
      <w:numFmt w:val="decimal"/>
      <w:start w:val="2"/>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
      <w:numFmt w:val="bullet"/>
      <w:start w:val="1"/>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1)"/>
      <w:numFmt w:val="lowerLetter"/>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1)"/>
      <w:numFmt w:val="decimal"/>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abstractNum>
  <w:abstractNum w:abstractNumId="47">
    <w:nsid w:val="69E7F3E5"/>
    <w:multiLevelType w:val="hybridMultilevel"/>
    <w:lvl w:ilvl="0">
      <w:lvlJc w:val="left"/>
      <w:lvlText w:val="§"/>
      <w:numFmt w:val="bullet"/>
      <w:start w:val="1"/>
    </w:lvl>
  </w:abstractNum>
  <w:abstractNum w:abstractNumId="48">
    <w:nsid w:val="2A6DE806"/>
    <w:multiLevelType w:val="hybridMultilevel"/>
    <w:lvl w:ilvl="0">
      <w:lvlJc w:val="left"/>
      <w:lvlText w:val="§"/>
      <w:numFmt w:val="bullet"/>
      <w:start w:val="1"/>
    </w:lvl>
  </w:abstractNum>
  <w:abstractNum w:abstractNumId="49">
    <w:nsid w:val="1816F8C4"/>
    <w:multiLevelType w:val="hybridMultilevel"/>
    <w:lvl w:ilvl="0">
      <w:lvlJc w:val="left"/>
      <w:lvlText w:val="§"/>
      <w:numFmt w:val="bullet"/>
      <w:start w:val="1"/>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
      <w:numFmt w:val="bullet"/>
      <w:start w:val="1"/>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
      <w:numFmt w:val="bullet"/>
      <w:start w:val="1"/>
    </w:lvl>
  </w:abstractNum>
  <w:abstractNum w:abstractNumId="60">
    <w:nsid w:val="75486E47"/>
    <w:multiLevelType w:val="hybridMultilevel"/>
    <w:lvl w:ilvl="0">
      <w:lvlJc w:val="left"/>
      <w:lvlText w:val="§"/>
      <w:numFmt w:val="bullet"/>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
      <w:numFmt w:val="bullet"/>
      <w:start w:val="1"/>
    </w:lvl>
  </w:abstractNum>
  <w:abstractNum w:abstractNumId="63">
    <w:nsid w:val="65968C1C"/>
    <w:multiLevelType w:val="hybridMultilevel"/>
    <w:lvl w:ilvl="0">
      <w:lvlJc w:val="left"/>
      <w:lvlText w:val="§"/>
      <w:numFmt w:val="bullet"/>
      <w:start w:val="1"/>
    </w:lvl>
  </w:abstractNum>
  <w:abstractNum w:abstractNumId="64">
    <w:nsid w:val="46263DEC"/>
    <w:multiLevelType w:val="hybridMultilevel"/>
    <w:lvl w:ilvl="0">
      <w:lvlJc w:val="left"/>
      <w:lvlText w:val="§"/>
      <w:numFmt w:val="bullet"/>
      <w:start w:val="1"/>
    </w:lvl>
  </w:abstractNum>
  <w:abstractNum w:abstractNumId="65">
    <w:nsid w:val="260D8C4A"/>
    <w:multiLevelType w:val="hybridMultilevel"/>
    <w:lvl w:ilvl="0">
      <w:lvlJc w:val="left"/>
      <w:lvlText w:val="§"/>
      <w:numFmt w:val="bullet"/>
      <w:start w:val="1"/>
    </w:lvl>
  </w:abstractNum>
  <w:abstractNum w:abstractNumId="66">
    <w:nsid w:val="73D4D3C4"/>
    <w:multiLevelType w:val="hybridMultilevel"/>
    <w:lvl w:ilvl="0">
      <w:lvlJc w:val="left"/>
      <w:lvlText w:val="(%1)"/>
      <w:numFmt w:val="decimal"/>
      <w:start w:val="1"/>
    </w:lvl>
  </w:abstractNum>
  <w:abstractNum w:abstractNumId="67">
    <w:nsid w:val="746F2E30"/>
    <w:multiLevelType w:val="hybridMultilevel"/>
    <w:lvl w:ilvl="0">
      <w:lvlJc w:val="left"/>
      <w:lvlText w:val="§"/>
      <w:numFmt w:val="bullet"/>
      <w:start w:val="1"/>
    </w:lvl>
  </w:abstractNum>
  <w:abstractNum w:abstractNumId="68">
    <w:nsid w:val="6FDE8AF6"/>
    <w:multiLevelType w:val="hybridMultilevel"/>
    <w:lvl w:ilvl="0">
      <w:lvlJc w:val="left"/>
      <w:lvlText w:val="§"/>
      <w:numFmt w:val="bullet"/>
      <w:start w:val="1"/>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
      <w:numFmt w:val="bullet"/>
      <w:start w:val="1"/>
    </w:lvl>
  </w:abstractNum>
  <w:abstractNum w:abstractNumId="71">
    <w:nsid w:val="14D53685"/>
    <w:multiLevelType w:val="hybridMultilevel"/>
    <w:lvl w:ilvl="0">
      <w:lvlJc w:val="left"/>
      <w:lvlText w:val="(%1)"/>
      <w:numFmt w:val="decimal"/>
      <w:start w:val="1"/>
    </w:lvl>
  </w:abstractNum>
  <w:abstractNum w:abstractNumId="72">
    <w:nsid w:val="230F856C"/>
    <w:multiLevelType w:val="hybridMultilevel"/>
    <w:lvl w:ilvl="0">
      <w:lvlJc w:val="left"/>
      <w:lvlText w:val="(%1)"/>
      <w:numFmt w:val="lowerRoman"/>
      <w:start w:val="1"/>
    </w:lvl>
  </w:abstractNum>
  <w:abstractNum w:abstractNumId="73">
    <w:nsid w:val="6EAA85FB"/>
    <w:multiLevelType w:val="hybridMultilevel"/>
    <w:lvl w:ilvl="0">
      <w:lvlJc w:val="left"/>
      <w:lvlText w:val="§"/>
      <w:numFmt w:val="bullet"/>
      <w:start w:val="1"/>
    </w:lvl>
  </w:abstractNum>
  <w:abstractNum w:abstractNumId="74">
    <w:nsid w:val="3F06ECB2"/>
    <w:multiLevelType w:val="hybridMultilevel"/>
    <w:lvl w:ilvl="0">
      <w:lvlJc w:val="left"/>
      <w:lvlText w:val="*"/>
      <w:numFmt w:val="bullet"/>
      <w:start w:val="1"/>
    </w:lvl>
  </w:abstractNum>
  <w:abstractNum w:abstractNumId="75">
    <w:nsid w:val="3B594807"/>
    <w:multiLevelType w:val="hybridMultilevel"/>
    <w:lvl w:ilvl="0">
      <w:lvlJc w:val="left"/>
      <w:lvlText w:val="(%1)"/>
      <w:numFmt w:val="decimal"/>
      <w:start w:val="1"/>
    </w:lvl>
  </w:abstractNum>
  <w:abstractNum w:abstractNumId="76">
    <w:nsid w:val="6CAA2304"/>
    <w:multiLevelType w:val="hybridMultilevel"/>
    <w:lvl w:ilvl="0">
      <w:lvlJc w:val="left"/>
      <w:lvlText w:val="(%1)"/>
      <w:numFmt w:val="decimal"/>
      <w:start w:val="3"/>
    </w:lvl>
  </w:abstractNum>
  <w:abstractNum w:abstractNumId="77">
    <w:nsid w:val="3F7C2FF4"/>
    <w:multiLevelType w:val="hybridMultilevel"/>
    <w:lvl w:ilvl="0">
      <w:lvlJc w:val="left"/>
      <w:lvlText w:val="(%1)"/>
      <w:numFmt w:val="decimal"/>
      <w:start w:val="8"/>
    </w:lvl>
  </w:abstractNum>
  <w:abstractNum w:abstractNumId="78">
    <w:nsid w:val="25413BEC"/>
    <w:multiLevelType w:val="hybridMultilevel"/>
    <w:lvl w:ilvl="0">
      <w:lvlJc w:val="left"/>
      <w:lvlText w:val="(%1)"/>
      <w:numFmt w:val="decimal"/>
      <w:start w:val="1"/>
    </w:lvl>
  </w:abstractNum>
  <w:abstractNum w:abstractNumId="79">
    <w:nsid w:val="17180B0B"/>
    <w:multiLevelType w:val="hybridMultilevel"/>
    <w:lvl w:ilvl="0">
      <w:lvlJc w:val="left"/>
      <w:lvlText w:val="§"/>
      <w:numFmt w:val="bullet"/>
      <w:start w:val="1"/>
    </w:lvl>
  </w:abstractNum>
  <w:abstractNum w:abstractNumId="80">
    <w:nsid w:val="579328B9"/>
    <w:multiLevelType w:val="hybridMultilevel"/>
    <w:lvl w:ilvl="0">
      <w:lvlJc w:val="left"/>
      <w:lvlText w:val="§"/>
      <w:numFmt w:val="bullet"/>
      <w:start w:val="1"/>
    </w:lvl>
  </w:abstractNum>
  <w:abstractNum w:abstractNumId="81">
    <w:nsid w:val="5D205E20"/>
    <w:multiLevelType w:val="hybridMultilevel"/>
    <w:lvl w:ilvl="0">
      <w:lvlJc w:val="left"/>
      <w:lvlText w:val="§"/>
      <w:numFmt w:val="bullet"/>
      <w:start w:val="1"/>
    </w:lvl>
  </w:abstractNum>
  <w:abstractNum w:abstractNumId="82">
    <w:nsid w:val="11CCA8BA"/>
    <w:multiLevelType w:val="hybridMultilevel"/>
    <w:lvl w:ilvl="0">
      <w:lvlJc w:val="left"/>
      <w:lvlText w:val="§"/>
      <w:numFmt w:val="bullet"/>
      <w:start w:val="1"/>
    </w:lvl>
  </w:abstractNum>
  <w:abstractNum w:abstractNumId="83">
    <w:nsid w:val="4D32AB86"/>
    <w:multiLevelType w:val="hybridMultilevel"/>
    <w:lvl w:ilvl="0">
      <w:lvlJc w:val="left"/>
      <w:lvlText w:val="§"/>
      <w:numFmt w:val="bullet"/>
      <w:start w:val="1"/>
    </w:lvl>
  </w:abstractNum>
  <w:abstractNum w:abstractNumId="84">
    <w:nsid w:val="3F07ACC3"/>
    <w:multiLevelType w:val="hybridMultilevel"/>
    <w:lvl w:ilvl="0">
      <w:lvlJc w:val="left"/>
      <w:lvlText w:val="§"/>
      <w:numFmt w:val="bullet"/>
      <w:start w:val="1"/>
    </w:lvl>
  </w:abstractNum>
  <w:abstractNum w:abstractNumId="85">
    <w:nsid w:val="6B47F63E"/>
    <w:multiLevelType w:val="hybridMultilevel"/>
    <w:lvl w:ilvl="0">
      <w:lvlJc w:val="left"/>
      <w:lvlText w:val="§"/>
      <w:numFmt w:val="bullet"/>
      <w:start w:val="1"/>
    </w:lvl>
  </w:abstractNum>
  <w:abstractNum w:abstractNumId="86">
    <w:nsid w:val="5CB44A05"/>
    <w:multiLevelType w:val="hybridMultilevel"/>
    <w:lvl w:ilvl="0">
      <w:lvlJc w:val="left"/>
      <w:lvlText w:val="§"/>
      <w:numFmt w:val="bullet"/>
      <w:start w:val="1"/>
    </w:lvl>
  </w:abstractNum>
  <w:abstractNum w:abstractNumId="87">
    <w:nsid w:val="16CF80F1"/>
    <w:multiLevelType w:val="hybridMultilevel"/>
    <w:lvl w:ilvl="0">
      <w:lvlJc w:val="left"/>
      <w:lvlText w:val="§"/>
      <w:numFmt w:val="bullet"/>
      <w:start w:val="1"/>
    </w:lvl>
  </w:abstractNum>
  <w:abstractNum w:abstractNumId="88">
    <w:nsid w:val="1C695DEC"/>
    <w:multiLevelType w:val="hybridMultilevel"/>
    <w:lvl w:ilvl="0">
      <w:lvlJc w:val="left"/>
      <w:lvlText w:val="§"/>
      <w:numFmt w:val="bullet"/>
      <w:start w:val="1"/>
    </w:lvl>
  </w:abstractNum>
  <w:abstractNum w:abstractNumId="89">
    <w:nsid w:val="3FCFAED9"/>
    <w:multiLevelType w:val="hybridMultilevel"/>
    <w:lvl w:ilvl="0">
      <w:lvlJc w:val="left"/>
      <w:lvlText w:val="§"/>
      <w:numFmt w:val="bullet"/>
      <w:start w:val="1"/>
    </w:lvl>
  </w:abstractNum>
  <w:abstractNum w:abstractNumId="90">
    <w:nsid w:val="F856867"/>
    <w:multiLevelType w:val="hybridMultilevel"/>
    <w:lvl w:ilvl="0">
      <w:lvlJc w:val="left"/>
      <w:lvlText w:val="(%1)"/>
      <w:numFmt w:val="lowerLetter"/>
      <w:start w:val="2"/>
    </w:lvl>
  </w:abstractNum>
  <w:abstractNum w:abstractNumId="91">
    <w:nsid w:val="11B1CC33"/>
    <w:multiLevelType w:val="hybridMultilevel"/>
    <w:lvl w:ilvl="0">
      <w:lvlJc w:val="left"/>
      <w:lvlText w:val="(%1)"/>
      <w:numFmt w:val="lowerLetter"/>
      <w:start w:val="1"/>
    </w:lvl>
  </w:abstractNum>
  <w:abstractNum w:abstractNumId="92">
    <w:nsid w:val="2E22FBB7"/>
    <w:multiLevelType w:val="hybridMultilevel"/>
    <w:lvl w:ilvl="0">
      <w:lvlJc w:val="left"/>
      <w:lvlText w:val="§"/>
      <w:numFmt w:val="bullet"/>
      <w:start w:val="1"/>
    </w:lvl>
  </w:abstractNum>
  <w:abstractNum w:abstractNumId="93">
    <w:nsid w:val="29934699"/>
    <w:multiLevelType w:val="hybridMultilevel"/>
    <w:lvl w:ilvl="0">
      <w:lvlJc w:val="left"/>
      <w:lvlText w:val="§"/>
      <w:numFmt w:val="bullet"/>
      <w:start w:val="1"/>
    </w:lvl>
  </w:abstractNum>
  <w:abstractNum w:abstractNumId="94">
    <w:nsid w:val="77485850"/>
    <w:multiLevelType w:val="hybridMultilevel"/>
    <w:lvl w:ilvl="0">
      <w:lvlJc w:val="left"/>
      <w:lvlText w:val="§"/>
      <w:numFmt w:val="bullet"/>
      <w:start w:val="1"/>
    </w:lvl>
  </w:abstractNum>
  <w:abstractNum w:abstractNumId="95">
    <w:nsid w:val="744939A3"/>
    <w:multiLevelType w:val="hybridMultilevel"/>
    <w:lvl w:ilvl="0">
      <w:lvlJc w:val="left"/>
      <w:lvlText w:val="§"/>
      <w:numFmt w:val="bullet"/>
      <w:start w:val="1"/>
    </w:lvl>
  </w:abstractNum>
  <w:abstractNum w:abstractNumId="96">
    <w:nsid w:val="4FA0D2E3"/>
    <w:multiLevelType w:val="hybridMultilevel"/>
    <w:lvl w:ilvl="0">
      <w:lvlJc w:val="left"/>
      <w:lvlText w:val="§"/>
      <w:numFmt w:val="bullet"/>
      <w:start w:val="1"/>
    </w:lvl>
  </w:abstractNum>
  <w:abstractNum w:abstractNumId="97">
    <w:nsid w:val="6B1D2C14"/>
    <w:multiLevelType w:val="hybridMultilevel"/>
    <w:lvl w:ilvl="0">
      <w:lvlJc w:val="left"/>
      <w:lvlText w:val="§"/>
      <w:numFmt w:val="bullet"/>
      <w:start w:val="1"/>
    </w:lvl>
  </w:abstractNum>
  <w:abstractNum w:abstractNumId="98">
    <w:nsid w:val="68B867D3"/>
    <w:multiLevelType w:val="hybridMultilevel"/>
    <w:lvl w:ilvl="0">
      <w:lvlJc w:val="left"/>
      <w:lvlText w:val="§"/>
      <w:numFmt w:val="bullet"/>
      <w:start w:val="1"/>
    </w:lvl>
  </w:abstractNum>
  <w:abstractNum w:abstractNumId="99">
    <w:nsid w:val="3F7F5DD9"/>
    <w:multiLevelType w:val="hybridMultilevel"/>
    <w:lvl w:ilvl="0">
      <w:lvlJc w:val="left"/>
      <w:lvlText w:val="§"/>
      <w:numFmt w:val="bullet"/>
      <w:start w:val="1"/>
    </w:lvl>
  </w:abstractNum>
  <w:abstractNum w:abstractNumId="100">
    <w:nsid w:val="2AE05A34"/>
    <w:multiLevelType w:val="hybridMultilevel"/>
    <w:lvl w:ilvl="0">
      <w:lvlJc w:val="left"/>
      <w:lvlText w:val="§"/>
      <w:numFmt w:val="bullet"/>
      <w:start w:val="1"/>
    </w:lvl>
  </w:abstractNum>
  <w:abstractNum w:abstractNumId="101">
    <w:nsid w:val="32794FF7"/>
    <w:multiLevelType w:val="hybridMultilevel"/>
    <w:lvl w:ilvl="0">
      <w:lvlJc w:val="left"/>
      <w:lvlText w:val="§"/>
      <w:numFmt w:val="bullet"/>
      <w:start w:val="1"/>
    </w:lvl>
  </w:abstractNum>
  <w:abstractNum w:abstractNumId="102">
    <w:nsid w:val="5454945E"/>
    <w:multiLevelType w:val="hybridMultilevel"/>
    <w:lvl w:ilvl="0">
      <w:lvlJc w:val="left"/>
      <w:lvlText w:val="§"/>
      <w:numFmt w:val="bullet"/>
      <w:start w:val="1"/>
    </w:lvl>
  </w:abstractNum>
  <w:abstractNum w:abstractNumId="103">
    <w:nsid w:val="4DEFDFA0"/>
    <w:multiLevelType w:val="hybridMultilevel"/>
    <w:lvl w:ilvl="0">
      <w:lvlJc w:val="left"/>
      <w:lvlText w:val="§"/>
      <w:numFmt w:val="bullet"/>
      <w:start w:val="1"/>
    </w:lvl>
  </w:abstractNum>
  <w:abstractNum w:abstractNumId="104">
    <w:nsid w:val="2123D5F2"/>
    <w:multiLevelType w:val="hybridMultilevel"/>
    <w:lvl w:ilvl="0">
      <w:lvlJc w:val="left"/>
      <w:lvlText w:val="§"/>
      <w:numFmt w:val="bullet"/>
      <w:start w:val="1"/>
    </w:lvl>
  </w:abstractNum>
  <w:abstractNum w:abstractNumId="105">
    <w:nsid w:val="135B8110"/>
    <w:multiLevelType w:val="hybridMultilevel"/>
    <w:lvl w:ilvl="0">
      <w:lvlJc w:val="left"/>
      <w:lvlText w:val="§"/>
      <w:numFmt w:val="bullet"/>
      <w:start w:val="1"/>
    </w:lvl>
  </w:abstractNum>
  <w:abstractNum w:abstractNumId="106">
    <w:nsid w:val="94927A8"/>
    <w:multiLevelType w:val="hybridMultilevel"/>
    <w:lvl w:ilvl="0">
      <w:lvlJc w:val="left"/>
      <w:lvlText w:val="§"/>
      <w:numFmt w:val="bullet"/>
      <w:start w:val="1"/>
    </w:lvl>
  </w:abstractNum>
  <w:abstractNum w:abstractNumId="107">
    <w:nsid w:val="DCDF8F6"/>
    <w:multiLevelType w:val="hybridMultilevel"/>
    <w:lvl w:ilvl="0">
      <w:lvlJc w:val="left"/>
      <w:lvlText w:val="§"/>
      <w:numFmt w:val="bullet"/>
      <w:start w:val="1"/>
    </w:lvl>
  </w:abstractNum>
  <w:abstractNum w:abstractNumId="108">
    <w:nsid w:val="52D7B105"/>
    <w:multiLevelType w:val="hybridMultilevel"/>
    <w:lvl w:ilvl="0">
      <w:lvlJc w:val="left"/>
      <w:lvlText w:val="§"/>
      <w:numFmt w:val="bullet"/>
      <w:start w:val="1"/>
    </w:lvl>
  </w:abstractNum>
  <w:abstractNum w:abstractNumId="109">
    <w:nsid w:val="2E8A6394"/>
    <w:multiLevelType w:val="hybridMultilevel"/>
    <w:lvl w:ilvl="0">
      <w:lvlJc w:val="left"/>
      <w:lvlText w:val="(%1)"/>
      <w:numFmt w:val="decimal"/>
      <w:start w:val="1"/>
    </w:lvl>
  </w:abstractNum>
  <w:abstractNum w:abstractNumId="110">
    <w:nsid w:val="24E60401"/>
    <w:multiLevelType w:val="hybridMultilevel"/>
    <w:lvl w:ilvl="0">
      <w:lvlJc w:val="left"/>
      <w:lvlText w:val="(%1)"/>
      <w:numFmt w:val="decimal"/>
      <w:start w:val="3"/>
    </w:lvl>
  </w:abstractNum>
  <w:abstractNum w:abstractNumId="111">
    <w:nsid w:val="2A6AD9BE"/>
    <w:multiLevelType w:val="hybridMultilevel"/>
    <w:lvl w:ilvl="0">
      <w:lvlJc w:val="left"/>
      <w:lvlText w:val="§"/>
      <w:numFmt w:val="bullet"/>
      <w:start w:val="1"/>
    </w:lvl>
  </w:abstractNum>
  <w:abstractNum w:abstractNumId="112">
    <w:nsid w:val="BAAC1B4"/>
    <w:multiLevelType w:val="hybridMultilevel"/>
    <w:lvl w:ilvl="0">
      <w:lvlJc w:val="left"/>
      <w:lvlText w:val="§"/>
      <w:numFmt w:val="bullet"/>
      <w:start w:val="1"/>
    </w:lvl>
  </w:abstractNum>
  <w:abstractNum w:abstractNumId="113">
    <w:nsid w:val="36B2ACBC"/>
    <w:multiLevelType w:val="hybridMultilevel"/>
    <w:lvl w:ilvl="0">
      <w:lvlJc w:val="left"/>
      <w:lvlText w:val="§"/>
      <w:numFmt w:val="bullet"/>
      <w:start w:val="1"/>
    </w:lvl>
  </w:abstractNum>
  <w:abstractNum w:abstractNumId="114">
    <w:nsid w:val="779D8544"/>
    <w:multiLevelType w:val="hybridMultilevel"/>
    <w:lvl w:ilvl="0">
      <w:lvlJc w:val="left"/>
      <w:lvlText w:val="§"/>
      <w:numFmt w:val="bullet"/>
      <w:start w:val="1"/>
    </w:lvl>
  </w:abstractNum>
  <w:abstractNum w:abstractNumId="115">
    <w:nsid w:val="4AB26E78"/>
    <w:multiLevelType w:val="hybridMultilevel"/>
    <w:lvl w:ilvl="0">
      <w:lvlJc w:val="left"/>
      <w:lvlText w:val="$"/>
      <w:numFmt w:val="bullet"/>
      <w:start w:val="1"/>
    </w:lvl>
  </w:abstractNum>
  <w:abstractNum w:abstractNumId="116">
    <w:nsid w:val="21FAA2FA"/>
    <w:multiLevelType w:val="hybridMultilevel"/>
    <w:lvl w:ilvl="0">
      <w:lvlJc w:val="left"/>
      <w:lvlText w:val="§"/>
      <w:numFmt w:val="bullet"/>
      <w:start w:val="1"/>
    </w:lvl>
  </w:abstractNum>
  <w:abstractNum w:abstractNumId="117">
    <w:nsid w:val="5451CF49"/>
    <w:multiLevelType w:val="hybridMultilevel"/>
    <w:lvl w:ilvl="0">
      <w:lvlJc w:val="left"/>
      <w:lvlText w:val="(%1)"/>
      <w:numFmt w:val="upperLetter"/>
      <w:start w:val="2"/>
    </w:lvl>
    <w:lvl w:ilvl="1">
      <w:lvlJc w:val="left"/>
      <w:lvlText w:val="§"/>
      <w:numFmt w:val="bullet"/>
      <w:start w:val="1"/>
    </w:lvl>
  </w:abstractNum>
  <w:abstractNum w:abstractNumId="118">
    <w:nsid w:val="6181EF69"/>
    <w:multiLevelType w:val="hybridMultilevel"/>
    <w:lvl w:ilvl="0">
      <w:lvlJc w:val="left"/>
      <w:lvlText w:val="%1."/>
      <w:numFmt w:val="upperLetter"/>
      <w:start w:val="1"/>
    </w:lvl>
  </w:abstractNum>
  <w:abstractNum w:abstractNumId="119">
    <w:nsid w:val="3E6400E6"/>
    <w:multiLevelType w:val="hybridMultilevel"/>
    <w:lvl w:ilvl="0">
      <w:lvlJc w:val="left"/>
      <w:lvlText w:val="%1."/>
      <w:numFmt w:val="upperLetter"/>
      <w:start w:val="2"/>
    </w:lvl>
  </w:abstractNum>
  <w:abstractNum w:abstractNumId="120">
    <w:nsid w:val="14217E23"/>
    <w:multiLevelType w:val="hybridMultilevel"/>
    <w:lvl w:ilvl="0">
      <w:lvlJc w:val="left"/>
      <w:lvlText w:val="(%1)"/>
      <w:numFmt w:val="lowerLetter"/>
      <w:start w:val="1"/>
    </w:lvl>
  </w:abstractNum>
  <w:abstractNum w:abstractNumId="121">
    <w:nsid w:val="710757D0"/>
    <w:multiLevelType w:val="hybridMultilevel"/>
    <w:lvl w:ilvl="0">
      <w:lvlJc w:val="left"/>
      <w:lvlText w:val="(%1)"/>
      <w:numFmt w:val="lowerLetter"/>
      <w:start w:val="1"/>
    </w:lvl>
    <w:lvl w:ilvl="1">
      <w:lvlJc w:val="left"/>
      <w:lvlText w:val="(%2)"/>
      <w:numFmt w:val="lowerRoman"/>
      <w:start w:val="1"/>
    </w:lvl>
  </w:abstractNum>
  <w:abstractNum w:abstractNumId="122">
    <w:nsid w:val="5015CD1A"/>
    <w:multiLevelType w:val="hybridMultilevel"/>
    <w:lvl w:ilvl="0">
      <w:lvlJc w:val="left"/>
      <w:lvlText w:val="$"/>
      <w:numFmt w:val="bullet"/>
      <w:start w:val="1"/>
    </w:lvl>
  </w:abstractNum>
  <w:abstractNum w:abstractNumId="123">
    <w:nsid w:val="424479DA"/>
    <w:multiLevelType w:val="hybridMultilevel"/>
    <w:lvl w:ilvl="0">
      <w:lvlJc w:val="left"/>
      <w:lvlText w:val="$"/>
      <w:numFmt w:val="bullet"/>
      <w:start w:val="1"/>
    </w:lvl>
  </w:abstractNum>
  <w:abstractNum w:abstractNumId="124">
    <w:nsid w:val="1A9A9E69"/>
    <w:multiLevelType w:val="hybridMultilevel"/>
    <w:lvl w:ilvl="0">
      <w:lvlJc w:val="left"/>
      <w:lvlText w:val="*"/>
      <w:numFmt w:val="bullet"/>
      <w:start w:val="1"/>
    </w:lvl>
  </w:abstractNum>
  <w:abstractNum w:abstractNumId="125">
    <w:nsid w:val="475E256A"/>
    <w:multiLevelType w:val="hybridMultilevel"/>
    <w:lvl w:ilvl="0">
      <w:lvlJc w:val="left"/>
      <w:lvlText w:val="§"/>
      <w:numFmt w:val="bullet"/>
      <w:start w:val="1"/>
    </w:lvl>
  </w:abstractNum>
  <w:abstractNum w:abstractNumId="126">
    <w:nsid w:val="368DB37E"/>
    <w:multiLevelType w:val="hybridMultilevel"/>
    <w:lvl w:ilvl="0">
      <w:lvlJc w:val="left"/>
      <w:lvlText w:val="§"/>
      <w:numFmt w:val="bullet"/>
      <w:start w:val="1"/>
    </w:lvl>
  </w:abstractNum>
  <w:abstractNum w:abstractNumId="127">
    <w:nsid w:val="6A3B714C"/>
    <w:multiLevelType w:val="hybridMultilevel"/>
    <w:lvl w:ilvl="0">
      <w:lvlJc w:val="left"/>
      <w:lvlText w:val="§"/>
      <w:numFmt w:val="bullet"/>
      <w:start w:val="1"/>
    </w:lvl>
  </w:abstractNum>
  <w:abstractNum w:abstractNumId="128">
    <w:nsid w:val="327B517E"/>
    <w:multiLevelType w:val="hybridMultilevel"/>
    <w:lvl w:ilvl="0">
      <w:lvlJc w:val="left"/>
      <w:lvlText w:val="%1."/>
      <w:numFmt w:val="decimal"/>
      <w:start w:val="2"/>
    </w:lvl>
    <w:lvl w:ilvl="1">
      <w:lvlJc w:val="left"/>
      <w:lvlText w:val="§"/>
      <w:numFmt w:val="bullet"/>
      <w:start w:val="1"/>
    </w:lvl>
  </w:abstractNum>
  <w:abstractNum w:abstractNumId="129">
    <w:nsid w:val="1F461B51"/>
    <w:multiLevelType w:val="hybridMultilevel"/>
    <w:lvl w:ilvl="0">
      <w:lvlJc w:val="left"/>
      <w:lvlText w:val="§"/>
      <w:numFmt w:val="bullet"/>
      <w:start w:val="1"/>
    </w:lvl>
  </w:abstractNum>
  <w:abstractNum w:abstractNumId="130">
    <w:nsid w:val="29BACF25"/>
    <w:multiLevelType w:val="hybridMultilevel"/>
    <w:lvl w:ilvl="0">
      <w:lvlJc w:val="left"/>
      <w:lvlText w:val="§"/>
      <w:numFmt w:val="bullet"/>
      <w:start w:val="1"/>
    </w:lvl>
  </w:abstractNum>
  <w:abstractNum w:abstractNumId="131">
    <w:nsid w:val="5D5BABB3"/>
    <w:multiLevelType w:val="hybridMultilevel"/>
    <w:lvl w:ilvl="0">
      <w:lvlJc w:val="left"/>
      <w:lvlText w:val="§"/>
      <w:numFmt w:val="bullet"/>
      <w:start w:val="1"/>
    </w:lvl>
  </w:abstractNum>
  <w:abstractNum w:abstractNumId="132">
    <w:nsid w:val="51BF6B48"/>
    <w:multiLevelType w:val="hybridMultilevel"/>
    <w:lvl w:ilvl="0">
      <w:lvlJc w:val="left"/>
      <w:lvlText w:val="§"/>
      <w:numFmt w:val="bullet"/>
      <w:start w:val="1"/>
    </w:lvl>
  </w:abstractNum>
  <w:abstractNum w:abstractNumId="133">
    <w:nsid w:val="7E0F6384"/>
    <w:multiLevelType w:val="hybridMultilevel"/>
    <w:lvl w:ilvl="0">
      <w:lvlJc w:val="left"/>
      <w:lvlText w:val="(%1)"/>
      <w:numFmt w:val="lowerLetter"/>
      <w:start w:val="1"/>
    </w:lvl>
  </w:abstractNum>
  <w:abstractNum w:abstractNumId="134">
    <w:nsid w:val="2B4B8B53"/>
    <w:multiLevelType w:val="hybridMultilevel"/>
    <w:lvl w:ilvl="0">
      <w:lvlJc w:val="left"/>
      <w:lvlText w:val="(%1)"/>
      <w:numFmt w:val="lowerLetter"/>
      <w:start w:val="2"/>
    </w:lvl>
  </w:abstractNum>
  <w:abstractNum w:abstractNumId="135">
    <w:nsid w:val="72E3413A"/>
    <w:multiLevelType w:val="hybridMultilevel"/>
    <w:lvl w:ilvl="0">
      <w:lvlJc w:val="left"/>
      <w:lvlText w:val="(%1)"/>
      <w:numFmt w:val="lowerLetter"/>
      <w:start w:val="3"/>
    </w:lvl>
  </w:abstractNum>
  <w:abstractNum w:abstractNumId="136">
    <w:nsid w:val="116AE494"/>
    <w:multiLevelType w:val="hybridMultilevel"/>
    <w:lvl w:ilvl="0">
      <w:lvlJc w:val="left"/>
      <w:lvlText w:val="(%1)"/>
      <w:numFmt w:val="lowerLetter"/>
      <w:start w:val="4"/>
    </w:lvl>
  </w:abstractNum>
  <w:abstractNum w:abstractNumId="137">
    <w:nsid w:val="3494B2FB"/>
    <w:multiLevelType w:val="hybridMultilevel"/>
    <w:lvl w:ilvl="0">
      <w:lvlJc w:val="left"/>
      <w:lvlText w:val="(%1)"/>
      <w:numFmt w:val="lowerLetter"/>
      <w:start w:val="1"/>
    </w:lvl>
  </w:abstractNum>
  <w:abstractNum w:abstractNumId="138">
    <w:nsid w:val="B13A31"/>
    <w:multiLevelType w:val="hybridMultilevel"/>
    <w:lvl w:ilvl="0">
      <w:lvlJc w:val="left"/>
      <w:lvlText w:val="%1."/>
      <w:numFmt w:val="decimal"/>
      <w:start w:val="2"/>
    </w:lvl>
    <w:lvl w:ilvl="1">
      <w:lvlJc w:val="left"/>
      <w:lvlText w:val="(%2)"/>
      <w:numFmt w:val="lowerLetter"/>
      <w:start w:val="2"/>
    </w:lvl>
  </w:abstractNum>
  <w:abstractNum w:abstractNumId="139">
    <w:nsid w:val="64429599"/>
    <w:multiLevelType w:val="hybridMultilevel"/>
    <w:lvl w:ilvl="0">
      <w:lvlJc w:val="left"/>
      <w:lvlText w:val="(%1)"/>
      <w:numFmt w:val="lowerLetter"/>
      <w:start w:val="3"/>
    </w:lvl>
  </w:abstractNum>
  <w:abstractNum w:abstractNumId="140">
    <w:nsid w:val="631F1690"/>
    <w:multiLevelType w:val="hybridMultilevel"/>
    <w:lvl w:ilvl="0">
      <w:lvlJc w:val="left"/>
      <w:lvlText w:val="(%1)"/>
      <w:numFmt w:val="lowerLetter"/>
      <w:start w:val="1"/>
    </w:lvl>
  </w:abstractNum>
  <w:abstractNum w:abstractNumId="141">
    <w:nsid w:val="25973E32"/>
    <w:multiLevelType w:val="hybridMultilevel"/>
    <w:lvl w:ilvl="0">
      <w:lvlJc w:val="left"/>
      <w:lvlText w:val="(%1)"/>
      <w:numFmt w:val="lowerLetter"/>
      <w:start w:val="2"/>
    </w:lvl>
  </w:abstractNum>
  <w:abstractNum w:abstractNumId="142">
    <w:nsid w:val="EAD6F57"/>
    <w:multiLevelType w:val="hybridMultilevel"/>
    <w:lvl w:ilvl="0">
      <w:lvlJc w:val="left"/>
      <w:lvlText w:val="(%1)"/>
      <w:numFmt w:val="lowerLetter"/>
      <w:start w:val="3"/>
    </w:lvl>
  </w:abstractNum>
  <w:abstractNum w:abstractNumId="143">
    <w:nsid w:val="6EC9D844"/>
    <w:multiLevelType w:val="hybridMultilevel"/>
    <w:lvl w:ilvl="0">
      <w:lvlJc w:val="left"/>
      <w:lvlText w:val="(%1)"/>
      <w:numFmt w:val="lowerLetter"/>
      <w:start w:val="4"/>
    </w:lvl>
  </w:abstractNum>
  <w:abstractNum w:abstractNumId="144">
    <w:nsid w:val="5C49EAEE"/>
    <w:multiLevelType w:val="hybridMultilevel"/>
    <w:lvl w:ilvl="0">
      <w:lvlJc w:val="left"/>
      <w:lvlText w:val="%1."/>
      <w:numFmt w:val="decimal"/>
      <w:start w:val="2"/>
    </w:lvl>
  </w:abstractNum>
  <w:abstractNum w:abstractNumId="145">
    <w:nsid w:val="64AF49B"/>
    <w:multiLevelType w:val="hybridMultilevel"/>
    <w:lvl w:ilvl="0">
      <w:lvlJc w:val="left"/>
      <w:lvlText w:val="§"/>
      <w:numFmt w:val="bullet"/>
      <w:start w:val="1"/>
    </w:lvl>
  </w:abstractNum>
  <w:abstractNum w:abstractNumId="146">
    <w:nsid w:val="397C46BC"/>
    <w:multiLevelType w:val="hybridMultilevel"/>
    <w:lvl w:ilvl="0">
      <w:lvlJc w:val="left"/>
      <w:lvlText w:val="§"/>
      <w:numFmt w:val="bullet"/>
      <w:start w:val="1"/>
    </w:lvl>
  </w:abstractNum>
  <w:abstractNum w:abstractNumId="147">
    <w:nsid w:val="7E448DE9"/>
    <w:multiLevelType w:val="hybridMultilevel"/>
    <w:lvl w:ilvl="0">
      <w:lvlJc w:val="left"/>
      <w:lvlText w:val="%1."/>
      <w:numFmt w:val="decimal"/>
      <w:start w:val="3"/>
    </w:lvl>
  </w:abstractNum>
  <w:abstractNum w:abstractNumId="148">
    <w:nsid w:val="5A9CC3E5"/>
    <w:multiLevelType w:val="hybridMultilevel"/>
    <w:lvl w:ilvl="0">
      <w:lvlJc w:val="left"/>
      <w:lvlText w:val="(%1)"/>
      <w:numFmt w:val="lowerLetter"/>
      <w:start w:val="1"/>
    </w:lvl>
  </w:abstractNum>
  <w:abstractNum w:abstractNumId="149">
    <w:nsid w:val="1AFE3625"/>
    <w:multiLevelType w:val="hybridMultilevel"/>
    <w:lvl w:ilvl="0">
      <w:lvlJc w:val="left"/>
      <w:lvlText w:val="(%1)"/>
      <w:numFmt w:val="lowerLetter"/>
      <w:start w:val="2"/>
    </w:lvl>
  </w:abstractNum>
  <w:abstractNum w:abstractNumId="150">
    <w:nsid w:val="3CA88ECF"/>
    <w:multiLevelType w:val="hybridMultilevel"/>
    <w:lvl w:ilvl="0">
      <w:lvlJc w:val="left"/>
      <w:lvlText w:val="%1"/>
      <w:numFmt w:val="lowerLetter"/>
      <w:start w:val="1"/>
    </w:lvl>
    <w:lvl w:ilvl="1">
      <w:lvlJc w:val="left"/>
      <w:lvlText w:val="(%2)"/>
      <w:numFmt w:val="decimal"/>
      <w:start w:val="1"/>
    </w:lvl>
  </w:abstractNum>
  <w:abstractNum w:abstractNumId="151">
    <w:nsid w:val="6EBE4208"/>
    <w:multiLevelType w:val="hybridMultilevel"/>
    <w:lvl w:ilvl="0">
      <w:lvlJc w:val="left"/>
      <w:lvlText w:val="(%1)"/>
      <w:numFmt w:val="lowerLetter"/>
      <w:start w:val="3"/>
    </w:lvl>
    <w:lvl w:ilvl="1">
      <w:lvlJc w:val="left"/>
      <w:lvlText w:val="%2"/>
      <w:numFmt w:val="decimal"/>
      <w:start w:val="1"/>
    </w:lvl>
  </w:abstractNum>
  <w:abstractNum w:abstractNumId="152">
    <w:nsid w:val="C058DF5"/>
    <w:multiLevelType w:val="hybridMultilevel"/>
    <w:lvl w:ilvl="0">
      <w:lvlJc w:val="left"/>
      <w:lvlText w:val="(%1)"/>
      <w:numFmt w:val="lowerLetter"/>
      <w:start w:val="4"/>
    </w:lvl>
  </w:abstractNum>
  <w:abstractNum w:abstractNumId="153">
    <w:nsid w:val="CBE5BE9"/>
    <w:multiLevelType w:val="hybridMultilevel"/>
    <w:lvl w:ilvl="0">
      <w:lvlJc w:val="left"/>
      <w:lvlText w:val="(%1)"/>
      <w:numFmt w:val="decimal"/>
      <w:start w:val="1"/>
    </w:lvl>
  </w:abstractNum>
  <w:abstractNum w:abstractNumId="154">
    <w:nsid w:val="3102BBE2"/>
    <w:multiLevelType w:val="hybridMultilevel"/>
    <w:lvl w:ilvl="0">
      <w:lvlJc w:val="left"/>
      <w:lvlText w:val="(%1)"/>
      <w:numFmt w:val="decimal"/>
      <w:start w:val="1"/>
    </w:lvl>
  </w:abstractNum>
  <w:abstractNum w:abstractNumId="155">
    <w:nsid w:val="26A02C5E"/>
    <w:multiLevelType w:val="hybridMultilevel"/>
    <w:lvl w:ilvl="0">
      <w:lvlJc w:val="left"/>
      <w:lvlText w:val="§"/>
      <w:numFmt w:val="bullet"/>
      <w:start w:val="1"/>
    </w:lvl>
  </w:abstractNum>
  <w:abstractNum w:abstractNumId="156">
    <w:nsid w:val="541C8153"/>
    <w:multiLevelType w:val="hybridMultilevel"/>
    <w:lvl w:ilvl="0">
      <w:lvlJc w:val="left"/>
      <w:lvlText w:val="(%1)"/>
      <w:numFmt w:val="lowerLetter"/>
      <w:start w:val="1"/>
    </w:lvl>
  </w:abstractNum>
  <w:abstractNum w:abstractNumId="157">
    <w:nsid w:val="67906F60"/>
    <w:multiLevelType w:val="hybridMultilevel"/>
    <w:lvl w:ilvl="0">
      <w:lvlJc w:val="left"/>
      <w:lvlText w:val="(%1)"/>
      <w:numFmt w:val="lowerLetter"/>
      <w:start w:val="2"/>
    </w:lvl>
  </w:abstractNum>
  <w:abstractNum w:abstractNumId="158">
    <w:nsid w:val="10DB9DAA"/>
    <w:multiLevelType w:val="hybridMultilevel"/>
    <w:lvl w:ilvl="0">
      <w:lvlJc w:val="left"/>
      <w:lvlText w:val="(%1)"/>
      <w:numFmt w:val="lowerLetter"/>
      <w:start w:val="3"/>
    </w:lvl>
  </w:abstractNum>
  <w:abstractNum w:abstractNumId="159">
    <w:nsid w:val="697D2D2"/>
    <w:multiLevelType w:val="hybridMultilevel"/>
    <w:lvl w:ilvl="0">
      <w:lvlJc w:val="left"/>
      <w:lvlText w:val="§"/>
      <w:numFmt w:val="bullet"/>
      <w:start w:val="1"/>
    </w:lvl>
  </w:abstractNum>
  <w:abstractNum w:abstractNumId="160">
    <w:nsid w:val="6D68AB2"/>
    <w:multiLevelType w:val="hybridMultilevel"/>
    <w:lvl w:ilvl="0">
      <w:lvlJc w:val="left"/>
      <w:lvlText w:val="(%1)"/>
      <w:numFmt w:val="lowerLetter"/>
      <w:start w:val="4"/>
    </w:lvl>
  </w:abstractNum>
  <w:abstractNum w:abstractNumId="161">
    <w:nsid w:val="3A966CD0"/>
    <w:multiLevelType w:val="hybridMultilevel"/>
    <w:lvl w:ilvl="0">
      <w:lvlJc w:val="left"/>
      <w:lvlText w:val="%1."/>
      <w:numFmt w:val="decimal"/>
      <w:start w:val="10"/>
    </w:lvl>
  </w:abstractNum>
  <w:abstractNum w:abstractNumId="162">
    <w:nsid w:val="63F37E85"/>
    <w:multiLevelType w:val="hybridMultilevel"/>
    <w:lvl w:ilvl="0">
      <w:lvlJc w:val="left"/>
      <w:lvlText w:val="*"/>
      <w:numFmt w:val="bullet"/>
      <w:start w:val="1"/>
    </w:lvl>
  </w:abstractNum>
  <w:abstractNum w:abstractNumId="163">
    <w:nsid w:val="5895F5FA"/>
    <w:multiLevelType w:val="hybridMultilevel"/>
    <w:lvl w:ilvl="0">
      <w:lvlJc w:val="left"/>
      <w:lvlText w:val="%1."/>
      <w:numFmt w:val="decimal"/>
      <w:start w:val="19"/>
    </w:lvl>
    <w:lvl w:ilvl="1">
      <w:lvlJc w:val="left"/>
      <w:lvlText w:val="**"/>
      <w:numFmt w:val="bullet"/>
      <w:start w:val="1"/>
    </w:lvl>
  </w:abstractNum>
  <w:abstractNum w:abstractNumId="164">
    <w:nsid w:val="38A5D054"/>
    <w:multiLevelType w:val="hybridMultilevel"/>
    <w:lvl w:ilvl="0">
      <w:lvlJc w:val="left"/>
      <w:lvlText w:val="%1"/>
      <w:numFmt w:val="decimal"/>
      <w:start w:val="1"/>
    </w:lvl>
    <w:lvl w:ilvl="1">
      <w:lvlJc w:val="left"/>
      <w:lvlText w:val="***"/>
      <w:numFmt w:val="bullet"/>
      <w:start w:val="1"/>
    </w:lvl>
  </w:abstractNum>
  <w:abstractNum w:abstractNumId="165">
    <w:nsid w:val="F3F09D8"/>
    <w:multiLevelType w:val="hybridMultilevel"/>
    <w:lvl w:ilvl="0">
      <w:lvlJc w:val="left"/>
      <w:lvlText w:val="%1"/>
      <w:numFmt w:val="decimal"/>
      <w:start w:val="1"/>
    </w:lvl>
    <w:lvl w:ilvl="1">
      <w:lvlJc w:val="left"/>
      <w:lvlText w:val="****"/>
      <w:numFmt w:val="bullet"/>
      <w:start w:val="1"/>
    </w:lvl>
  </w:abstractNum>
  <w:abstractNum w:abstractNumId="166">
    <w:nsid w:val="4B793735"/>
    <w:multiLevelType w:val="hybridMultilevel"/>
    <w:lvl w:ilvl="0">
      <w:lvlJc w:val="left"/>
      <w:lvlText w:val="(%1)"/>
      <w:numFmt w:val="lowerLetter"/>
      <w:start w:val="1"/>
    </w:lvl>
  </w:abstractNum>
  <w:abstractNum w:abstractNumId="167">
    <w:nsid w:val="4A10B4E8"/>
    <w:multiLevelType w:val="hybridMultilevel"/>
    <w:lvl w:ilvl="0">
      <w:lvlJc w:val="left"/>
      <w:lvlText w:val="§"/>
      <w:numFmt w:val="bullet"/>
      <w:start w:val="1"/>
    </w:lvl>
  </w:abstractNum>
  <w:abstractNum w:abstractNumId="168">
    <w:nsid w:val="43D3BCD4"/>
    <w:multiLevelType w:val="hybridMultilevel"/>
    <w:lvl w:ilvl="0">
      <w:lvlJc w:val="left"/>
      <w:lvlText w:val="(%1)"/>
      <w:numFmt w:val="lowerLetter"/>
      <w:start w:val="1"/>
    </w:lvl>
  </w:abstractNum>
  <w:abstractNum w:abstractNumId="169">
    <w:nsid w:val="4C2A7166"/>
    <w:multiLevelType w:val="hybridMultilevel"/>
    <w:lvl w:ilvl="0">
      <w:lvlJc w:val="left"/>
      <w:lvlText w:val="(%1)"/>
      <w:numFmt w:val="lowerLetter"/>
      <w:start w:val="1"/>
    </w:lvl>
  </w:abstractNum>
  <w:abstractNum w:abstractNumId="170">
    <w:nsid w:val="2E534A82"/>
    <w:multiLevelType w:val="hybridMultilevel"/>
    <w:lvl w:ilvl="0">
      <w:lvlJc w:val="left"/>
      <w:lvlText w:val="(%1)"/>
      <w:numFmt w:val="lowerLetter"/>
      <w:start w:val="3"/>
    </w:lvl>
    <w:lvl w:ilvl="1">
      <w:lvlJc w:val="left"/>
      <w:lvlText w:val="(%2)"/>
      <w:numFmt w:val="decimal"/>
      <w:start w:val="1"/>
    </w:lvl>
  </w:abstractNum>
  <w:abstractNum w:abstractNumId="171">
    <w:nsid w:val="26F2D364"/>
    <w:multiLevelType w:val="hybridMultilevel"/>
    <w:lvl w:ilvl="0">
      <w:lvlJc w:val="left"/>
      <w:lvlText w:val="*"/>
      <w:numFmt w:val="bullet"/>
      <w:start w:val="1"/>
    </w:lvl>
  </w:abstractNum>
  <w:abstractNum w:abstractNumId="172">
    <w:nsid w:val="71C1AF98"/>
    <w:multiLevelType w:val="hybridMultilevel"/>
    <w:lvl w:ilvl="0">
      <w:lvlJc w:val="left"/>
      <w:lvlText w:val="†"/>
      <w:numFmt w:val="bullet"/>
      <w:start w:val="1"/>
    </w:lvl>
  </w:abstractNum>
  <w:abstractNum w:abstractNumId="173">
    <w:nsid w:val="3D00B9D9"/>
    <w:multiLevelType w:val="hybridMultilevel"/>
    <w:lvl w:ilvl="0">
      <w:lvlJc w:val="left"/>
      <w:lvlText w:val="#"/>
      <w:numFmt w:val="bullet"/>
      <w:start w:val="1"/>
    </w:lvl>
  </w:abstractNum>
  <w:abstractNum w:abstractNumId="174">
    <w:nsid w:val="15BCABA8"/>
    <w:multiLevelType w:val="hybridMultilevel"/>
    <w:lvl w:ilvl="0">
      <w:lvlJc w:val="left"/>
      <w:lvlText w:val="1"/>
      <w:numFmt w:val="bullet"/>
      <w:start w:val="1"/>
    </w:lvl>
  </w:abstractNum>
  <w:abstractNum w:abstractNumId="175">
    <w:nsid w:val="4E0B9A87"/>
    <w:multiLevelType w:val="hybridMultilevel"/>
    <w:lvl w:ilvl="0">
      <w:lvlJc w:val="left"/>
      <w:lvlText w:val="2"/>
      <w:numFmt w:val="bullet"/>
      <w:start w:val="1"/>
    </w:lvl>
  </w:abstractNum>
  <w:abstractNum w:abstractNumId="176">
    <w:nsid w:val="434BAE75"/>
    <w:multiLevelType w:val="hybridMultilevel"/>
    <w:lvl w:ilvl="0">
      <w:lvlJc w:val="left"/>
      <w:lvlText w:val="3"/>
      <w:numFmt w:val="bullet"/>
      <w:start w:val="1"/>
    </w:lvl>
  </w:abstractNum>
  <w:abstractNum w:abstractNumId="177">
    <w:nsid w:val="4F38F265"/>
    <w:multiLevelType w:val="hybridMultilevel"/>
    <w:lvl w:ilvl="0">
      <w:lvlJc w:val="left"/>
      <w:lvlText w:val="4"/>
      <w:numFmt w:val="bullet"/>
      <w:start w:val="1"/>
    </w:lvl>
  </w:abstractNum>
  <w:abstractNum w:abstractNumId="178">
    <w:nsid w:val="4C502870"/>
    <w:multiLevelType w:val="hybridMultilevel"/>
    <w:lvl w:ilvl="0">
      <w:lvlJc w:val="left"/>
      <w:lvlText w:val="(%1)"/>
      <w:numFmt w:val="lowerLetter"/>
      <w:start w:val="1"/>
    </w:lvl>
  </w:abstractNum>
  <w:abstractNum w:abstractNumId="179">
    <w:nsid w:val="1DE8725A"/>
    <w:multiLevelType w:val="hybridMultilevel"/>
    <w:lvl w:ilvl="0">
      <w:lvlJc w:val="left"/>
      <w:lvlText w:val="(%1)"/>
      <w:numFmt w:val="lowerLetter"/>
      <w:start w:val="2"/>
    </w:lvl>
  </w:abstractNum>
  <w:abstractNum w:abstractNumId="180">
    <w:nsid w:val="6A37288A"/>
    <w:multiLevelType w:val="hybridMultilevel"/>
    <w:lvl w:ilvl="0">
      <w:lvlJc w:val="left"/>
      <w:lvlText w:val="5"/>
      <w:numFmt w:val="bullet"/>
      <w:start w:val="1"/>
    </w:lvl>
  </w:abstractNum>
  <w:abstractNum w:abstractNumId="181">
    <w:nsid w:val="8F8B73F"/>
    <w:multiLevelType w:val="hybridMultilevel"/>
    <w:lvl w:ilvl="0">
      <w:lvlJc w:val="left"/>
      <w:lvlText w:val="(%1)"/>
      <w:numFmt w:val="lowerLetter"/>
      <w:start w:val="1"/>
    </w:lvl>
  </w:abstractNum>
  <w:abstractNum w:abstractNumId="182">
    <w:nsid w:val="CA6B462"/>
    <w:multiLevelType w:val="hybridMultilevel"/>
    <w:lvl w:ilvl="0">
      <w:lvlJc w:val="left"/>
      <w:lvlText w:val="6"/>
      <w:numFmt w:val="bullet"/>
      <w:start w:val="1"/>
    </w:lvl>
  </w:abstractNum>
  <w:abstractNum w:abstractNumId="183">
    <w:nsid w:val="763CB680"/>
    <w:multiLevelType w:val="hybridMultilevel"/>
    <w:lvl w:ilvl="0">
      <w:lvlJc w:val="left"/>
      <w:lvlText w:val="7"/>
      <w:numFmt w:val="bullet"/>
      <w:start w:val="1"/>
    </w:lvl>
  </w:abstractNum>
  <w:abstractNum w:abstractNumId="184">
    <w:nsid w:val="15B71329"/>
    <w:multiLevelType w:val="hybridMultilevel"/>
    <w:lvl w:ilvl="0">
      <w:lvlJc w:val="left"/>
      <w:lvlText w:val="8"/>
      <w:numFmt w:val="bullet"/>
      <w:start w:val="1"/>
    </w:lvl>
  </w:abstractNum>
  <w:abstractNum w:abstractNumId="185">
    <w:nsid w:val="3DA97044"/>
    <w:multiLevelType w:val="hybridMultilevel"/>
    <w:lvl w:ilvl="0">
      <w:lvlJc w:val="left"/>
      <w:lvlText w:val="9"/>
      <w:numFmt w:val="bullet"/>
      <w:start w:val="1"/>
    </w:lvl>
  </w:abstractNum>
  <w:abstractNum w:abstractNumId="186">
    <w:nsid w:val="1CDCE2DE"/>
    <w:multiLevelType w:val="hybridMultilevel"/>
    <w:lvl w:ilvl="0">
      <w:lvlJc w:val="left"/>
      <w:lvlText w:val="(%1)"/>
      <w:numFmt w:val="lowerLetter"/>
      <w:start w:val="1"/>
    </w:lvl>
  </w:abstractNum>
  <w:abstractNum w:abstractNumId="187">
    <w:nsid w:val="69D3947C"/>
    <w:multiLevelType w:val="hybridMultilevel"/>
    <w:lvl w:ilvl="0">
      <w:lvlJc w:val="left"/>
      <w:lvlText w:val="(%1)"/>
      <w:numFmt w:val="lowerLetter"/>
      <w:start w:val="1"/>
    </w:lvl>
    <w:lvl w:ilvl="1">
      <w:lvlJc w:val="left"/>
      <w:lvlText w:val="(%2)"/>
      <w:numFmt w:val="lowerLetter"/>
      <w:start w:val="4"/>
    </w:lvl>
  </w:abstractNum>
  <w:abstractNum w:abstractNumId="188">
    <w:nsid w:val="2539DFA5"/>
    <w:multiLevelType w:val="hybridMultilevel"/>
    <w:lvl w:ilvl="0">
      <w:lvlJc w:val="left"/>
      <w:lvlText w:val="(%1)"/>
      <w:numFmt w:val="lowerLetter"/>
      <w:start w:val="1"/>
    </w:lvl>
  </w:abstractNum>
  <w:abstractNum w:abstractNumId="189">
    <w:nsid w:val="2DB88089"/>
    <w:multiLevelType w:val="hybridMultilevel"/>
    <w:lvl w:ilvl="0">
      <w:lvlJc w:val="left"/>
      <w:lvlText w:val="(%1)"/>
      <w:numFmt w:val="lowerLetter"/>
      <w:start w:val="1"/>
    </w:lvl>
    <w:lvl w:ilvl="1">
      <w:lvlJc w:val="left"/>
      <w:lvlText w:val="(%2)"/>
      <w:numFmt w:val="lowerLetter"/>
      <w:start w:val="9"/>
    </w:lvl>
  </w:abstractNum>
  <w:abstractNum w:abstractNumId="190">
    <w:nsid w:val="706B674E"/>
    <w:multiLevelType w:val="hybridMultilevel"/>
    <w:lvl w:ilvl="0">
      <w:lvlJc w:val="left"/>
      <w:lvlText w:val="(%1)"/>
      <w:numFmt w:val="lowerRoman"/>
      <w:start w:val="2"/>
    </w:lvl>
    <w:lvl w:ilvl="1">
      <w:lvlJc w:val="left"/>
      <w:lvlText w:val="(%2)"/>
      <w:numFmt w:val="upperLetter"/>
      <w:start w:val="1"/>
    </w:lvl>
  </w:abstractNum>
  <w:abstractNum w:abstractNumId="191">
    <w:nsid w:val="2C106A57"/>
    <w:multiLevelType w:val="hybridMultilevel"/>
    <w:lvl w:ilvl="0">
      <w:lvlJc w:val="left"/>
      <w:lvlText w:val="(%1)"/>
      <w:numFmt w:val="lowerRoman"/>
      <w:start w:val="3"/>
    </w:lvl>
    <w:lvl w:ilvl="1">
      <w:lvlJc w:val="left"/>
      <w:lvlText w:val="(%2)"/>
      <w:numFmt w:val="upperLetter"/>
      <w:start w:val="1"/>
    </w:lvl>
  </w:abstractNum>
  <w:abstractNum w:abstractNumId="192">
    <w:nsid w:val="684EED59"/>
    <w:multiLevelType w:val="hybridMultilevel"/>
    <w:lvl w:ilvl="0">
      <w:lvlJc w:val="left"/>
      <w:lvlText w:val="(%1)"/>
      <w:numFmt w:val="lowerLetter"/>
      <w:start w:val="1"/>
    </w:lvl>
  </w:abstractNum>
  <w:abstractNum w:abstractNumId="193">
    <w:nsid w:val="545EE5D3"/>
    <w:multiLevelType w:val="hybridMultilevel"/>
    <w:lvl w:ilvl="0">
      <w:lvlJc w:val="left"/>
      <w:lvlText w:val="(%1)"/>
      <w:numFmt w:val="lowerLetter"/>
      <w:start w:val="1"/>
    </w:lvl>
  </w:abstractNum>
  <w:abstractNum w:abstractNumId="194">
    <w:nsid w:val="4A66051"/>
    <w:multiLevelType w:val="hybridMultilevel"/>
    <w:lvl w:ilvl="0">
      <w:lvlJc w:val="left"/>
      <w:lvlText w:val="(%1)"/>
      <w:numFmt w:val="lowerLetter"/>
      <w:start w:val="1"/>
    </w:lvl>
  </w:abstractNum>
  <w:abstractNum w:abstractNumId="195">
    <w:nsid w:val="20F4BDAD"/>
    <w:multiLevelType w:val="hybridMultilevel"/>
    <w:lvl w:ilvl="0">
      <w:lvlJc w:val="left"/>
      <w:lvlText w:val="(%1)"/>
      <w:numFmt w:val="lowerLetter"/>
      <w:start w:val="1"/>
    </w:lvl>
    <w:lvl w:ilvl="1">
      <w:lvlJc w:val="left"/>
      <w:lvlText w:val="(%2)"/>
      <w:numFmt w:val="lowerLetter"/>
      <w:start w:val="9"/>
    </w:lvl>
  </w:abstractNum>
  <w:abstractNum w:abstractNumId="196">
    <w:nsid w:val="639DEFA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upperLetter"/>
      <w:start w:val="1"/>
    </w:lvl>
  </w:abstractNum>
  <w:abstractNum w:abstractNumId="197">
    <w:nsid w:val="501F9786"/>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198">
    <w:nsid w:val="6B057295"/>
    <w:multiLevelType w:val="hybridMultilevel"/>
    <w:lvl w:ilvl="0">
      <w:lvlJc w:val="left"/>
      <w:lvlText w:val="(%1)"/>
      <w:numFmt w:val="lowerLetter"/>
      <w:start w:val="5"/>
    </w:lvl>
    <w:lvl w:ilvl="1">
      <w:lvlJc w:val="left"/>
      <w:lvlText w:val="(%2)"/>
      <w:numFmt w:val="lowerRoman"/>
      <w:start w:val="1"/>
    </w:lvl>
  </w:abstractNum>
  <w:abstractNum w:abstractNumId="199">
    <w:nsid w:val="2771AC80"/>
    <w:multiLevelType w:val="hybridMultilevel"/>
    <w:lvl w:ilvl="0">
      <w:lvlJc w:val="left"/>
      <w:lvlText w:val="%1"/>
      <w:numFmt w:val="lowerLetter"/>
      <w:start w:val="1"/>
    </w:lvl>
    <w:lvl w:ilvl="1">
      <w:lvlJc w:val="left"/>
      <w:lvlText w:val="(%2)"/>
      <w:numFmt w:val="lowerRoman"/>
      <w:start w:val="3"/>
    </w:lvl>
  </w:abstractNum>
  <w:abstractNum w:abstractNumId="200">
    <w:nsid w:val="1C4A08EC"/>
    <w:multiLevelType w:val="hybridMultilevel"/>
    <w:lvl w:ilvl="0">
      <w:lvlJc w:val="left"/>
      <w:lvlText w:val="(%1)"/>
      <w:numFmt w:val="lowerLetter"/>
      <w:start w:val="6"/>
    </w:lvl>
    <w:lvl w:ilvl="1">
      <w:lvlJc w:val="left"/>
      <w:lvlText w:val="(%2)"/>
      <w:numFmt w:val="lowerRoman"/>
      <w:start w:val="1"/>
    </w:lvl>
  </w:abstractNum>
  <w:abstractNum w:abstractNumId="201">
    <w:nsid w:val="1958BD17"/>
    <w:multiLevelType w:val="hybridMultilevel"/>
    <w:lvl w:ilvl="0">
      <w:lvlJc w:val="left"/>
      <w:lvlText w:val="(%1)"/>
      <w:numFmt w:val="lowerLetter"/>
      <w:start w:val="1"/>
    </w:lvl>
  </w:abstractNum>
  <w:abstractNum w:abstractNumId="202">
    <w:nsid w:val="4E647FE4"/>
    <w:multiLevelType w:val="hybridMultilevel"/>
    <w:lvl w:ilvl="0">
      <w:lvlJc w:val="left"/>
      <w:lvlText w:val="(%1)"/>
      <w:numFmt w:val="lowerLetter"/>
      <w:start w:val="1"/>
    </w:lvl>
  </w:abstractNum>
  <w:abstractNum w:abstractNumId="203">
    <w:nsid w:val="E0BB885"/>
    <w:multiLevelType w:val="hybridMultilevel"/>
    <w:lvl w:ilvl="0">
      <w:lvlJc w:val="left"/>
      <w:lvlText w:val="(%1)"/>
      <w:numFmt w:val="lowerLetter"/>
      <w:start w:val="2"/>
    </w:lvl>
  </w:abstractNum>
  <w:abstractNum w:abstractNumId="204">
    <w:nsid w:val="565976F1"/>
    <w:multiLevelType w:val="hybridMultilevel"/>
    <w:lvl w:ilvl="0">
      <w:lvlJc w:val="left"/>
      <w:lvlText w:val="(%1)"/>
      <w:numFmt w:val="lowerLetter"/>
      <w:start w:val="1"/>
    </w:lvl>
  </w:abstractNum>
  <w:abstractNum w:abstractNumId="205">
    <w:nsid w:val="64212B8C"/>
    <w:multiLevelType w:val="hybridMultilevel"/>
    <w:lvl w:ilvl="0">
      <w:lvlJc w:val="left"/>
      <w:lvlText w:val="(%1)"/>
      <w:numFmt w:val="lowerLetter"/>
      <w:start w:val="2"/>
    </w:lvl>
  </w:abstractNum>
  <w:abstractNum w:abstractNumId="206">
    <w:nsid w:val="5C17530C"/>
    <w:multiLevelType w:val="hybridMultilevel"/>
    <w:lvl w:ilvl="0">
      <w:lvlJc w:val="left"/>
      <w:lvlText w:val="(%1)"/>
      <w:numFmt w:val="lowerLetter"/>
      <w:start w:val="1"/>
    </w:lvl>
  </w:abstractNum>
  <w:abstractNum w:abstractNumId="207">
    <w:nsid w:val="19A52566"/>
    <w:multiLevelType w:val="hybridMultilevel"/>
    <w:lvl w:ilvl="0">
      <w:lvlJc w:val="left"/>
      <w:lvlText w:val="(%1)"/>
      <w:numFmt w:val="lowerLetter"/>
      <w:start w:val="1"/>
    </w:lvl>
  </w:abstractNum>
  <w:abstractNum w:abstractNumId="208">
    <w:nsid w:val="335A1DF1"/>
    <w:multiLevelType w:val="hybridMultilevel"/>
    <w:lvl w:ilvl="0">
      <w:lvlJc w:val="left"/>
      <w:lvlText w:val="(%1)"/>
      <w:numFmt w:val="lowerLetter"/>
      <w:start w:val="1"/>
    </w:lvl>
  </w:abstractNum>
  <w:abstractNum w:abstractNumId="209">
    <w:nsid w:val="28677B7C"/>
    <w:multiLevelType w:val="hybridMultilevel"/>
    <w:lvl w:ilvl="0">
      <w:lvlJc w:val="left"/>
      <w:lvlText w:val="(%1)"/>
      <w:numFmt w:val="lowerRoman"/>
      <w:start w:val="1"/>
    </w:lvl>
  </w:abstractNum>
  <w:abstractNum w:abstractNumId="210">
    <w:nsid w:val="378D97C0"/>
    <w:multiLevelType w:val="hybridMultilevel"/>
    <w:lvl w:ilvl="0">
      <w:lvlJc w:val="left"/>
      <w:lvlText w:val="(%1)"/>
      <w:numFmt w:val="lowerRoman"/>
      <w:start w:val="2"/>
    </w:lvl>
  </w:abstractNum>
  <w:abstractNum w:abstractNumId="211">
    <w:nsid w:val="1D91467C"/>
    <w:multiLevelType w:val="hybridMultilevel"/>
    <w:lvl w:ilvl="0">
      <w:lvlJc w:val="left"/>
      <w:lvlText w:val="(%1)"/>
      <w:numFmt w:val="lowerLetter"/>
      <w:start w:val="1"/>
    </w:lvl>
  </w:abstractNum>
  <w:abstractNum w:abstractNumId="212">
    <w:nsid w:val="316032BB"/>
    <w:multiLevelType w:val="hybridMultilevel"/>
    <w:lvl w:ilvl="0">
      <w:lvlJc w:val="left"/>
      <w:lvlText w:val="(%1)"/>
      <w:numFmt w:val="lowerLetter"/>
      <w:start w:val="2"/>
    </w:lvl>
  </w:abstractNum>
  <w:abstractNum w:abstractNumId="213">
    <w:nsid w:val="44344C22"/>
    <w:multiLevelType w:val="hybridMultilevel"/>
    <w:lvl w:ilvl="0">
      <w:lvlJc w:val="left"/>
      <w:lvlText w:val="(%1)"/>
      <w:numFmt w:val="lowerLetter"/>
      <w:start w:val="1"/>
    </w:lvl>
  </w:abstractNum>
  <w:abstractNum w:abstractNumId="214">
    <w:nsid w:val="13CDFCFC"/>
    <w:multiLevelType w:val="hybridMultilevel"/>
    <w:lvl w:ilvl="0">
      <w:lvlJc w:val="left"/>
      <w:lvlText w:val="%1"/>
      <w:numFmt w:val="decimal"/>
      <w:start w:val="20"/>
    </w:lvl>
  </w:abstractNum>
  <w:abstractNum w:abstractNumId="215">
    <w:nsid w:val="471745E4"/>
    <w:multiLevelType w:val="hybridMultilevel"/>
    <w:lvl w:ilvl="0">
      <w:lvlJc w:val="left"/>
      <w:lvlText w:val="(%1)"/>
      <w:numFmt w:val="lowerLetter"/>
      <w:start w:val="1"/>
    </w:lvl>
  </w:abstractNum>
  <w:abstractNum w:abstractNumId="216">
    <w:nsid w:val="1DDBC66"/>
    <w:multiLevelType w:val="hybridMultilevel"/>
    <w:lvl w:ilvl="0">
      <w:lvlJc w:val="left"/>
      <w:lvlText w:val="(%1)"/>
      <w:numFmt w:val="lowerRoman"/>
      <w:start w:val="1"/>
    </w:lvl>
  </w:abstractNum>
  <w:abstractNum w:abstractNumId="217">
    <w:nsid w:val="30AADFDA"/>
    <w:multiLevelType w:val="hybridMultilevel"/>
    <w:lvl w:ilvl="0">
      <w:lvlJc w:val="left"/>
      <w:lvlText w:val="(%1)"/>
      <w:numFmt w:val="lowerRoman"/>
      <w:start w:val="2"/>
    </w:lvl>
  </w:abstractNum>
  <w:abstractNum w:abstractNumId="218">
    <w:nsid w:val="30EADA61"/>
    <w:multiLevelType w:val="hybridMultilevel"/>
    <w:lvl w:ilvl="0">
      <w:lvlJc w:val="left"/>
      <w:lvlText w:val="(%1)"/>
      <w:numFmt w:val="lowerLetter"/>
      <w:start w:val="1"/>
    </w:lvl>
  </w:abstractNum>
  <w:abstractNum w:abstractNumId="219">
    <w:nsid w:val="27179C0B"/>
    <w:multiLevelType w:val="hybridMultilevel"/>
    <w:lvl w:ilvl="0">
      <w:lvlJc w:val="left"/>
      <w:lvlText w:val="(%1)"/>
      <w:numFmt w:val="lowerLetter"/>
      <w:start w:val="1"/>
    </w:lvl>
  </w:abstractNum>
  <w:abstractNum w:abstractNumId="220">
    <w:nsid w:val="5E636063"/>
    <w:multiLevelType w:val="hybridMultilevel"/>
    <w:lvl w:ilvl="0">
      <w:lvlJc w:val="left"/>
      <w:lvlText w:val="(%1)"/>
      <w:numFmt w:val="lowerLetter"/>
      <w:start w:val="1"/>
    </w:lvl>
  </w:abstractNum>
  <w:abstractNum w:abstractNumId="221">
    <w:nsid w:val="215641AF"/>
    <w:multiLevelType w:val="hybridMultilevel"/>
    <w:lvl w:ilvl="0">
      <w:lvlJc w:val="left"/>
      <w:lvlText w:val="(%1)"/>
      <w:numFmt w:val="lowerLetter"/>
      <w:start w:val="1"/>
    </w:lvl>
  </w:abstractNum>
  <w:abstractNum w:abstractNumId="222">
    <w:nsid w:val="53280662"/>
    <w:multiLevelType w:val="hybridMultilevel"/>
    <w:lvl w:ilvl="0">
      <w:lvlJc w:val="left"/>
      <w:lvlText w:val="(%1)"/>
      <w:numFmt w:val="lowerLetter"/>
      <w:start w:val="1"/>
    </w:lvl>
  </w:abstractNum>
  <w:abstractNum w:abstractNumId="223">
    <w:nsid w:val="46B24DBC"/>
    <w:multiLevelType w:val="hybridMultilevel"/>
    <w:lvl w:ilvl="0">
      <w:lvlJc w:val="left"/>
      <w:lvlText w:val="(%1)"/>
      <w:numFmt w:val="lowerLetter"/>
      <w:start w:val="1"/>
    </w:lvl>
  </w:abstractNum>
  <w:abstractNum w:abstractNumId="224">
    <w:nsid w:val="75B52783"/>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225">
    <w:nsid w:val="57CE66B4"/>
    <w:multiLevelType w:val="hybridMultilevel"/>
    <w:lvl w:ilvl="0">
      <w:lvlJc w:val="left"/>
      <w:lvlText w:val="(%1)"/>
      <w:numFmt w:val="lowerLetter"/>
      <w:start w:val="6"/>
    </w:lvl>
  </w:abstractNum>
  <w:abstractNum w:abstractNumId="226">
    <w:nsid w:val="67A70B69"/>
    <w:multiLevelType w:val="hybridMultilevel"/>
    <w:lvl w:ilvl="0">
      <w:lvlJc w:val="left"/>
      <w:lvlText w:val="(%1)"/>
      <w:numFmt w:val="lowerLetter"/>
      <w:start w:val="8"/>
    </w:lvl>
  </w:abstractNum>
  <w:abstractNum w:abstractNumId="227">
    <w:nsid w:val="5953172F"/>
    <w:multiLevelType w:val="hybridMultilevel"/>
    <w:lvl w:ilvl="0">
      <w:lvlJc w:val="left"/>
      <w:lvlText w:val="(%1)"/>
      <w:numFmt w:val="lowerLetter"/>
      <w:start w:val="1"/>
    </w:lvl>
  </w:abstractNum>
  <w:abstractNum w:abstractNumId="228">
    <w:nsid w:val="27EDFE3A"/>
    <w:multiLevelType w:val="hybridMultilevel"/>
    <w:lvl w:ilvl="0">
      <w:lvlJc w:val="left"/>
      <w:lvlText w:val="(%1)"/>
      <w:numFmt w:val="lowerLetter"/>
      <w:start w:val="1"/>
    </w:lvl>
  </w:abstractNum>
  <w:abstractNum w:abstractNumId="229">
    <w:nsid w:val="52AC7DFF"/>
    <w:multiLevelType w:val="hybridMultilevel"/>
    <w:lvl w:ilvl="0">
      <w:lvlJc w:val="left"/>
      <w:lvlText w:val="(%1)"/>
      <w:numFmt w:val="lowerLetter"/>
      <w:start w:val="2"/>
    </w:lvl>
  </w:abstractNum>
  <w:abstractNum w:abstractNumId="230">
    <w:nsid w:val="C4C3AF"/>
    <w:multiLevelType w:val="hybridMultilevel"/>
    <w:lvl w:ilvl="0">
      <w:lvlJc w:val="left"/>
      <w:lvlText w:val="(%1)"/>
      <w:numFmt w:val="lowerLetter"/>
      <w:start w:val="1"/>
    </w:lvl>
  </w:abstractNum>
  <w:abstractNum w:abstractNumId="231">
    <w:nsid w:val="44380727"/>
    <w:multiLevelType w:val="hybridMultilevel"/>
    <w:lvl w:ilvl="0">
      <w:lvlJc w:val="left"/>
      <w:lvlText w:val="(%1)"/>
      <w:numFmt w:val="lowerLetter"/>
      <w:start w:val="1"/>
    </w:lvl>
    <w:lvl w:ilvl="1">
      <w:lvlJc w:val="left"/>
      <w:lvlText w:val="(%2)"/>
      <w:numFmt w:val="lowerRoman"/>
      <w:start w:val="1"/>
    </w:lvl>
  </w:abstractNum>
  <w:abstractNum w:abstractNumId="232">
    <w:nsid w:val="6C053B16"/>
    <w:multiLevelType w:val="hybridMultilevel"/>
    <w:lvl w:ilvl="0">
      <w:lvlJc w:val="left"/>
      <w:lvlText w:val="(%1)"/>
      <w:numFmt w:val="lowerRoman"/>
      <w:start w:val="4"/>
    </w:lvl>
  </w:abstractNum>
  <w:abstractNum w:abstractNumId="233">
    <w:nsid w:val="4F294393"/>
    <w:multiLevelType w:val="hybridMultilevel"/>
    <w:lvl w:ilvl="0">
      <w:lvlJc w:val="left"/>
      <w:lvlText w:val="(%1)"/>
      <w:numFmt w:val="lowerLetter"/>
      <w:start w:val="2"/>
    </w:lvl>
  </w:abstractNum>
  <w:abstractNum w:abstractNumId="234">
    <w:nsid w:val="5243BFA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2019-12-08T05:28:43Z</dcterms:created>
  <dcterms:modified xsi:type="dcterms:W3CDTF">2019-12-08T05:28:43Z</dcterms:modified>
</cp:coreProperties>
</file>