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5742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74230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29"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ACKERMANN CHRISTINA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Verona Pharma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VRNA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10/07/2025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38" w:orient="portrait"/>
          <w:cols w:equalWidth="0" w:num="3">
            <w:col w:w="3200" w:space="720"/>
            <w:col w:w="3104" w:space="720"/>
            <w:col w:w="3336"/>
          </w:cols>
          <w:pgMar w:left="460" w:top="216" w:right="359" w:bottom="29" w:gutter="0" w:footer="0" w:header="0"/>
          <w:type w:val="continuous"/>
        </w:sectPr>
      </w:pPr>
    </w:p>
    <w:p>
      <w:pPr>
        <w:spacing w:after="0" w:line="230"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SE1 2RE</w:t>
            </w:r>
          </w:p>
        </w:tc>
      </w:tr>
      <w:tr>
        <w:trPr>
          <w:trHeight w:val="146"/>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38" w:orient="portrait"/>
          <w:cols w:equalWidth="0" w:num="2">
            <w:col w:w="3760" w:space="160"/>
            <w:col w:w="7160"/>
          </w:cols>
          <w:pgMar w:left="460" w:top="216" w:right="359" w:bottom="2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76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760" w:type="dxa"/>
            <w:vAlign w:val="bottom"/>
            <w:gridSpan w:val="4"/>
          </w:tcPr>
          <w:p>
            <w:pPr>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92"/>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340" w:type="dxa"/>
            <w:vAlign w:val="bottom"/>
          </w:tcPr>
          <w:p>
            <w:pPr>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92"/>
              <w:spacing w:after="0"/>
              <w:rPr>
                <w:sz w:val="20"/>
                <w:szCs w:val="20"/>
                <w:color w:val="auto"/>
              </w:rPr>
            </w:pPr>
            <w:r>
              <w:rPr>
                <w:rFonts w:ascii="Times New Roman" w:cs="Times New Roman" w:eastAsia="Times New Roman" w:hAnsi="Times New Roman"/>
                <w:sz w:val="17"/>
                <w:szCs w:val="17"/>
                <w:color w:val="0000FF"/>
                <w:w w:val="98"/>
              </w:rPr>
              <w:t>10/07/2025</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0"/>
              <w:spacing w:after="0"/>
              <w:rPr>
                <w:sz w:val="20"/>
                <w:szCs w:val="20"/>
                <w:color w:val="auto"/>
              </w:rPr>
            </w:pPr>
            <w:r>
              <w:rPr>
                <w:rFonts w:ascii="Times New Roman" w:cs="Times New Roman" w:eastAsia="Times New Roman" w:hAnsi="Times New Roman"/>
                <w:sz w:val="13"/>
                <w:szCs w:val="13"/>
                <w:color w:val="0000FF"/>
                <w:w w:val="84"/>
              </w:rPr>
              <w:t>D</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64,072</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137"/>
              <w:spacing w:after="0"/>
              <w:rPr>
                <w:sz w:val="20"/>
                <w:szCs w:val="20"/>
                <w:color w:val="auto"/>
              </w:rPr>
            </w:pPr>
            <w:r>
              <w:rPr>
                <w:rFonts w:ascii="Times New Roman" w:cs="Times New Roman" w:eastAsia="Times New Roman" w:hAnsi="Times New Roman"/>
                <w:sz w:val="11"/>
                <w:szCs w:val="11"/>
                <w:color w:val="008000"/>
              </w:rPr>
              <w:t>(2)(3)</w:t>
            </w:r>
          </w:p>
        </w:tc>
        <w:tc>
          <w:tcPr>
            <w:tcW w:w="720" w:type="dxa"/>
            <w:vAlign w:val="bottom"/>
            <w:tcBorders>
              <w:bottom w:val="single" w:sz="8" w:color="2C2C2C"/>
            </w:tcBorders>
            <w:gridSpan w:val="2"/>
          </w:tcPr>
          <w:p>
            <w:pPr>
              <w:jc w:val="center"/>
              <w:ind w:left="536"/>
              <w:spacing w:after="0"/>
              <w:rPr>
                <w:sz w:val="20"/>
                <w:szCs w:val="20"/>
                <w:color w:val="auto"/>
              </w:rPr>
            </w:pPr>
            <w:r>
              <w:rPr>
                <w:rFonts w:ascii="Times New Roman" w:cs="Times New Roman" w:eastAsia="Times New Roman" w:hAnsi="Times New Roman"/>
                <w:sz w:val="17"/>
                <w:szCs w:val="17"/>
                <w:color w:val="0000FF"/>
                <w:w w:val="93"/>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92"/>
              <w:spacing w:after="0"/>
              <w:rPr>
                <w:sz w:val="20"/>
                <w:szCs w:val="20"/>
                <w:color w:val="auto"/>
              </w:rPr>
            </w:pPr>
            <w:r>
              <w:rPr>
                <w:rFonts w:ascii="Times New Roman" w:cs="Times New Roman" w:eastAsia="Times New Roman" w:hAnsi="Times New Roman"/>
                <w:sz w:val="17"/>
                <w:szCs w:val="17"/>
                <w:color w:val="0000FF"/>
                <w:w w:val="98"/>
              </w:rPr>
              <w:t>10/07/2025</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72,000</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117"/>
              <w:spacing w:after="0"/>
              <w:rPr>
                <w:sz w:val="20"/>
                <w:szCs w:val="20"/>
                <w:color w:val="auto"/>
              </w:rPr>
            </w:pPr>
            <w:r>
              <w:rPr>
                <w:rFonts w:ascii="Times New Roman" w:cs="Times New Roman" w:eastAsia="Times New Roman" w:hAnsi="Times New Roman"/>
                <w:sz w:val="11"/>
                <w:szCs w:val="11"/>
                <w:color w:val="008000"/>
                <w:w w:val="93"/>
              </w:rPr>
              <w:t>(4)</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72,000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92"/>
              <w:spacing w:after="0"/>
              <w:rPr>
                <w:sz w:val="20"/>
                <w:szCs w:val="20"/>
                <w:color w:val="auto"/>
              </w:rPr>
            </w:pPr>
            <w:r>
              <w:rPr>
                <w:rFonts w:ascii="Times New Roman" w:cs="Times New Roman" w:eastAsia="Times New Roman" w:hAnsi="Times New Roman"/>
                <w:sz w:val="17"/>
                <w:szCs w:val="17"/>
                <w:color w:val="0000FF"/>
                <w:w w:val="98"/>
              </w:rPr>
              <w:t>10/07/2025</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0"/>
              <w:spacing w:after="0"/>
              <w:rPr>
                <w:sz w:val="20"/>
                <w:szCs w:val="20"/>
                <w:color w:val="auto"/>
              </w:rPr>
            </w:pPr>
            <w:r>
              <w:rPr>
                <w:rFonts w:ascii="Times New Roman" w:cs="Times New Roman" w:eastAsia="Times New Roman" w:hAnsi="Times New Roman"/>
                <w:sz w:val="13"/>
                <w:szCs w:val="13"/>
                <w:color w:val="0000FF"/>
                <w:w w:val="84"/>
              </w:rPr>
              <w:t>D</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72,000</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117"/>
              <w:spacing w:after="0"/>
              <w:rPr>
                <w:sz w:val="20"/>
                <w:szCs w:val="20"/>
                <w:color w:val="auto"/>
              </w:rPr>
            </w:pPr>
            <w:r>
              <w:rPr>
                <w:rFonts w:ascii="Times New Roman" w:cs="Times New Roman" w:eastAsia="Times New Roman" w:hAnsi="Times New Roman"/>
                <w:sz w:val="11"/>
                <w:szCs w:val="11"/>
                <w:color w:val="008000"/>
                <w:w w:val="93"/>
              </w:rPr>
              <w:t>(4)</w:t>
            </w:r>
          </w:p>
        </w:tc>
        <w:tc>
          <w:tcPr>
            <w:tcW w:w="720" w:type="dxa"/>
            <w:vAlign w:val="bottom"/>
            <w:tcBorders>
              <w:bottom w:val="single" w:sz="8" w:color="2C2C2C"/>
            </w:tcBorders>
            <w:gridSpan w:val="2"/>
          </w:tcPr>
          <w:p>
            <w:pPr>
              <w:jc w:val="center"/>
              <w:ind w:left="536"/>
              <w:spacing w:after="0"/>
              <w:rPr>
                <w:sz w:val="20"/>
                <w:szCs w:val="20"/>
                <w:color w:val="auto"/>
              </w:rPr>
            </w:pPr>
            <w:r>
              <w:rPr>
                <w:rFonts w:ascii="Times New Roman" w:cs="Times New Roman" w:eastAsia="Times New Roman" w:hAnsi="Times New Roman"/>
                <w:sz w:val="17"/>
                <w:szCs w:val="17"/>
                <w:color w:val="0000FF"/>
                <w:w w:val="93"/>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2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w w:val="98"/>
              </w:rPr>
              <w:t>72,000</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10/07/2025</w:t>
            </w:r>
          </w:p>
        </w:tc>
        <w:tc>
          <w:tcPr>
            <w:tcW w:w="1080" w:type="dxa"/>
            <w:vAlign w:val="bottom"/>
          </w:tcPr>
          <w:p>
            <w:pPr>
              <w:spacing w:after="0"/>
              <w:rPr>
                <w:sz w:val="5"/>
                <w:szCs w:val="5"/>
                <w:color w:val="auto"/>
              </w:rPr>
            </w:pPr>
          </w:p>
        </w:tc>
        <w:tc>
          <w:tcPr>
            <w:tcW w:w="760" w:type="dxa"/>
            <w:vAlign w:val="bottom"/>
            <w:vMerge w:val="restart"/>
          </w:tcPr>
          <w:p>
            <w:pPr>
              <w:jc w:val="center"/>
              <w:ind w:right="260"/>
              <w:spacing w:after="0"/>
              <w:rPr>
                <w:sz w:val="20"/>
                <w:szCs w:val="20"/>
                <w:color w:val="auto"/>
              </w:rPr>
            </w:pPr>
            <w:r>
              <w:rPr>
                <w:rFonts w:ascii="Times New Roman" w:cs="Times New Roman" w:eastAsia="Times New Roman" w:hAnsi="Times New Roman"/>
                <w:sz w:val="13"/>
                <w:szCs w:val="13"/>
                <w:color w:val="0000FF"/>
              </w:rPr>
              <w:t>M</w:t>
            </w:r>
          </w:p>
        </w:tc>
        <w:tc>
          <w:tcPr>
            <w:tcW w:w="94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w w:val="94"/>
              </w:rPr>
              <w:t>72,000</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220" w:type="dxa"/>
            <w:vAlign w:val="bottom"/>
          </w:tcPr>
          <w:p>
            <w:pPr>
              <w:spacing w:after="0"/>
              <w:rPr>
                <w:sz w:val="5"/>
                <w:szCs w:val="5"/>
                <w:color w:val="auto"/>
              </w:rPr>
            </w:pPr>
          </w:p>
        </w:tc>
        <w:tc>
          <w:tcPr>
            <w:tcW w:w="480" w:type="dxa"/>
            <w:vAlign w:val="bottom"/>
            <w:vMerge w:val="restart"/>
          </w:tcPr>
          <w:p>
            <w:pPr>
              <w:jc w:val="center"/>
              <w:ind w:right="174"/>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660" w:type="dxa"/>
            <w:vAlign w:val="bottom"/>
            <w:gridSpan w:val="2"/>
            <w:vMerge w:val="restart"/>
          </w:tcPr>
          <w:p>
            <w:pPr>
              <w:ind w:left="60"/>
              <w:spacing w:after="0" w:line="157"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8"/>
                <w:szCs w:val="18"/>
                <w:color w:val="008000"/>
                <w:vertAlign w:val="superscript"/>
              </w:rPr>
              <w:t>(1)</w:t>
            </w:r>
          </w:p>
        </w:tc>
        <w:tc>
          <w:tcPr>
            <w:tcW w:w="6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700" w:type="dxa"/>
            <w:vAlign w:val="bottom"/>
            <w:gridSpan w:val="2"/>
          </w:tcPr>
          <w:p>
            <w:pPr>
              <w:jc w:val="right"/>
              <w:ind w:right="215"/>
              <w:spacing w:after="0" w:line="81" w:lineRule="exact"/>
              <w:rPr>
                <w:sz w:val="20"/>
                <w:szCs w:val="20"/>
                <w:color w:val="auto"/>
              </w:rPr>
            </w:pPr>
            <w:r>
              <w:rPr>
                <w:rFonts w:ascii="Times New Roman" w:cs="Times New Roman" w:eastAsia="Times New Roman" w:hAnsi="Times New Roman"/>
                <w:sz w:val="8"/>
                <w:szCs w:val="8"/>
                <w:color w:val="008000"/>
              </w:rPr>
              <w:t>(5)</w:t>
            </w:r>
          </w:p>
        </w:tc>
        <w:tc>
          <w:tcPr>
            <w:tcW w:w="76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Unit</w:t>
            </w: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1.9338</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10/07/2025</w:t>
            </w:r>
          </w:p>
        </w:tc>
        <w:tc>
          <w:tcPr>
            <w:tcW w:w="1080" w:type="dxa"/>
            <w:vAlign w:val="bottom"/>
          </w:tcPr>
          <w:p>
            <w:pPr>
              <w:spacing w:after="0"/>
              <w:rPr>
                <w:sz w:val="11"/>
                <w:szCs w:val="11"/>
                <w:color w:val="auto"/>
              </w:rPr>
            </w:pPr>
          </w:p>
        </w:tc>
        <w:tc>
          <w:tcPr>
            <w:tcW w:w="760" w:type="dxa"/>
            <w:vAlign w:val="bottom"/>
            <w:vMerge w:val="restart"/>
          </w:tcPr>
          <w:p>
            <w:pPr>
              <w:jc w:val="center"/>
              <w:ind w:right="280"/>
              <w:spacing w:after="0"/>
              <w:rPr>
                <w:sz w:val="20"/>
                <w:szCs w:val="20"/>
                <w:color w:val="auto"/>
              </w:rPr>
            </w:pPr>
            <w:r>
              <w:rPr>
                <w:rFonts w:ascii="Times New Roman" w:cs="Times New Roman" w:eastAsia="Times New Roman" w:hAnsi="Times New Roman"/>
                <w:sz w:val="13"/>
                <w:szCs w:val="13"/>
                <w:color w:val="0000FF"/>
              </w:rPr>
              <w:t>D</w:t>
            </w:r>
          </w:p>
        </w:tc>
        <w:tc>
          <w:tcPr>
            <w:tcW w:w="94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w w:val="99"/>
              </w:rPr>
              <w:t>200,000</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04/28/2034</w:t>
            </w:r>
          </w:p>
        </w:tc>
        <w:tc>
          <w:tcPr>
            <w:tcW w:w="660" w:type="dxa"/>
            <w:vAlign w:val="bottom"/>
            <w:gridSpan w:val="2"/>
            <w:vMerge w:val="continue"/>
          </w:tcPr>
          <w:p>
            <w:pPr>
              <w:spacing w:after="0"/>
              <w:rPr>
                <w:sz w:val="11"/>
                <w:szCs w:val="11"/>
                <w:color w:val="auto"/>
              </w:rPr>
            </w:pPr>
          </w:p>
        </w:tc>
        <w:tc>
          <w:tcPr>
            <w:tcW w:w="620" w:type="dxa"/>
            <w:vAlign w:val="bottom"/>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w w:val="97"/>
              </w:rPr>
              <w:t>200,000</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60" w:type="dxa"/>
            <w:vAlign w:val="bottom"/>
            <w:gridSpan w:val="2"/>
          </w:tcPr>
          <w:p>
            <w:pPr>
              <w:ind w:left="60"/>
              <w:spacing w:after="0" w:line="153"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(1)</w:t>
            </w: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2.4288</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10/07/2025</w:t>
            </w:r>
          </w:p>
        </w:tc>
        <w:tc>
          <w:tcPr>
            <w:tcW w:w="1080" w:type="dxa"/>
            <w:vAlign w:val="bottom"/>
          </w:tcPr>
          <w:p>
            <w:pPr>
              <w:spacing w:after="0"/>
              <w:rPr>
                <w:sz w:val="11"/>
                <w:szCs w:val="11"/>
                <w:color w:val="auto"/>
              </w:rPr>
            </w:pPr>
          </w:p>
        </w:tc>
        <w:tc>
          <w:tcPr>
            <w:tcW w:w="760" w:type="dxa"/>
            <w:vAlign w:val="bottom"/>
            <w:vMerge w:val="restart"/>
          </w:tcPr>
          <w:p>
            <w:pPr>
              <w:jc w:val="center"/>
              <w:ind w:right="280"/>
              <w:spacing w:after="0"/>
              <w:rPr>
                <w:sz w:val="20"/>
                <w:szCs w:val="20"/>
                <w:color w:val="auto"/>
              </w:rPr>
            </w:pPr>
            <w:r>
              <w:rPr>
                <w:rFonts w:ascii="Times New Roman" w:cs="Times New Roman" w:eastAsia="Times New Roman" w:hAnsi="Times New Roman"/>
                <w:sz w:val="13"/>
                <w:szCs w:val="13"/>
                <w:color w:val="0000FF"/>
              </w:rPr>
              <w:t>D</w:t>
            </w:r>
          </w:p>
        </w:tc>
        <w:tc>
          <w:tcPr>
            <w:tcW w:w="94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w w:val="99"/>
              </w:rPr>
              <w:t>144,000</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08/31/2033</w:t>
            </w:r>
          </w:p>
        </w:tc>
        <w:tc>
          <w:tcPr>
            <w:tcW w:w="660" w:type="dxa"/>
            <w:vAlign w:val="bottom"/>
            <w:gridSpan w:val="2"/>
            <w:vMerge w:val="continue"/>
          </w:tcPr>
          <w:p>
            <w:pPr>
              <w:spacing w:after="0"/>
              <w:rPr>
                <w:sz w:val="11"/>
                <w:szCs w:val="11"/>
                <w:color w:val="auto"/>
              </w:rPr>
            </w:pPr>
          </w:p>
        </w:tc>
        <w:tc>
          <w:tcPr>
            <w:tcW w:w="620" w:type="dxa"/>
            <w:vAlign w:val="bottom"/>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w w:val="97"/>
              </w:rPr>
              <w:t>144,000</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60" w:type="dxa"/>
            <w:vAlign w:val="bottom"/>
            <w:gridSpan w:val="2"/>
          </w:tcPr>
          <w:p>
            <w:pPr>
              <w:ind w:left="60"/>
              <w:spacing w:after="0" w:line="167" w:lineRule="exact"/>
              <w:rPr>
                <w:sz w:val="20"/>
                <w:szCs w:val="20"/>
                <w:color w:val="auto"/>
              </w:rPr>
            </w:pPr>
            <w:r>
              <w:rPr>
                <w:rFonts w:ascii="Times New Roman" w:cs="Times New Roman" w:eastAsia="Times New Roman" w:hAnsi="Times New Roman"/>
                <w:sz w:val="12"/>
                <w:szCs w:val="12"/>
                <w:color w:val="0000FF"/>
              </w:rPr>
              <w:t>Shares</w:t>
            </w:r>
            <w:r>
              <w:rPr>
                <w:rFonts w:ascii="Times New Roman" w:cs="Times New Roman" w:eastAsia="Times New Roman" w:hAnsi="Times New Roman"/>
                <w:sz w:val="19"/>
                <w:szCs w:val="19"/>
                <w:color w:val="008000"/>
                <w:vertAlign w:val="superscript"/>
              </w:rPr>
              <w:t>(1)</w:t>
            </w: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41" w:lineRule="exact"/>
        <w:rPr>
          <w:rFonts w:ascii="Times New Roman" w:cs="Times New Roman" w:eastAsia="Times New Roman" w:hAnsi="Times New Roman"/>
          <w:sz w:val="13"/>
          <w:szCs w:val="13"/>
          <w:color w:val="008000"/>
        </w:rPr>
      </w:pPr>
    </w:p>
    <w:p>
      <w:pPr>
        <w:jc w:val="both"/>
        <w:ind w:left="40" w:right="28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Ordinary Shares of the Issuer acquired from the Reporting Person by means of a scheme of arrangement (the "Scheme of Arrangement") under Part 26 of the UK Companies Act 2006, pursuant to a transaction agreement, dated as of July 8, 2025 (the "Transaction Agreement"), by and among the Issuer, Merck Sharp &amp; Dohme LLC, a New Jersey limited liability company ("Parent") and Vol Holdings LLC, a Delaware limited liability company and wholly owned subsidiary of Parent ("Bidco").</w:t>
      </w:r>
    </w:p>
    <w:p>
      <w:pPr>
        <w:spacing w:after="0" w:line="26" w:lineRule="exact"/>
        <w:rPr>
          <w:rFonts w:ascii="Times New Roman" w:cs="Times New Roman" w:eastAsia="Times New Roman" w:hAnsi="Times New Roman"/>
          <w:sz w:val="13"/>
          <w:szCs w:val="13"/>
          <w:color w:val="008000"/>
        </w:rPr>
      </w:pPr>
    </w:p>
    <w:p>
      <w:pPr>
        <w:ind w:left="40" w:right="18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effective time of the Scheme of Arrangement (the "Effective Time"), each holder of the Scheme Shares (as defined in the Scheme of Arrangement) became entitled to receive $13.375 in cash per Scheme Share, without interest and net of any applicable withholding taxes. Because each ADS represents a beneficial ownership interest in eight (8) Ordinary Shares of the Issuer, holders of ADSs as of the Effective Time became entitled to receive eight (8) times the foregoing cash amount, or $107 in cash, without interest and net of any applicable withholding taxes, per ADS (the "ADS Consideration").</w:t>
      </w:r>
    </w:p>
    <w:p>
      <w:pPr>
        <w:spacing w:after="0" w:line="26" w:lineRule="exact"/>
        <w:rPr>
          <w:rFonts w:ascii="Times New Roman" w:cs="Times New Roman" w:eastAsia="Times New Roman" w:hAnsi="Times New Roman"/>
          <w:sz w:val="13"/>
          <w:szCs w:val="13"/>
          <w:color w:val="008000"/>
        </w:rPr>
      </w:pPr>
    </w:p>
    <w:p>
      <w:pPr>
        <w:ind w:left="40" w:right="40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Transaction Agreement, immediately prior to the Effective Time, each outstanding time-based restricted share unit award ("RSU Award"), unless agreed otherwise, became fully vested, and at the Effective Time, was automatically converted into the right to receive an amount in cash (without interest and subject to all required withholding taxes) equal to the product of (i) the aggregate number of ADSs underlying such RSU Award and (ii) the ADS Consideration.</w:t>
      </w:r>
    </w:p>
    <w:p>
      <w:pPr>
        <w:spacing w:after="0" w:line="26" w:lineRule="exact"/>
        <w:rPr>
          <w:rFonts w:ascii="Times New Roman" w:cs="Times New Roman" w:eastAsia="Times New Roman" w:hAnsi="Times New Roman"/>
          <w:sz w:val="13"/>
          <w:szCs w:val="13"/>
          <w:color w:val="008000"/>
        </w:rPr>
      </w:pPr>
    </w:p>
    <w:p>
      <w:pPr>
        <w:ind w:left="40" w:right="2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RSUs covering ADSs, which is presented in terms of the equivalent number of Ordinary Shares underlying the ADSs. Each RSU represents a contingent right to receive one (1) ADS of the Issuer. Each ADS represents eight (8) Ordinary Shares of the Issuer. The RSUs have no expiration date.</w:t>
      </w:r>
    </w:p>
    <w:p>
      <w:pPr>
        <w:spacing w:after="0" w:line="19" w:lineRule="exact"/>
        <w:rPr>
          <w:rFonts w:ascii="Times New Roman" w:cs="Times New Roman" w:eastAsia="Times New Roman" w:hAnsi="Times New Roman"/>
          <w:sz w:val="13"/>
          <w:szCs w:val="13"/>
          <w:color w:val="008000"/>
        </w:rPr>
      </w:pPr>
    </w:p>
    <w:p>
      <w:pPr>
        <w:ind w:left="40" w:right="24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Transaction Agreement, immediately prior to the Effective Time, each outstanding share option became fully vested, to the extent unvested, and at the Effective Time, each share option that had an exercise price less than the ADS Consideration was automatically converted into the right to receive an amount in cash equal to the product of (i) the aggregate number of ADSs underlying such share option and (ii) the excess, if any, of (a) an amount equal to the ADS Consideration over (b) the exercise price of such share option.</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/s/ Andrew Fisher, Attorney-in-  </w:t>
      </w:r>
      <w:r>
        <w:rPr>
          <w:rFonts w:ascii="Times New Roman" w:cs="Times New Roman" w:eastAsia="Times New Roman" w:hAnsi="Times New Roman"/>
          <w:sz w:val="31"/>
          <w:szCs w:val="31"/>
          <w:color w:val="0000FF"/>
          <w:vertAlign w:val="subscript"/>
        </w:rPr>
        <w:t>10/08/2025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27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715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Christina Ackermann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2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81871"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2025-10-08T15:34:12Z</dcterms:created>
  <dcterms:modified xsi:type="dcterms:W3CDTF">2025-10-08T15:34:12Z</dcterms:modified>
</cp:coreProperties>
</file>