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6-K</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3"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September 2018</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8"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96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6" w:lineRule="exact"/>
        <w:rPr>
          <w:sz w:val="24"/>
          <w:szCs w:val="24"/>
          <w:color w:val="auto"/>
        </w:rPr>
      </w:pPr>
    </w:p>
    <w:p>
      <w:pPr>
        <w:ind w:left="4640" w:right="999" w:hanging="462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97" w:right="1440" w:bottom="1440" w:gutter="0" w:footer="0" w:header="0"/>
        </w:sectPr>
      </w:pPr>
    </w:p>
    <w:bookmarkStart w:id="1" w:name="page2"/>
    <w:bookmarkEnd w:id="1"/>
    <w:p>
      <w:pPr>
        <w:jc w:val="center"/>
        <w:ind w:right="-29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4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September 20, 2018, Verona Pharma plc issued a press release reporting the the issue of new Ordinary Shares following the vesting of restricted stock units held by employees in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Issue of Shares &amp; PDMR Announcement is furnished herewith as Exhibit 1 to this Report on Form 6-K.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Exhibit</w:t>
      </w:r>
    </w:p>
    <w:p>
      <w:pPr>
        <w:ind w:left="1760"/>
        <w:spacing w:after="0"/>
        <w:tabs>
          <w:tab w:leader="none" w:pos="61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23495</wp:posOffset>
            </wp:positionV>
            <wp:extent cx="59004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0420" cy="8890"/>
                    </a:xfrm>
                    <a:prstGeom prst="rect">
                      <a:avLst/>
                    </a:prstGeom>
                    <a:noFill/>
                  </pic:spPr>
                </pic:pic>
              </a:graphicData>
            </a:graphic>
          </wp:anchor>
        </w:drawing>
      </w:r>
    </w:p>
    <w:p>
      <w:pPr>
        <w:spacing w:after="0" w:line="232" w:lineRule="exact"/>
        <w:rPr>
          <w:sz w:val="20"/>
          <w:szCs w:val="20"/>
          <w:color w:val="auto"/>
        </w:rPr>
      </w:pPr>
    </w:p>
    <w:p>
      <w:pPr>
        <w:ind w:left="1100"/>
        <w:spacing w:after="0"/>
        <w:tabs>
          <w:tab w:leader="none" w:pos="2940" w:val="left"/>
        </w:tabs>
        <w:rPr>
          <w:sz w:val="20"/>
          <w:szCs w:val="20"/>
          <w:color w:val="auto"/>
        </w:rPr>
      </w:pPr>
      <w:r>
        <w:rPr>
          <w:rFonts w:ascii="Arial" w:cs="Arial" w:eastAsia="Arial" w:hAnsi="Arial"/>
          <w:sz w:val="18"/>
          <w:szCs w:val="18"/>
          <w:u w:val="single" w:color="auto"/>
          <w:color w:val="0000EE"/>
        </w:rPr>
        <w:t>1</w:t>
      </w:r>
      <w:r>
        <w:rPr>
          <w:sz w:val="20"/>
          <w:szCs w:val="20"/>
          <w:color w:val="auto"/>
        </w:rPr>
        <w:tab/>
      </w:r>
      <w:r>
        <w:rPr>
          <w:rFonts w:ascii="Arial" w:cs="Arial" w:eastAsia="Arial" w:hAnsi="Arial"/>
          <w:sz w:val="18"/>
          <w:szCs w:val="18"/>
          <w:u w:val="single" w:color="auto"/>
          <w:color w:val="0000EE"/>
        </w:rPr>
        <w:t>Issue of Shares &amp; PDMR Announcement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VERONA PHARMA PLC</w:t>
      </w:r>
    </w:p>
    <w:p>
      <w:pPr>
        <w:spacing w:after="0" w:line="355" w:lineRule="exact"/>
        <w:rPr>
          <w:sz w:val="20"/>
          <w:szCs w:val="20"/>
          <w:color w:val="auto"/>
        </w:rPr>
      </w:pPr>
    </w:p>
    <w:tbl>
      <w:tblPr>
        <w:tblLayout w:type="fixed"/>
        <w:tblInd w:w="1100" w:type="dxa"/>
        <w:tblCellMar>
          <w:top w:w="0" w:type="dxa"/>
          <w:left w:w="0" w:type="dxa"/>
          <w:bottom w:w="0" w:type="dxa"/>
          <w:right w:w="0" w:type="dxa"/>
        </w:tblCellMar>
      </w:tblP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Date: September 25, 2018</w:t>
            </w:r>
          </w:p>
        </w:tc>
        <w:tc>
          <w:tcPr>
            <w:tcW w:w="1320" w:type="dxa"/>
            <w:vAlign w:val="bottom"/>
          </w:tcPr>
          <w:p>
            <w:pPr>
              <w:ind w:left="68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Claire Poll</w:t>
            </w:r>
          </w:p>
        </w:tc>
        <w:tc>
          <w:tcPr>
            <w:tcW w:w="3860" w:type="dxa"/>
            <w:vAlign w:val="bottom"/>
            <w:tcBorders>
              <w:bottom w:val="single" w:sz="8" w:color="auto"/>
            </w:tcBorders>
          </w:tcPr>
          <w:p>
            <w:pPr>
              <w:spacing w:after="0"/>
              <w:rPr>
                <w:sz w:val="19"/>
                <w:szCs w:val="19"/>
                <w:color w:val="auto"/>
              </w:rPr>
            </w:pPr>
          </w:p>
        </w:tc>
      </w:tr>
      <w:tr>
        <w:trPr>
          <w:trHeight w:val="243"/>
        </w:trPr>
        <w:tc>
          <w:tcPr>
            <w:tcW w:w="28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Name:</w:t>
            </w:r>
          </w:p>
        </w:tc>
        <w:tc>
          <w:tcPr>
            <w:tcW w:w="3860" w:type="dxa"/>
            <w:vAlign w:val="bottom"/>
          </w:tcPr>
          <w:p>
            <w:pPr>
              <w:ind w:left="180"/>
              <w:spacing w:after="0"/>
              <w:rPr>
                <w:sz w:val="20"/>
                <w:szCs w:val="20"/>
                <w:color w:val="auto"/>
              </w:rPr>
            </w:pPr>
            <w:r>
              <w:rPr>
                <w:rFonts w:ascii="Arial" w:cs="Arial" w:eastAsia="Arial" w:hAnsi="Arial"/>
                <w:sz w:val="18"/>
                <w:szCs w:val="18"/>
                <w:color w:val="auto"/>
              </w:rPr>
              <w:t>Claire Poll</w:t>
            </w:r>
          </w:p>
        </w:tc>
      </w:tr>
      <w:tr>
        <w:trPr>
          <w:trHeight w:val="270"/>
        </w:trPr>
        <w:tc>
          <w:tcPr>
            <w:tcW w:w="28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Title:</w:t>
            </w:r>
          </w:p>
        </w:tc>
        <w:tc>
          <w:tcPr>
            <w:tcW w:w="3860" w:type="dxa"/>
            <w:vAlign w:val="bottom"/>
          </w:tcPr>
          <w:p>
            <w:pPr>
              <w:ind w:left="180"/>
              <w:spacing w:after="0"/>
              <w:rPr>
                <w:sz w:val="20"/>
                <w:szCs w:val="20"/>
                <w:color w:val="auto"/>
              </w:rPr>
            </w:pPr>
            <w:r>
              <w:rPr>
                <w:rFonts w:ascii="Arial" w:cs="Arial" w:eastAsia="Arial" w:hAnsi="Arial"/>
                <w:sz w:val="18"/>
                <w:szCs w:val="18"/>
                <w:color w:val="auto"/>
              </w:rPr>
              <w:t>Legal Counsel</w:t>
            </w:r>
          </w:p>
        </w:tc>
      </w:tr>
    </w:tbl>
    <w:p>
      <w:pPr>
        <w:sectPr>
          <w:pgSz w:w="11900" w:h="16838" w:orient="portrait"/>
          <w:cols w:equalWidth="0" w:num="1">
            <w:col w:w="11120"/>
          </w:cols>
          <w:pgMar w:left="240" w:top="576" w:right="5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1482725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763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9834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Issue of Shares &amp; PDMR Announcement</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September 20, 2018, LONDON - Verona Pharma plc (AIM:VRP) (Nasdaq:VRNA) (“Verona Pharma”), a clinical-stage biopharmaceutical company focused on developing and commercializing innovative therapies for respiratory diseases, announces that it today issued 251,125 new Ordinary Shares (the “New Ordinary Shares”) following the vesting of restricted stock units held by employees in the Company. Application will be made to the London Stock Exchange for the New Ordinary Shares to be admitted to trading on AIM, with dealings expected to commence on 25 September 2018 (“Admission”). Following Admission, the Company will have a total of 105,326,638 Ordinary Shares in issue each carrying one voting right. The Company does not hold any Ordinary Shares in Treasury. This figure of 105,326,638 Ordinary Shares may be used by shareholders as the denominator for the calculations by which they will determine if they are required to notify their interest in, or a change to their interest in, the share capital of the Company under the FCA's Disclosure and Transparency Rules.</w:t>
      </w:r>
    </w:p>
    <w:p>
      <w:pPr>
        <w:spacing w:after="0" w:line="16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Following the issue, Dr. Jan-Anders Karlsson, CEO of Verona Pharma, will have an interest in the Company of 193,545 Ordinary Shares, representing 0.18% of the Company’s issued share capital, and Mr. Piers Morgan, CFO of the Company, will have an interest in the Company of 58,594 Ordinary Shares, representing 0.06% of the Company’s issued share capital.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notification set out below is provided in accordance with the requirements of the EU Market Abuse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1</w:t>
            </w:r>
          </w:p>
        </w:tc>
        <w:tc>
          <w:tcPr>
            <w:tcW w:w="1096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20"/>
                <w:szCs w:val="20"/>
                <w:b w:val="1"/>
                <w:bCs w:val="1"/>
                <w:color w:val="auto"/>
              </w:rPr>
              <w:t>Details of the person discharging managerial responsibilities/person closely associated</w:t>
            </w:r>
          </w:p>
        </w:tc>
        <w:tc>
          <w:tcPr>
            <w:tcW w:w="0" w:type="dxa"/>
            <w:vAlign w:val="bottom"/>
          </w:tcPr>
          <w:p>
            <w:pPr>
              <w:spacing w:after="0"/>
              <w:rPr>
                <w:sz w:val="1"/>
                <w:szCs w:val="1"/>
                <w:color w:val="auto"/>
              </w:rPr>
            </w:pPr>
          </w:p>
        </w:tc>
      </w:tr>
      <w:tr>
        <w:trPr>
          <w:trHeight w:val="90"/>
        </w:trPr>
        <w:tc>
          <w:tcPr>
            <w:tcW w:w="480" w:type="dxa"/>
            <w:vAlign w:val="bottom"/>
            <w:tcBorders>
              <w:left w:val="single" w:sz="8" w:color="auto"/>
              <w:bottom w:val="single" w:sz="8" w:color="auto"/>
              <w:right w:val="single" w:sz="8" w:color="auto"/>
            </w:tcBorders>
          </w:tcPr>
          <w:p>
            <w:pPr>
              <w:spacing w:after="0"/>
              <w:rPr>
                <w:sz w:val="7"/>
                <w:szCs w:val="7"/>
                <w:color w:val="auto"/>
              </w:rPr>
            </w:pPr>
          </w:p>
        </w:tc>
        <w:tc>
          <w:tcPr>
            <w:tcW w:w="6060" w:type="dxa"/>
            <w:vAlign w:val="bottom"/>
            <w:tcBorders>
              <w:bottom w:val="single" w:sz="8" w:color="auto"/>
            </w:tcBorders>
          </w:tcPr>
          <w:p>
            <w:pPr>
              <w:spacing w:after="0"/>
              <w:rPr>
                <w:sz w:val="7"/>
                <w:szCs w:val="7"/>
                <w:color w:val="auto"/>
              </w:rPr>
            </w:pPr>
          </w:p>
        </w:tc>
        <w:tc>
          <w:tcPr>
            <w:tcW w:w="4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Name</w:t>
            </w: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Jan-Anders Karlsson</w:t>
            </w:r>
          </w:p>
        </w:tc>
        <w:tc>
          <w:tcPr>
            <w:tcW w:w="0" w:type="dxa"/>
            <w:vAlign w:val="bottom"/>
          </w:tcPr>
          <w:p>
            <w:pPr>
              <w:spacing w:after="0"/>
              <w:rPr>
                <w:sz w:val="1"/>
                <w:szCs w:val="1"/>
                <w:color w:val="auto"/>
              </w:rPr>
            </w:pPr>
          </w:p>
        </w:tc>
      </w:tr>
      <w:tr>
        <w:trPr>
          <w:trHeight w:val="496"/>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6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2</w:t>
            </w:r>
          </w:p>
        </w:tc>
        <w:tc>
          <w:tcPr>
            <w:tcW w:w="6060" w:type="dxa"/>
            <w:vAlign w:val="bottom"/>
          </w:tcPr>
          <w:p>
            <w:pPr>
              <w:ind w:left="80"/>
              <w:spacing w:after="0"/>
              <w:rPr>
                <w:sz w:val="20"/>
                <w:szCs w:val="20"/>
                <w:color w:val="auto"/>
              </w:rPr>
            </w:pPr>
            <w:r>
              <w:rPr>
                <w:rFonts w:ascii="Arial" w:cs="Arial" w:eastAsia="Arial" w:hAnsi="Arial"/>
                <w:sz w:val="20"/>
                <w:szCs w:val="20"/>
                <w:b w:val="1"/>
                <w:bCs w:val="1"/>
                <w:color w:val="auto"/>
              </w:rPr>
              <w:t>Reason for the notification</w:t>
            </w:r>
          </w:p>
        </w:tc>
        <w:tc>
          <w:tcPr>
            <w:tcW w:w="49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480" w:type="dxa"/>
            <w:vAlign w:val="bottom"/>
            <w:tcBorders>
              <w:left w:val="single" w:sz="8" w:color="auto"/>
              <w:bottom w:val="single" w:sz="8" w:color="auto"/>
              <w:right w:val="single" w:sz="8" w:color="auto"/>
            </w:tcBorders>
          </w:tcPr>
          <w:p>
            <w:pPr>
              <w:spacing w:after="0"/>
              <w:rPr>
                <w:sz w:val="7"/>
                <w:szCs w:val="7"/>
                <w:color w:val="auto"/>
              </w:rPr>
            </w:pPr>
          </w:p>
        </w:tc>
        <w:tc>
          <w:tcPr>
            <w:tcW w:w="6060" w:type="dxa"/>
            <w:vAlign w:val="bottom"/>
            <w:tcBorders>
              <w:bottom w:val="single" w:sz="8" w:color="auto"/>
            </w:tcBorders>
          </w:tcPr>
          <w:p>
            <w:pPr>
              <w:spacing w:after="0"/>
              <w:rPr>
                <w:sz w:val="7"/>
                <w:szCs w:val="7"/>
                <w:color w:val="auto"/>
              </w:rPr>
            </w:pPr>
          </w:p>
        </w:tc>
        <w:tc>
          <w:tcPr>
            <w:tcW w:w="4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606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Position/status</w:t>
            </w: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spacing w:after="0"/>
              <w:rPr>
                <w:sz w:val="19"/>
                <w:szCs w:val="19"/>
                <w:color w:val="auto"/>
              </w:rPr>
            </w:pPr>
          </w:p>
        </w:tc>
        <w:tc>
          <w:tcPr>
            <w:tcW w:w="6060" w:type="dxa"/>
            <w:vAlign w:val="bottom"/>
            <w:tcBorders>
              <w:right w:val="single" w:sz="8" w:color="auto"/>
            </w:tcBorders>
            <w:vMerge w:val="continue"/>
          </w:tcPr>
          <w:p>
            <w:pPr>
              <w:spacing w:after="0"/>
              <w:rPr>
                <w:sz w:val="19"/>
                <w:szCs w:val="19"/>
                <w:color w:val="auto"/>
              </w:rPr>
            </w:pPr>
          </w:p>
        </w:tc>
        <w:tc>
          <w:tcPr>
            <w:tcW w:w="4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6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Initial notification/Amendment</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Initial notification</w:t>
            </w:r>
          </w:p>
        </w:tc>
        <w:tc>
          <w:tcPr>
            <w:tcW w:w="0" w:type="dxa"/>
            <w:vAlign w:val="bottom"/>
          </w:tcPr>
          <w:p>
            <w:pPr>
              <w:spacing w:after="0"/>
              <w:rPr>
                <w:sz w:val="1"/>
                <w:szCs w:val="1"/>
                <w:color w:val="auto"/>
              </w:rPr>
            </w:pPr>
          </w:p>
        </w:tc>
      </w:tr>
      <w:tr>
        <w:trPr>
          <w:trHeight w:val="415"/>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6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440" w:right="21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3</w:t>
            </w:r>
          </w:p>
        </w:tc>
        <w:tc>
          <w:tcPr>
            <w:tcW w:w="1096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20"/>
                <w:szCs w:val="20"/>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90"/>
        </w:trPr>
        <w:tc>
          <w:tcPr>
            <w:tcW w:w="480" w:type="dxa"/>
            <w:vAlign w:val="bottom"/>
            <w:tcBorders>
              <w:left w:val="single" w:sz="8" w:color="auto"/>
              <w:bottom w:val="single" w:sz="8" w:color="auto"/>
              <w:right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5440" w:type="dxa"/>
            <w:vAlign w:val="bottom"/>
            <w:tcBorders>
              <w:bottom w:val="single" w:sz="8" w:color="auto"/>
            </w:tcBorders>
          </w:tcPr>
          <w:p>
            <w:pPr>
              <w:spacing w:after="0"/>
              <w:rPr>
                <w:sz w:val="7"/>
                <w:szCs w:val="7"/>
                <w:color w:val="auto"/>
              </w:rPr>
            </w:pPr>
          </w:p>
        </w:tc>
        <w:tc>
          <w:tcPr>
            <w:tcW w:w="4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620" w:type="dxa"/>
            <w:vAlign w:val="bottom"/>
          </w:tcPr>
          <w:p>
            <w:pPr>
              <w:ind w:left="80"/>
              <w:spacing w:after="0"/>
              <w:rPr>
                <w:sz w:val="20"/>
                <w:szCs w:val="20"/>
                <w:color w:val="auto"/>
              </w:rPr>
            </w:pPr>
            <w:r>
              <w:rPr>
                <w:rFonts w:ascii="Arial" w:cs="Arial" w:eastAsia="Arial" w:hAnsi="Arial"/>
                <w:sz w:val="20"/>
                <w:szCs w:val="20"/>
                <w:color w:val="auto"/>
                <w:w w:val="97"/>
              </w:rPr>
              <w:t>Name</w:t>
            </w:r>
          </w:p>
        </w:tc>
        <w:tc>
          <w:tcPr>
            <w:tcW w:w="5440" w:type="dxa"/>
            <w:vAlign w:val="bottom"/>
            <w:tcBorders>
              <w:right w:val="single" w:sz="8" w:color="auto"/>
            </w:tcBorders>
          </w:tcPr>
          <w:p>
            <w:pPr>
              <w:spacing w:after="0"/>
              <w:rPr>
                <w:sz w:val="22"/>
                <w:szCs w:val="22"/>
                <w:color w:val="auto"/>
              </w:rPr>
            </w:pP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Verona Pharma plc</w:t>
            </w:r>
          </w:p>
        </w:tc>
        <w:tc>
          <w:tcPr>
            <w:tcW w:w="0" w:type="dxa"/>
            <w:vAlign w:val="bottom"/>
          </w:tcPr>
          <w:p>
            <w:pPr>
              <w:spacing w:after="0"/>
              <w:rPr>
                <w:sz w:val="1"/>
                <w:szCs w:val="1"/>
                <w:color w:val="auto"/>
              </w:rPr>
            </w:pPr>
          </w:p>
        </w:tc>
      </w:tr>
      <w:tr>
        <w:trPr>
          <w:trHeight w:val="226"/>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440" w:type="dxa"/>
            <w:vAlign w:val="bottom"/>
            <w:tcBorders>
              <w:bottom w:val="single" w:sz="8" w:color="auto"/>
              <w:right w:val="single" w:sz="8" w:color="auto"/>
            </w:tcBorders>
          </w:tcPr>
          <w:p>
            <w:pPr>
              <w:spacing w:after="0"/>
              <w:rPr>
                <w:sz w:val="19"/>
                <w:szCs w:val="19"/>
                <w:color w:val="auto"/>
              </w:rPr>
            </w:pPr>
          </w:p>
        </w:tc>
        <w:tc>
          <w:tcPr>
            <w:tcW w:w="4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w:t>
            </w:r>
          </w:p>
        </w:tc>
        <w:tc>
          <w:tcPr>
            <w:tcW w:w="620" w:type="dxa"/>
            <w:vAlign w:val="bottom"/>
          </w:tcPr>
          <w:p>
            <w:pPr>
              <w:ind w:left="80"/>
              <w:spacing w:after="0"/>
              <w:rPr>
                <w:sz w:val="20"/>
                <w:szCs w:val="20"/>
                <w:color w:val="auto"/>
              </w:rPr>
            </w:pPr>
            <w:r>
              <w:rPr>
                <w:rFonts w:ascii="Arial" w:cs="Arial" w:eastAsia="Arial" w:hAnsi="Arial"/>
                <w:sz w:val="20"/>
                <w:szCs w:val="20"/>
                <w:color w:val="auto"/>
              </w:rPr>
              <w:t>LEI</w:t>
            </w:r>
          </w:p>
        </w:tc>
        <w:tc>
          <w:tcPr>
            <w:tcW w:w="5440" w:type="dxa"/>
            <w:vAlign w:val="bottom"/>
            <w:tcBorders>
              <w:right w:val="single" w:sz="8" w:color="auto"/>
            </w:tcBorders>
          </w:tcPr>
          <w:p>
            <w:pPr>
              <w:spacing w:after="0"/>
              <w:rPr>
                <w:sz w:val="24"/>
                <w:szCs w:val="24"/>
                <w:color w:val="auto"/>
              </w:rPr>
            </w:pP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213800EVI6O6J3TIAL06</w:t>
            </w:r>
          </w:p>
        </w:tc>
        <w:tc>
          <w:tcPr>
            <w:tcW w:w="0" w:type="dxa"/>
            <w:vAlign w:val="bottom"/>
          </w:tcPr>
          <w:p>
            <w:pPr>
              <w:spacing w:after="0"/>
              <w:rPr>
                <w:sz w:val="1"/>
                <w:szCs w:val="1"/>
                <w:color w:val="auto"/>
              </w:rPr>
            </w:pPr>
          </w:p>
        </w:tc>
      </w:tr>
      <w:tr>
        <w:trPr>
          <w:trHeight w:val="415"/>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60" w:type="dxa"/>
            <w:vAlign w:val="bottom"/>
            <w:tcBorders>
              <w:bottom w:val="single" w:sz="8" w:color="auto"/>
              <w:right w:val="single" w:sz="8" w:color="auto"/>
            </w:tcBorders>
            <w:gridSpan w:val="2"/>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0" w:type="dxa"/>
            <w:vAlign w:val="bottom"/>
            <w:tcBorders>
              <w:left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b w:val="1"/>
                <w:bCs w:val="1"/>
                <w:color w:val="auto"/>
              </w:rPr>
              <w:t>4</w:t>
            </w:r>
          </w:p>
        </w:tc>
        <w:tc>
          <w:tcPr>
            <w:tcW w:w="10960" w:type="dxa"/>
            <w:vAlign w:val="bottom"/>
            <w:tcBorders>
              <w:right w:val="single" w:sz="8" w:color="auto"/>
            </w:tcBorders>
            <w:gridSpan w:val="3"/>
          </w:tcPr>
          <w:p>
            <w:pPr>
              <w:ind w:left="80"/>
              <w:spacing w:after="0" w:line="209" w:lineRule="exact"/>
              <w:rPr>
                <w:sz w:val="20"/>
                <w:szCs w:val="20"/>
                <w:color w:val="auto"/>
              </w:rPr>
            </w:pPr>
            <w:r>
              <w:rPr>
                <w:rFonts w:ascii="Arial" w:cs="Arial" w:eastAsia="Arial" w:hAnsi="Arial"/>
                <w:sz w:val="20"/>
                <w:szCs w:val="20"/>
                <w:b w:val="1"/>
                <w:bCs w:val="1"/>
                <w:color w:val="auto"/>
                <w:w w:val="99"/>
              </w:rPr>
              <w:t>Details of the transaction(s): section to be repeated for (i) each type of instrument; (ii) each type of transaction; (iii)</w:t>
            </w:r>
          </w:p>
        </w:tc>
        <w:tc>
          <w:tcPr>
            <w:tcW w:w="0" w:type="dxa"/>
            <w:vAlign w:val="bottom"/>
          </w:tcPr>
          <w:p>
            <w:pPr>
              <w:spacing w:after="0"/>
              <w:rPr>
                <w:sz w:val="1"/>
                <w:szCs w:val="1"/>
                <w:color w:val="auto"/>
              </w:rPr>
            </w:pPr>
          </w:p>
        </w:tc>
      </w:tr>
      <w:tr>
        <w:trPr>
          <w:trHeight w:val="261"/>
        </w:trPr>
        <w:tc>
          <w:tcPr>
            <w:tcW w:w="480" w:type="dxa"/>
            <w:vAlign w:val="bottom"/>
            <w:tcBorders>
              <w:left w:val="single" w:sz="8" w:color="auto"/>
              <w:right w:val="single" w:sz="8" w:color="auto"/>
            </w:tcBorders>
          </w:tcPr>
          <w:p>
            <w:pPr>
              <w:spacing w:after="0"/>
              <w:rPr>
                <w:sz w:val="22"/>
                <w:szCs w:val="22"/>
                <w:color w:val="auto"/>
              </w:rPr>
            </w:pPr>
          </w:p>
        </w:tc>
        <w:tc>
          <w:tcPr>
            <w:tcW w:w="10960" w:type="dxa"/>
            <w:vAlign w:val="bottom"/>
            <w:tcBorders>
              <w:right w:val="single" w:sz="8" w:color="auto"/>
            </w:tcBorders>
            <w:gridSpan w:val="3"/>
          </w:tcPr>
          <w:p>
            <w:pPr>
              <w:ind w:left="80"/>
              <w:spacing w:after="0"/>
              <w:rPr>
                <w:sz w:val="20"/>
                <w:szCs w:val="20"/>
                <w:color w:val="auto"/>
              </w:rPr>
            </w:pPr>
            <w:r>
              <w:rPr>
                <w:rFonts w:ascii="Arial" w:cs="Arial" w:eastAsia="Arial" w:hAnsi="Arial"/>
                <w:sz w:val="20"/>
                <w:szCs w:val="20"/>
                <w:b w:val="1"/>
                <w:bCs w:val="1"/>
                <w:color w:val="auto"/>
              </w:rPr>
              <w:t>each date; and (iv) each place where transactions have been conducted</w:t>
            </w:r>
          </w:p>
        </w:tc>
        <w:tc>
          <w:tcPr>
            <w:tcW w:w="0" w:type="dxa"/>
            <w:vAlign w:val="bottom"/>
          </w:tcPr>
          <w:p>
            <w:pPr>
              <w:spacing w:after="0"/>
              <w:rPr>
                <w:sz w:val="1"/>
                <w:szCs w:val="1"/>
                <w:color w:val="auto"/>
              </w:rPr>
            </w:pPr>
          </w:p>
        </w:tc>
      </w:tr>
      <w:tr>
        <w:trPr>
          <w:trHeight w:val="91"/>
        </w:trPr>
        <w:tc>
          <w:tcPr>
            <w:tcW w:w="480" w:type="dxa"/>
            <w:vAlign w:val="bottom"/>
            <w:tcBorders>
              <w:left w:val="single" w:sz="8" w:color="auto"/>
              <w:bottom w:val="single" w:sz="8" w:color="auto"/>
              <w:right w:val="single" w:sz="8" w:color="auto"/>
            </w:tcBorders>
          </w:tcPr>
          <w:p>
            <w:pPr>
              <w:spacing w:after="0"/>
              <w:rPr>
                <w:sz w:val="7"/>
                <w:szCs w:val="7"/>
                <w:color w:val="auto"/>
              </w:rPr>
            </w:pPr>
          </w:p>
        </w:tc>
        <w:tc>
          <w:tcPr>
            <w:tcW w:w="6060" w:type="dxa"/>
            <w:vAlign w:val="bottom"/>
            <w:tcBorders>
              <w:bottom w:val="single" w:sz="8" w:color="auto"/>
            </w:tcBorders>
            <w:gridSpan w:val="2"/>
          </w:tcPr>
          <w:p>
            <w:pPr>
              <w:spacing w:after="0"/>
              <w:rPr>
                <w:sz w:val="7"/>
                <w:szCs w:val="7"/>
                <w:color w:val="auto"/>
              </w:rPr>
            </w:pPr>
          </w:p>
        </w:tc>
        <w:tc>
          <w:tcPr>
            <w:tcW w:w="4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606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Description of the financial instrument, type of instrument</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Ordinary Shares of 5 pence each</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right w:val="single" w:sz="8" w:color="auto"/>
            </w:tcBorders>
          </w:tcPr>
          <w:p>
            <w:pPr>
              <w:spacing w:after="0"/>
              <w:rPr>
                <w:sz w:val="24"/>
                <w:szCs w:val="24"/>
                <w:color w:val="auto"/>
              </w:rPr>
            </w:pPr>
          </w:p>
        </w:tc>
        <w:tc>
          <w:tcPr>
            <w:tcW w:w="60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20"/>
                <w:szCs w:val="20"/>
                <w:color w:val="auto"/>
              </w:rPr>
              <w:t>Identification code</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GB00BYW2KH80</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right w:val="single" w:sz="8" w:color="auto"/>
            </w:tcBorders>
          </w:tcPr>
          <w:p>
            <w:pPr>
              <w:spacing w:after="0"/>
              <w:rPr>
                <w:sz w:val="7"/>
                <w:szCs w:val="7"/>
                <w:color w:val="auto"/>
              </w:rPr>
            </w:pPr>
          </w:p>
        </w:tc>
        <w:tc>
          <w:tcPr>
            <w:tcW w:w="6060" w:type="dxa"/>
            <w:vAlign w:val="bottom"/>
            <w:tcBorders>
              <w:right w:val="single" w:sz="8" w:color="auto"/>
            </w:tcBorders>
            <w:gridSpan w:val="2"/>
            <w:vMerge w:val="continue"/>
          </w:tcPr>
          <w:p>
            <w:pPr>
              <w:spacing w:after="0"/>
              <w:rPr>
                <w:sz w:val="7"/>
                <w:szCs w:val="7"/>
                <w:color w:val="auto"/>
              </w:rPr>
            </w:pPr>
          </w:p>
        </w:tc>
        <w:tc>
          <w:tcPr>
            <w:tcW w:w="4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6060" w:type="dxa"/>
            <w:vAlign w:val="bottom"/>
            <w:tcBorders>
              <w:bottom w:val="single" w:sz="8" w:color="auto"/>
              <w:right w:val="single" w:sz="8" w:color="auto"/>
            </w:tcBorders>
            <w:gridSpan w:val="2"/>
          </w:tcPr>
          <w:p>
            <w:pPr>
              <w:spacing w:after="0"/>
              <w:rPr>
                <w:sz w:val="19"/>
                <w:szCs w:val="19"/>
                <w:color w:val="auto"/>
              </w:rPr>
            </w:pPr>
          </w:p>
        </w:tc>
        <w:tc>
          <w:tcPr>
            <w:tcW w:w="4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w:t>
            </w:r>
          </w:p>
        </w:tc>
        <w:tc>
          <w:tcPr>
            <w:tcW w:w="606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Nature of the transaction</w:t>
            </w: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Jan-Anders Karlsson was issued 101,145 Ordinary</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544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0"/>
                <w:szCs w:val="20"/>
                <w:color w:val="auto"/>
              </w:rPr>
              <w:t>Shares following the vesting of restricted stock units</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544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under the Company’s employee share plan</w:t>
            </w:r>
          </w:p>
        </w:tc>
        <w:tc>
          <w:tcPr>
            <w:tcW w:w="0" w:type="dxa"/>
            <w:vAlign w:val="bottom"/>
          </w:tcPr>
          <w:p>
            <w:pPr>
              <w:spacing w:after="0"/>
              <w:rPr>
                <w:sz w:val="1"/>
                <w:szCs w:val="1"/>
                <w:color w:val="auto"/>
              </w:rPr>
            </w:pPr>
          </w:p>
        </w:tc>
      </w:tr>
      <w:tr>
        <w:trPr>
          <w:trHeight w:val="30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60" w:type="dxa"/>
            <w:vAlign w:val="bottom"/>
            <w:tcBorders>
              <w:bottom w:val="single" w:sz="8" w:color="auto"/>
              <w:right w:val="single" w:sz="8" w:color="auto"/>
            </w:tcBorders>
            <w:gridSpan w:val="2"/>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w:t>
            </w:r>
          </w:p>
        </w:tc>
        <w:tc>
          <w:tcPr>
            <w:tcW w:w="606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Price(s) and volume(s)</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Price(s) : N/A</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544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Volume(s) : 101,145 Ordinary Shares</w:t>
            </w:r>
          </w:p>
        </w:tc>
        <w:tc>
          <w:tcPr>
            <w:tcW w:w="0" w:type="dxa"/>
            <w:vAlign w:val="bottom"/>
          </w:tcPr>
          <w:p>
            <w:pPr>
              <w:spacing w:after="0"/>
              <w:rPr>
                <w:sz w:val="1"/>
                <w:szCs w:val="1"/>
                <w:color w:val="auto"/>
              </w:rPr>
            </w:pPr>
          </w:p>
        </w:tc>
      </w:tr>
      <w:tr>
        <w:trPr>
          <w:trHeight w:val="496"/>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60" w:type="dxa"/>
            <w:vAlign w:val="bottom"/>
            <w:tcBorders>
              <w:bottom w:val="single" w:sz="8" w:color="auto"/>
              <w:right w:val="single" w:sz="8" w:color="auto"/>
            </w:tcBorders>
            <w:gridSpan w:val="2"/>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w:t>
            </w:r>
          </w:p>
        </w:tc>
        <w:tc>
          <w:tcPr>
            <w:tcW w:w="606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Aggregated information</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324"/>
        </w:trPr>
        <w:tc>
          <w:tcPr>
            <w:tcW w:w="480" w:type="dxa"/>
            <w:vAlign w:val="bottom"/>
            <w:tcBorders>
              <w:left w:val="single" w:sz="8" w:color="auto"/>
              <w:right w:val="single" w:sz="8" w:color="auto"/>
            </w:tcBorders>
          </w:tcPr>
          <w:p>
            <w:pPr>
              <w:spacing w:after="0"/>
              <w:rPr>
                <w:sz w:val="24"/>
                <w:szCs w:val="24"/>
                <w:color w:val="auto"/>
              </w:rPr>
            </w:pPr>
          </w:p>
        </w:tc>
        <w:tc>
          <w:tcPr>
            <w:tcW w:w="620" w:type="dxa"/>
            <w:vAlign w:val="bottom"/>
          </w:tcPr>
          <w:p>
            <w:pPr>
              <w:ind w:left="80"/>
              <w:spacing w:after="0"/>
              <w:rPr>
                <w:sz w:val="20"/>
                <w:szCs w:val="20"/>
                <w:color w:val="auto"/>
              </w:rPr>
            </w:pPr>
            <w:r>
              <w:rPr>
                <w:rFonts w:ascii="Arial" w:cs="Arial" w:eastAsia="Arial" w:hAnsi="Arial"/>
                <w:sz w:val="20"/>
                <w:szCs w:val="20"/>
                <w:color w:val="auto"/>
              </w:rPr>
              <w:t>-</w:t>
            </w:r>
          </w:p>
        </w:tc>
        <w:tc>
          <w:tcPr>
            <w:tcW w:w="5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Aggregated volume</w:t>
            </w:r>
          </w:p>
        </w:tc>
        <w:tc>
          <w:tcPr>
            <w:tcW w:w="4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right w:val="single" w:sz="8" w:color="auto"/>
            </w:tcBorders>
          </w:tcPr>
          <w:p>
            <w:pPr>
              <w:spacing w:after="0"/>
              <w:rPr>
                <w:sz w:val="24"/>
                <w:szCs w:val="24"/>
                <w:color w:val="auto"/>
              </w:rPr>
            </w:pPr>
          </w:p>
        </w:tc>
        <w:tc>
          <w:tcPr>
            <w:tcW w:w="620" w:type="dxa"/>
            <w:vAlign w:val="bottom"/>
          </w:tcPr>
          <w:p>
            <w:pPr>
              <w:ind w:left="80"/>
              <w:spacing w:after="0"/>
              <w:rPr>
                <w:sz w:val="20"/>
                <w:szCs w:val="20"/>
                <w:color w:val="auto"/>
              </w:rPr>
            </w:pPr>
            <w:r>
              <w:rPr>
                <w:rFonts w:ascii="Arial" w:cs="Arial" w:eastAsia="Arial" w:hAnsi="Arial"/>
                <w:sz w:val="20"/>
                <w:szCs w:val="20"/>
                <w:color w:val="auto"/>
              </w:rPr>
              <w:t>-</w:t>
            </w:r>
          </w:p>
        </w:tc>
        <w:tc>
          <w:tcPr>
            <w:tcW w:w="5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Price</w:t>
            </w:r>
          </w:p>
        </w:tc>
        <w:tc>
          <w:tcPr>
            <w:tcW w:w="4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60" w:type="dxa"/>
            <w:vAlign w:val="bottom"/>
            <w:tcBorders>
              <w:bottom w:val="single" w:sz="8" w:color="auto"/>
              <w:right w:val="single" w:sz="8" w:color="auto"/>
            </w:tcBorders>
            <w:gridSpan w:val="2"/>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w:t>
            </w:r>
          </w:p>
        </w:tc>
        <w:tc>
          <w:tcPr>
            <w:tcW w:w="606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Date of the transaction</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20 September 2018</w:t>
            </w:r>
          </w:p>
        </w:tc>
        <w:tc>
          <w:tcPr>
            <w:tcW w:w="0" w:type="dxa"/>
            <w:vAlign w:val="bottom"/>
          </w:tcPr>
          <w:p>
            <w:pPr>
              <w:spacing w:after="0"/>
              <w:rPr>
                <w:sz w:val="1"/>
                <w:szCs w:val="1"/>
                <w:color w:val="auto"/>
              </w:rPr>
            </w:pPr>
          </w:p>
        </w:tc>
      </w:tr>
      <w:tr>
        <w:trPr>
          <w:trHeight w:val="226"/>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6060" w:type="dxa"/>
            <w:vAlign w:val="bottom"/>
            <w:tcBorders>
              <w:bottom w:val="single" w:sz="8" w:color="auto"/>
              <w:right w:val="single" w:sz="8" w:color="auto"/>
            </w:tcBorders>
            <w:gridSpan w:val="2"/>
          </w:tcPr>
          <w:p>
            <w:pPr>
              <w:spacing w:after="0"/>
              <w:rPr>
                <w:sz w:val="19"/>
                <w:szCs w:val="19"/>
                <w:color w:val="auto"/>
              </w:rPr>
            </w:pPr>
          </w:p>
        </w:tc>
        <w:tc>
          <w:tcPr>
            <w:tcW w:w="4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f)</w:t>
            </w:r>
          </w:p>
        </w:tc>
        <w:tc>
          <w:tcPr>
            <w:tcW w:w="606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Place of the transaction</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London Stock Exchange, AIM</w:t>
            </w:r>
          </w:p>
        </w:tc>
        <w:tc>
          <w:tcPr>
            <w:tcW w:w="0" w:type="dxa"/>
            <w:vAlign w:val="bottom"/>
          </w:tcPr>
          <w:p>
            <w:pPr>
              <w:spacing w:after="0"/>
              <w:rPr>
                <w:sz w:val="1"/>
                <w:szCs w:val="1"/>
                <w:color w:val="auto"/>
              </w:rPr>
            </w:pPr>
          </w:p>
        </w:tc>
      </w:tr>
      <w:tr>
        <w:trPr>
          <w:trHeight w:val="401"/>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44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98" w:right="219" w:bottom="1440" w:gutter="0" w:footer="0" w:header="0"/>
        </w:sectPr>
      </w:pPr>
    </w:p>
    <w:bookmarkStart w:id="4" w:name="page5"/>
    <w:bookmarkEnd w:id="4"/>
    <w:p>
      <w:pPr>
        <w:ind w:left="560" w:hanging="457"/>
        <w:spacing w:after="0"/>
        <w:tabs>
          <w:tab w:leader="none" w:pos="56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2006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2006600"/>
                    </a:xfrm>
                    <a:prstGeom prst="rect">
                      <a:avLst/>
                    </a:prstGeom>
                    <a:noFill/>
                  </pic:spPr>
                </pic:pic>
              </a:graphicData>
            </a:graphic>
          </wp:anchor>
        </w:drawing>
        <w:t>Details of the person discharging managerial responsibilities/person closely associated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65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   Name</w:t>
            </w: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Piers Morgan</w:t>
            </w:r>
          </w:p>
        </w:tc>
      </w:tr>
      <w:tr>
        <w:trPr>
          <w:trHeight w:val="496"/>
        </w:trPr>
        <w:tc>
          <w:tcPr>
            <w:tcW w:w="654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ind w:left="560" w:hanging="457"/>
        <w:spacing w:after="0"/>
        <w:tabs>
          <w:tab w:leader="none" w:pos="56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Reason for the notification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20" w:type="dxa"/>
            <w:vAlign w:val="bottom"/>
            <w:tcBorders>
              <w:top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6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Position/status</w:t>
            </w: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120" w:type="dxa"/>
            <w:vAlign w:val="bottom"/>
            <w:tcBorders>
              <w:right w:val="single" w:sz="8" w:color="auto"/>
            </w:tcBorders>
            <w:vMerge w:val="continue"/>
          </w:tcPr>
          <w:p>
            <w:pPr>
              <w:spacing w:after="0"/>
              <w:rPr>
                <w:sz w:val="19"/>
                <w:szCs w:val="19"/>
                <w:color w:val="auto"/>
              </w:rPr>
            </w:pP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20" w:type="dxa"/>
            <w:vAlign w:val="bottom"/>
          </w:tcPr>
          <w:p>
            <w:pPr>
              <w:ind w:left="100"/>
              <w:spacing w:after="0"/>
              <w:rPr>
                <w:sz w:val="20"/>
                <w:szCs w:val="20"/>
                <w:color w:val="auto"/>
              </w:rPr>
            </w:pPr>
            <w:r>
              <w:rPr>
                <w:rFonts w:ascii="Arial" w:cs="Arial" w:eastAsia="Arial" w:hAnsi="Arial"/>
                <w:sz w:val="20"/>
                <w:szCs w:val="20"/>
                <w:color w:val="auto"/>
              </w:rPr>
              <w:t>b)</w:t>
            </w:r>
          </w:p>
        </w:tc>
        <w:tc>
          <w:tcPr>
            <w:tcW w:w="61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Initial notification/Amendment</w:t>
            </w:r>
          </w:p>
        </w:tc>
        <w:tc>
          <w:tcPr>
            <w:tcW w:w="4900" w:type="dxa"/>
            <w:vAlign w:val="bottom"/>
          </w:tcPr>
          <w:p>
            <w:pPr>
              <w:ind w:left="80"/>
              <w:spacing w:after="0"/>
              <w:rPr>
                <w:sz w:val="20"/>
                <w:szCs w:val="20"/>
                <w:color w:val="auto"/>
              </w:rPr>
            </w:pPr>
            <w:r>
              <w:rPr>
                <w:rFonts w:ascii="Arial" w:cs="Arial" w:eastAsia="Arial" w:hAnsi="Arial"/>
                <w:sz w:val="20"/>
                <w:szCs w:val="20"/>
                <w:color w:val="auto"/>
              </w:rPr>
              <w:t>Initial notification</w:t>
            </w:r>
          </w:p>
        </w:tc>
        <w:tc>
          <w:tcPr>
            <w:tcW w:w="0" w:type="dxa"/>
            <w:vAlign w:val="bottom"/>
          </w:tcPr>
          <w:p>
            <w:pPr>
              <w:spacing w:after="0"/>
              <w:rPr>
                <w:sz w:val="1"/>
                <w:szCs w:val="1"/>
                <w:color w:val="auto"/>
              </w:rPr>
            </w:pPr>
          </w:p>
        </w:tc>
      </w:tr>
      <w:tr>
        <w:trPr>
          <w:trHeight w:val="415"/>
        </w:trPr>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54875" cy="4853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4853940"/>
                    </a:xfrm>
                    <a:prstGeom prst="rect">
                      <a:avLst/>
                    </a:prstGeom>
                    <a:noFill/>
                  </pic:spPr>
                </pic:pic>
              </a:graphicData>
            </a:graphic>
          </wp:anchor>
        </w:drawing>
      </w:r>
    </w:p>
    <w:p>
      <w:pPr>
        <w:spacing w:after="0" w:line="128" w:lineRule="exact"/>
        <w:rPr>
          <w:sz w:val="20"/>
          <w:szCs w:val="20"/>
          <w:color w:val="auto"/>
        </w:rPr>
      </w:pPr>
    </w:p>
    <w:p>
      <w:pPr>
        <w:ind w:left="560" w:hanging="457"/>
        <w:spacing w:after="0"/>
        <w:tabs>
          <w:tab w:leader="none" w:pos="56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Details of the issuer, emission allowance market participant, auction platform, auctioneer or auction monitor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20" w:type="dxa"/>
            <w:vAlign w:val="bottom"/>
            <w:tcBorders>
              <w:top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61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Name</w:t>
            </w:r>
          </w:p>
        </w:tc>
        <w:tc>
          <w:tcPr>
            <w:tcW w:w="4900" w:type="dxa"/>
            <w:vAlign w:val="bottom"/>
            <w:tcBorders>
              <w:top w:val="single" w:sz="8" w:color="auto"/>
            </w:tcBorders>
          </w:tcPr>
          <w:p>
            <w:pPr>
              <w:ind w:left="80"/>
              <w:spacing w:after="0"/>
              <w:rPr>
                <w:sz w:val="20"/>
                <w:szCs w:val="20"/>
                <w:color w:val="auto"/>
              </w:rPr>
            </w:pPr>
            <w:r>
              <w:rPr>
                <w:rFonts w:ascii="Arial" w:cs="Arial" w:eastAsia="Arial" w:hAnsi="Arial"/>
                <w:sz w:val="20"/>
                <w:szCs w:val="20"/>
                <w:color w:val="auto"/>
              </w:rPr>
              <w:t>Verona Pharma plc</w:t>
            </w:r>
          </w:p>
        </w:tc>
      </w:tr>
      <w:tr>
        <w:trPr>
          <w:trHeight w:val="226"/>
        </w:trPr>
        <w:tc>
          <w:tcPr>
            <w:tcW w:w="420" w:type="dxa"/>
            <w:vAlign w:val="bottom"/>
            <w:tcBorders>
              <w:bottom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spacing w:after="0"/>
              <w:rPr>
                <w:sz w:val="19"/>
                <w:szCs w:val="19"/>
                <w:color w:val="auto"/>
              </w:rPr>
            </w:pPr>
          </w:p>
        </w:tc>
        <w:tc>
          <w:tcPr>
            <w:tcW w:w="4900" w:type="dxa"/>
            <w:vAlign w:val="bottom"/>
            <w:tcBorders>
              <w:bottom w:val="single" w:sz="8" w:color="auto"/>
            </w:tcBorders>
          </w:tcPr>
          <w:p>
            <w:pPr>
              <w:spacing w:after="0"/>
              <w:rPr>
                <w:sz w:val="19"/>
                <w:szCs w:val="19"/>
                <w:color w:val="auto"/>
              </w:rPr>
            </w:pPr>
          </w:p>
        </w:tc>
      </w:tr>
      <w:tr>
        <w:trPr>
          <w:trHeight w:val="281"/>
        </w:trPr>
        <w:tc>
          <w:tcPr>
            <w:tcW w:w="420" w:type="dxa"/>
            <w:vAlign w:val="bottom"/>
          </w:tcPr>
          <w:p>
            <w:pPr>
              <w:ind w:left="100"/>
              <w:spacing w:after="0"/>
              <w:rPr>
                <w:sz w:val="20"/>
                <w:szCs w:val="20"/>
                <w:color w:val="auto"/>
              </w:rPr>
            </w:pPr>
            <w:r>
              <w:rPr>
                <w:rFonts w:ascii="Arial" w:cs="Arial" w:eastAsia="Arial" w:hAnsi="Arial"/>
                <w:sz w:val="20"/>
                <w:szCs w:val="20"/>
                <w:color w:val="auto"/>
              </w:rPr>
              <w:t>b)</w:t>
            </w:r>
          </w:p>
        </w:tc>
        <w:tc>
          <w:tcPr>
            <w:tcW w:w="61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LEI</w:t>
            </w:r>
          </w:p>
        </w:tc>
        <w:tc>
          <w:tcPr>
            <w:tcW w:w="4900" w:type="dxa"/>
            <w:vAlign w:val="bottom"/>
          </w:tcPr>
          <w:p>
            <w:pPr>
              <w:ind w:left="80"/>
              <w:spacing w:after="0"/>
              <w:rPr>
                <w:sz w:val="20"/>
                <w:szCs w:val="20"/>
                <w:color w:val="auto"/>
              </w:rPr>
            </w:pPr>
            <w:r>
              <w:rPr>
                <w:rFonts w:ascii="Arial" w:cs="Arial" w:eastAsia="Arial" w:hAnsi="Arial"/>
                <w:sz w:val="20"/>
                <w:szCs w:val="20"/>
                <w:color w:val="auto"/>
              </w:rPr>
              <w:t>213800EVI6O6J3TIAL06</w:t>
            </w:r>
          </w:p>
        </w:tc>
      </w:tr>
      <w:tr>
        <w:trPr>
          <w:trHeight w:val="91"/>
        </w:trPr>
        <w:tc>
          <w:tcPr>
            <w:tcW w:w="420" w:type="dxa"/>
            <w:vAlign w:val="bottom"/>
            <w:tcBorders>
              <w:bottom w:val="single" w:sz="8" w:color="auto"/>
            </w:tcBorders>
          </w:tcPr>
          <w:p>
            <w:pPr>
              <w:spacing w:after="0"/>
              <w:rPr>
                <w:sz w:val="7"/>
                <w:szCs w:val="7"/>
                <w:color w:val="auto"/>
              </w:rPr>
            </w:pPr>
          </w:p>
        </w:tc>
        <w:tc>
          <w:tcPr>
            <w:tcW w:w="6120" w:type="dxa"/>
            <w:vAlign w:val="bottom"/>
            <w:tcBorders>
              <w:bottom w:val="single" w:sz="8" w:color="auto"/>
              <w:right w:val="single" w:sz="8" w:color="auto"/>
            </w:tcBorders>
          </w:tcPr>
          <w:p>
            <w:pPr>
              <w:spacing w:after="0"/>
              <w:rPr>
                <w:sz w:val="7"/>
                <w:szCs w:val="7"/>
                <w:color w:val="auto"/>
              </w:rPr>
            </w:pPr>
          </w:p>
        </w:tc>
        <w:tc>
          <w:tcPr>
            <w:tcW w:w="4900" w:type="dxa"/>
            <w:vAlign w:val="bottom"/>
            <w:tcBorders>
              <w:bottom w:val="single" w:sz="8" w:color="auto"/>
            </w:tcBorders>
          </w:tcPr>
          <w:p>
            <w:pPr>
              <w:spacing w:after="0"/>
              <w:rPr>
                <w:sz w:val="7"/>
                <w:szCs w:val="7"/>
                <w:color w:val="auto"/>
              </w:rPr>
            </w:pPr>
          </w:p>
        </w:tc>
      </w:tr>
    </w:tbl>
    <w:p>
      <w:pPr>
        <w:ind w:left="560" w:right="80" w:hanging="457"/>
        <w:spacing w:after="0" w:line="257" w:lineRule="auto"/>
        <w:tabs>
          <w:tab w:leader="none" w:pos="56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Details of the transaction(s): section to be repeated for (i) each type of instrument; (ii) each type of transaction; (iii) each date; and (iv) each place where transactions have been conducted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420" w:type="dxa"/>
            <w:vAlign w:val="bottom"/>
            <w:tcBorders>
              <w:top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6120" w:type="dxa"/>
            <w:vAlign w:val="bottom"/>
            <w:tcBorders>
              <w:top w:val="single" w:sz="8" w:color="auto"/>
              <w:right w:val="single" w:sz="8" w:color="auto"/>
            </w:tcBorders>
            <w:gridSpan w:val="2"/>
          </w:tcPr>
          <w:p>
            <w:pPr>
              <w:ind w:left="140"/>
              <w:spacing w:after="0"/>
              <w:rPr>
                <w:sz w:val="20"/>
                <w:szCs w:val="20"/>
                <w:color w:val="auto"/>
              </w:rPr>
            </w:pPr>
            <w:r>
              <w:rPr>
                <w:rFonts w:ascii="Arial" w:cs="Arial" w:eastAsia="Arial" w:hAnsi="Arial"/>
                <w:sz w:val="20"/>
                <w:szCs w:val="20"/>
                <w:color w:val="auto"/>
              </w:rPr>
              <w:t>Description of the financial instrument, type of instrument</w:t>
            </w:r>
          </w:p>
        </w:tc>
        <w:tc>
          <w:tcPr>
            <w:tcW w:w="4900" w:type="dxa"/>
            <w:vAlign w:val="bottom"/>
            <w:tcBorders>
              <w:top w:val="single" w:sz="8" w:color="auto"/>
            </w:tcBorders>
          </w:tcPr>
          <w:p>
            <w:pPr>
              <w:ind w:left="80"/>
              <w:spacing w:after="0"/>
              <w:rPr>
                <w:sz w:val="20"/>
                <w:szCs w:val="20"/>
                <w:color w:val="auto"/>
              </w:rPr>
            </w:pPr>
            <w:r>
              <w:rPr>
                <w:rFonts w:ascii="Arial" w:cs="Arial" w:eastAsia="Arial" w:hAnsi="Arial"/>
                <w:sz w:val="20"/>
                <w:szCs w:val="20"/>
                <w:color w:val="auto"/>
              </w:rPr>
              <w:t>Ordinary Shares of 5 pence each</w:t>
            </w: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612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20"/>
                <w:szCs w:val="20"/>
                <w:color w:val="auto"/>
              </w:rPr>
              <w:t>Identification code</w:t>
            </w:r>
          </w:p>
        </w:tc>
        <w:tc>
          <w:tcPr>
            <w:tcW w:w="4900" w:type="dxa"/>
            <w:vAlign w:val="bottom"/>
          </w:tcPr>
          <w:p>
            <w:pPr>
              <w:ind w:left="80"/>
              <w:spacing w:after="0"/>
              <w:rPr>
                <w:sz w:val="20"/>
                <w:szCs w:val="20"/>
                <w:color w:val="auto"/>
              </w:rPr>
            </w:pPr>
            <w:r>
              <w:rPr>
                <w:rFonts w:ascii="Arial" w:cs="Arial" w:eastAsia="Arial" w:hAnsi="Arial"/>
                <w:sz w:val="20"/>
                <w:szCs w:val="20"/>
                <w:color w:val="auto"/>
              </w:rPr>
              <w:t>GB00BYW2KH80</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6120" w:type="dxa"/>
            <w:vAlign w:val="bottom"/>
            <w:tcBorders>
              <w:right w:val="single" w:sz="8" w:color="auto"/>
            </w:tcBorders>
            <w:gridSpan w:val="2"/>
            <w:vMerge w:val="continue"/>
          </w:tcPr>
          <w:p>
            <w:pPr>
              <w:spacing w:after="0"/>
              <w:rPr>
                <w:sz w:val="7"/>
                <w:szCs w:val="7"/>
                <w:color w:val="auto"/>
              </w:rPr>
            </w:pPr>
          </w:p>
        </w:tc>
        <w:tc>
          <w:tcPr>
            <w:tcW w:w="4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420" w:type="dxa"/>
            <w:vAlign w:val="bottom"/>
            <w:tcBorders>
              <w:bottom w:val="single" w:sz="8" w:color="auto"/>
            </w:tcBorders>
          </w:tcPr>
          <w:p>
            <w:pPr>
              <w:spacing w:after="0"/>
              <w:rPr>
                <w:sz w:val="19"/>
                <w:szCs w:val="19"/>
                <w:color w:val="auto"/>
              </w:rPr>
            </w:pPr>
          </w:p>
        </w:tc>
        <w:tc>
          <w:tcPr>
            <w:tcW w:w="6120" w:type="dxa"/>
            <w:vAlign w:val="bottom"/>
            <w:tcBorders>
              <w:bottom w:val="single" w:sz="8" w:color="auto"/>
              <w:right w:val="single" w:sz="8" w:color="auto"/>
            </w:tcBorders>
            <w:gridSpan w:val="2"/>
          </w:tcPr>
          <w:p>
            <w:pPr>
              <w:spacing w:after="0"/>
              <w:rPr>
                <w:sz w:val="19"/>
                <w:szCs w:val="19"/>
                <w:color w:val="auto"/>
              </w:rPr>
            </w:pPr>
          </w:p>
        </w:tc>
        <w:tc>
          <w:tcPr>
            <w:tcW w:w="4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20" w:type="dxa"/>
            <w:vAlign w:val="bottom"/>
          </w:tcPr>
          <w:p>
            <w:pPr>
              <w:ind w:left="100"/>
              <w:spacing w:after="0"/>
              <w:rPr>
                <w:sz w:val="20"/>
                <w:szCs w:val="20"/>
                <w:color w:val="auto"/>
              </w:rPr>
            </w:pPr>
            <w:r>
              <w:rPr>
                <w:rFonts w:ascii="Arial" w:cs="Arial" w:eastAsia="Arial" w:hAnsi="Arial"/>
                <w:sz w:val="20"/>
                <w:szCs w:val="20"/>
                <w:color w:val="auto"/>
              </w:rPr>
              <w:t>b)</w:t>
            </w:r>
          </w:p>
        </w:tc>
        <w:tc>
          <w:tcPr>
            <w:tcW w:w="6120" w:type="dxa"/>
            <w:vAlign w:val="bottom"/>
            <w:tcBorders>
              <w:right w:val="single" w:sz="8" w:color="auto"/>
            </w:tcBorders>
            <w:gridSpan w:val="2"/>
          </w:tcPr>
          <w:p>
            <w:pPr>
              <w:ind w:left="140"/>
              <w:spacing w:after="0"/>
              <w:rPr>
                <w:sz w:val="20"/>
                <w:szCs w:val="20"/>
                <w:color w:val="auto"/>
              </w:rPr>
            </w:pPr>
            <w:r>
              <w:rPr>
                <w:rFonts w:ascii="Arial" w:cs="Arial" w:eastAsia="Arial" w:hAnsi="Arial"/>
                <w:sz w:val="20"/>
                <w:szCs w:val="20"/>
                <w:color w:val="auto"/>
              </w:rPr>
              <w:t>Nature of the transaction</w:t>
            </w:r>
          </w:p>
        </w:tc>
        <w:tc>
          <w:tcPr>
            <w:tcW w:w="4900" w:type="dxa"/>
            <w:vAlign w:val="bottom"/>
          </w:tcPr>
          <w:p>
            <w:pPr>
              <w:ind w:left="20"/>
              <w:spacing w:after="0"/>
              <w:rPr>
                <w:sz w:val="20"/>
                <w:szCs w:val="20"/>
                <w:color w:val="auto"/>
              </w:rPr>
            </w:pPr>
            <w:r>
              <w:rPr>
                <w:rFonts w:ascii="Arial" w:cs="Arial" w:eastAsia="Arial" w:hAnsi="Arial"/>
                <w:sz w:val="20"/>
                <w:szCs w:val="20"/>
                <w:color w:val="auto"/>
              </w:rPr>
              <w:t>Piers Morgan was issued 58,594 Ordinary Shares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60" w:type="dxa"/>
            <w:vAlign w:val="bottom"/>
            <w:tcBorders>
              <w:right w:val="single" w:sz="8" w:color="auto"/>
            </w:tcBorders>
          </w:tcPr>
          <w:p>
            <w:pPr>
              <w:spacing w:after="0"/>
              <w:rPr>
                <w:sz w:val="18"/>
                <w:szCs w:val="18"/>
                <w:color w:val="auto"/>
              </w:rPr>
            </w:pPr>
          </w:p>
        </w:tc>
        <w:tc>
          <w:tcPr>
            <w:tcW w:w="4900" w:type="dxa"/>
            <w:vAlign w:val="bottom"/>
          </w:tcPr>
          <w:p>
            <w:pPr>
              <w:ind w:left="20"/>
              <w:spacing w:after="0" w:line="216" w:lineRule="exact"/>
              <w:rPr>
                <w:sz w:val="20"/>
                <w:szCs w:val="20"/>
                <w:color w:val="auto"/>
              </w:rPr>
            </w:pPr>
            <w:r>
              <w:rPr>
                <w:rFonts w:ascii="Arial" w:cs="Arial" w:eastAsia="Arial" w:hAnsi="Arial"/>
                <w:sz w:val="20"/>
                <w:szCs w:val="20"/>
                <w:color w:val="auto"/>
              </w:rPr>
              <w:t>following the vesting of restricted stock units under the</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60" w:type="dxa"/>
            <w:vAlign w:val="bottom"/>
            <w:tcBorders>
              <w:right w:val="single" w:sz="8" w:color="auto"/>
            </w:tcBorders>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20"/>
                <w:szCs w:val="20"/>
                <w:color w:val="auto"/>
              </w:rPr>
              <w:t>Company’s employee share plan</w:t>
            </w:r>
          </w:p>
        </w:tc>
        <w:tc>
          <w:tcPr>
            <w:tcW w:w="0" w:type="dxa"/>
            <w:vAlign w:val="bottom"/>
          </w:tcPr>
          <w:p>
            <w:pPr>
              <w:spacing w:after="0"/>
              <w:rPr>
                <w:sz w:val="1"/>
                <w:szCs w:val="1"/>
                <w:color w:val="auto"/>
              </w:rPr>
            </w:pPr>
          </w:p>
        </w:tc>
      </w:tr>
      <w:tr>
        <w:trPr>
          <w:trHeight w:val="307"/>
        </w:trPr>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gridSpan w:val="2"/>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0" w:type="dxa"/>
            <w:vAlign w:val="bottom"/>
          </w:tcPr>
          <w:p>
            <w:pPr>
              <w:ind w:left="100"/>
              <w:spacing w:after="0"/>
              <w:rPr>
                <w:sz w:val="20"/>
                <w:szCs w:val="20"/>
                <w:color w:val="auto"/>
              </w:rPr>
            </w:pPr>
            <w:r>
              <w:rPr>
                <w:rFonts w:ascii="Arial" w:cs="Arial" w:eastAsia="Arial" w:hAnsi="Arial"/>
                <w:sz w:val="20"/>
                <w:szCs w:val="20"/>
                <w:color w:val="auto"/>
              </w:rPr>
              <w:t>c)</w:t>
            </w:r>
          </w:p>
        </w:tc>
        <w:tc>
          <w:tcPr>
            <w:tcW w:w="6120" w:type="dxa"/>
            <w:vAlign w:val="bottom"/>
            <w:tcBorders>
              <w:right w:val="single" w:sz="8" w:color="auto"/>
            </w:tcBorders>
            <w:gridSpan w:val="2"/>
          </w:tcPr>
          <w:p>
            <w:pPr>
              <w:ind w:left="140"/>
              <w:spacing w:after="0"/>
              <w:rPr>
                <w:sz w:val="20"/>
                <w:szCs w:val="20"/>
                <w:color w:val="auto"/>
              </w:rPr>
            </w:pPr>
            <w:r>
              <w:rPr>
                <w:rFonts w:ascii="Arial" w:cs="Arial" w:eastAsia="Arial" w:hAnsi="Arial"/>
                <w:sz w:val="20"/>
                <w:szCs w:val="20"/>
                <w:color w:val="auto"/>
              </w:rPr>
              <w:t>Price(s) and volume(s)</w:t>
            </w:r>
          </w:p>
        </w:tc>
        <w:tc>
          <w:tcPr>
            <w:tcW w:w="4900" w:type="dxa"/>
            <w:vAlign w:val="bottom"/>
          </w:tcPr>
          <w:p>
            <w:pPr>
              <w:ind w:left="80"/>
              <w:spacing w:after="0"/>
              <w:rPr>
                <w:sz w:val="20"/>
                <w:szCs w:val="20"/>
                <w:color w:val="auto"/>
              </w:rPr>
            </w:pPr>
            <w:r>
              <w:rPr>
                <w:rFonts w:ascii="Arial" w:cs="Arial" w:eastAsia="Arial" w:hAnsi="Arial"/>
                <w:sz w:val="20"/>
                <w:szCs w:val="20"/>
                <w:color w:val="auto"/>
              </w:rPr>
              <w:t>Price(s) : N/A</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60" w:type="dxa"/>
            <w:vAlign w:val="bottom"/>
            <w:tcBorders>
              <w:right w:val="single" w:sz="8" w:color="auto"/>
            </w:tcBorders>
          </w:tcPr>
          <w:p>
            <w:pPr>
              <w:spacing w:after="0"/>
              <w:rPr>
                <w:sz w:val="20"/>
                <w:szCs w:val="20"/>
                <w:color w:val="auto"/>
              </w:rPr>
            </w:pPr>
          </w:p>
        </w:tc>
        <w:tc>
          <w:tcPr>
            <w:tcW w:w="4900" w:type="dxa"/>
            <w:vAlign w:val="bottom"/>
          </w:tcPr>
          <w:p>
            <w:pPr>
              <w:ind w:left="80"/>
              <w:spacing w:after="0"/>
              <w:rPr>
                <w:sz w:val="20"/>
                <w:szCs w:val="20"/>
                <w:color w:val="auto"/>
              </w:rPr>
            </w:pPr>
            <w:r>
              <w:rPr>
                <w:rFonts w:ascii="Arial" w:cs="Arial" w:eastAsia="Arial" w:hAnsi="Arial"/>
                <w:sz w:val="20"/>
                <w:szCs w:val="20"/>
                <w:color w:val="auto"/>
              </w:rPr>
              <w:t>Volume(s) : 58,594 Ordinary Shares</w:t>
            </w:r>
          </w:p>
        </w:tc>
        <w:tc>
          <w:tcPr>
            <w:tcW w:w="0" w:type="dxa"/>
            <w:vAlign w:val="bottom"/>
          </w:tcPr>
          <w:p>
            <w:pPr>
              <w:spacing w:after="0"/>
              <w:rPr>
                <w:sz w:val="1"/>
                <w:szCs w:val="1"/>
                <w:color w:val="auto"/>
              </w:rPr>
            </w:pPr>
          </w:p>
        </w:tc>
      </w:tr>
      <w:tr>
        <w:trPr>
          <w:trHeight w:val="496"/>
        </w:trPr>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gridSpan w:val="2"/>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20" w:type="dxa"/>
            <w:vAlign w:val="bottom"/>
          </w:tcPr>
          <w:p>
            <w:pPr>
              <w:ind w:left="100"/>
              <w:spacing w:after="0"/>
              <w:rPr>
                <w:sz w:val="20"/>
                <w:szCs w:val="20"/>
                <w:color w:val="auto"/>
              </w:rPr>
            </w:pPr>
            <w:r>
              <w:rPr>
                <w:rFonts w:ascii="Arial" w:cs="Arial" w:eastAsia="Arial" w:hAnsi="Arial"/>
                <w:sz w:val="20"/>
                <w:szCs w:val="20"/>
                <w:color w:val="auto"/>
              </w:rPr>
              <w:t>d)</w:t>
            </w:r>
          </w:p>
        </w:tc>
        <w:tc>
          <w:tcPr>
            <w:tcW w:w="6120" w:type="dxa"/>
            <w:vAlign w:val="bottom"/>
            <w:tcBorders>
              <w:right w:val="single" w:sz="8" w:color="auto"/>
            </w:tcBorders>
            <w:gridSpan w:val="2"/>
          </w:tcPr>
          <w:p>
            <w:pPr>
              <w:ind w:left="140"/>
              <w:spacing w:after="0"/>
              <w:rPr>
                <w:sz w:val="20"/>
                <w:szCs w:val="20"/>
                <w:color w:val="auto"/>
              </w:rPr>
            </w:pPr>
            <w:r>
              <w:rPr>
                <w:rFonts w:ascii="Arial" w:cs="Arial" w:eastAsia="Arial" w:hAnsi="Arial"/>
                <w:sz w:val="20"/>
                <w:szCs w:val="20"/>
                <w:color w:val="auto"/>
              </w:rPr>
              <w:t>Aggregated information</w:t>
            </w:r>
          </w:p>
        </w:tc>
        <w:tc>
          <w:tcPr>
            <w:tcW w:w="4900" w:type="dxa"/>
            <w:vAlign w:val="bottom"/>
          </w:tcPr>
          <w:p>
            <w:pPr>
              <w:ind w:left="80"/>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324"/>
        </w:trPr>
        <w:tc>
          <w:tcPr>
            <w:tcW w:w="42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Arial" w:cs="Arial" w:eastAsia="Arial" w:hAnsi="Arial"/>
                <w:sz w:val="20"/>
                <w:szCs w:val="20"/>
                <w:color w:val="auto"/>
              </w:rPr>
              <w:t>-</w:t>
            </w:r>
          </w:p>
        </w:tc>
        <w:tc>
          <w:tcPr>
            <w:tcW w:w="5660" w:type="dxa"/>
            <w:vAlign w:val="bottom"/>
            <w:tcBorders>
              <w:right w:val="single" w:sz="8" w:color="auto"/>
            </w:tcBorders>
          </w:tcPr>
          <w:p>
            <w:pPr>
              <w:ind w:left="240"/>
              <w:spacing w:after="0"/>
              <w:rPr>
                <w:sz w:val="20"/>
                <w:szCs w:val="20"/>
                <w:color w:val="auto"/>
              </w:rPr>
            </w:pPr>
            <w:r>
              <w:rPr>
                <w:rFonts w:ascii="Arial" w:cs="Arial" w:eastAsia="Arial" w:hAnsi="Arial"/>
                <w:sz w:val="20"/>
                <w:szCs w:val="20"/>
                <w:color w:val="auto"/>
              </w:rPr>
              <w:t>Aggregated volume</w:t>
            </w: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Arial" w:cs="Arial" w:eastAsia="Arial" w:hAnsi="Arial"/>
                <w:sz w:val="20"/>
                <w:szCs w:val="20"/>
                <w:color w:val="auto"/>
              </w:rPr>
              <w:t>-</w:t>
            </w:r>
          </w:p>
        </w:tc>
        <w:tc>
          <w:tcPr>
            <w:tcW w:w="5660" w:type="dxa"/>
            <w:vAlign w:val="bottom"/>
            <w:tcBorders>
              <w:right w:val="single" w:sz="8" w:color="auto"/>
            </w:tcBorders>
          </w:tcPr>
          <w:p>
            <w:pPr>
              <w:ind w:left="240"/>
              <w:spacing w:after="0"/>
              <w:rPr>
                <w:sz w:val="20"/>
                <w:szCs w:val="20"/>
                <w:color w:val="auto"/>
              </w:rPr>
            </w:pPr>
            <w:r>
              <w:rPr>
                <w:rFonts w:ascii="Arial" w:cs="Arial" w:eastAsia="Arial" w:hAnsi="Arial"/>
                <w:sz w:val="20"/>
                <w:szCs w:val="20"/>
                <w:color w:val="auto"/>
              </w:rPr>
              <w:t>Price</w:t>
            </w: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42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gridSpan w:val="2"/>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20" w:type="dxa"/>
            <w:vAlign w:val="bottom"/>
          </w:tcPr>
          <w:p>
            <w:pPr>
              <w:ind w:left="100"/>
              <w:spacing w:after="0"/>
              <w:rPr>
                <w:sz w:val="20"/>
                <w:szCs w:val="20"/>
                <w:color w:val="auto"/>
              </w:rPr>
            </w:pPr>
            <w:r>
              <w:rPr>
                <w:rFonts w:ascii="Arial" w:cs="Arial" w:eastAsia="Arial" w:hAnsi="Arial"/>
                <w:sz w:val="20"/>
                <w:szCs w:val="20"/>
                <w:color w:val="auto"/>
              </w:rPr>
              <w:t>e)</w:t>
            </w:r>
          </w:p>
        </w:tc>
        <w:tc>
          <w:tcPr>
            <w:tcW w:w="6120" w:type="dxa"/>
            <w:vAlign w:val="bottom"/>
            <w:tcBorders>
              <w:right w:val="single" w:sz="8" w:color="auto"/>
            </w:tcBorders>
            <w:gridSpan w:val="2"/>
          </w:tcPr>
          <w:p>
            <w:pPr>
              <w:ind w:left="140"/>
              <w:spacing w:after="0"/>
              <w:rPr>
                <w:sz w:val="20"/>
                <w:szCs w:val="20"/>
                <w:color w:val="auto"/>
              </w:rPr>
            </w:pPr>
            <w:r>
              <w:rPr>
                <w:rFonts w:ascii="Arial" w:cs="Arial" w:eastAsia="Arial" w:hAnsi="Arial"/>
                <w:sz w:val="20"/>
                <w:szCs w:val="20"/>
                <w:color w:val="auto"/>
              </w:rPr>
              <w:t>Date of the transaction</w:t>
            </w:r>
          </w:p>
        </w:tc>
        <w:tc>
          <w:tcPr>
            <w:tcW w:w="4900" w:type="dxa"/>
            <w:vAlign w:val="bottom"/>
          </w:tcPr>
          <w:p>
            <w:pPr>
              <w:ind w:left="80"/>
              <w:spacing w:after="0"/>
              <w:rPr>
                <w:sz w:val="20"/>
                <w:szCs w:val="20"/>
                <w:color w:val="auto"/>
              </w:rPr>
            </w:pPr>
            <w:r>
              <w:rPr>
                <w:rFonts w:ascii="Arial" w:cs="Arial" w:eastAsia="Arial" w:hAnsi="Arial"/>
                <w:sz w:val="20"/>
                <w:szCs w:val="20"/>
                <w:color w:val="auto"/>
              </w:rPr>
              <w:t>20 September 2018</w:t>
            </w:r>
          </w:p>
        </w:tc>
        <w:tc>
          <w:tcPr>
            <w:tcW w:w="0" w:type="dxa"/>
            <w:vAlign w:val="bottom"/>
          </w:tcPr>
          <w:p>
            <w:pPr>
              <w:spacing w:after="0"/>
              <w:rPr>
                <w:sz w:val="1"/>
                <w:szCs w:val="1"/>
                <w:color w:val="auto"/>
              </w:rPr>
            </w:pPr>
          </w:p>
        </w:tc>
      </w:tr>
      <w:tr>
        <w:trPr>
          <w:trHeight w:val="226"/>
        </w:trPr>
        <w:tc>
          <w:tcPr>
            <w:tcW w:w="420" w:type="dxa"/>
            <w:vAlign w:val="bottom"/>
            <w:tcBorders>
              <w:bottom w:val="single" w:sz="8" w:color="auto"/>
            </w:tcBorders>
          </w:tcPr>
          <w:p>
            <w:pPr>
              <w:spacing w:after="0"/>
              <w:rPr>
                <w:sz w:val="19"/>
                <w:szCs w:val="19"/>
                <w:color w:val="auto"/>
              </w:rPr>
            </w:pPr>
          </w:p>
        </w:tc>
        <w:tc>
          <w:tcPr>
            <w:tcW w:w="6120" w:type="dxa"/>
            <w:vAlign w:val="bottom"/>
            <w:tcBorders>
              <w:bottom w:val="single" w:sz="8" w:color="auto"/>
              <w:right w:val="single" w:sz="8" w:color="auto"/>
            </w:tcBorders>
            <w:gridSpan w:val="2"/>
          </w:tcPr>
          <w:p>
            <w:pPr>
              <w:spacing w:after="0"/>
              <w:rPr>
                <w:sz w:val="19"/>
                <w:szCs w:val="19"/>
                <w:color w:val="auto"/>
              </w:rPr>
            </w:pPr>
          </w:p>
        </w:tc>
        <w:tc>
          <w:tcPr>
            <w:tcW w:w="4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20" w:type="dxa"/>
            <w:vAlign w:val="bottom"/>
          </w:tcPr>
          <w:p>
            <w:pPr>
              <w:ind w:left="100"/>
              <w:spacing w:after="0"/>
              <w:rPr>
                <w:sz w:val="20"/>
                <w:szCs w:val="20"/>
                <w:color w:val="auto"/>
              </w:rPr>
            </w:pPr>
            <w:r>
              <w:rPr>
                <w:rFonts w:ascii="Arial" w:cs="Arial" w:eastAsia="Arial" w:hAnsi="Arial"/>
                <w:sz w:val="20"/>
                <w:szCs w:val="20"/>
                <w:color w:val="auto"/>
              </w:rPr>
              <w:t>f)</w:t>
            </w:r>
          </w:p>
        </w:tc>
        <w:tc>
          <w:tcPr>
            <w:tcW w:w="6120" w:type="dxa"/>
            <w:vAlign w:val="bottom"/>
            <w:tcBorders>
              <w:right w:val="single" w:sz="8" w:color="auto"/>
            </w:tcBorders>
            <w:gridSpan w:val="2"/>
          </w:tcPr>
          <w:p>
            <w:pPr>
              <w:ind w:left="140"/>
              <w:spacing w:after="0"/>
              <w:rPr>
                <w:sz w:val="20"/>
                <w:szCs w:val="20"/>
                <w:color w:val="auto"/>
              </w:rPr>
            </w:pPr>
            <w:r>
              <w:rPr>
                <w:rFonts w:ascii="Arial" w:cs="Arial" w:eastAsia="Arial" w:hAnsi="Arial"/>
                <w:sz w:val="20"/>
                <w:szCs w:val="20"/>
                <w:color w:val="auto"/>
              </w:rPr>
              <w:t>Place of the transaction</w:t>
            </w:r>
          </w:p>
        </w:tc>
        <w:tc>
          <w:tcPr>
            <w:tcW w:w="4900" w:type="dxa"/>
            <w:vAlign w:val="bottom"/>
          </w:tcPr>
          <w:p>
            <w:pPr>
              <w:ind w:left="80"/>
              <w:spacing w:after="0"/>
              <w:rPr>
                <w:sz w:val="20"/>
                <w:szCs w:val="20"/>
                <w:color w:val="auto"/>
              </w:rPr>
            </w:pPr>
            <w:r>
              <w:rPr>
                <w:rFonts w:ascii="Arial" w:cs="Arial" w:eastAsia="Arial" w:hAnsi="Arial"/>
                <w:sz w:val="20"/>
                <w:szCs w:val="20"/>
                <w:color w:val="auto"/>
              </w:rPr>
              <w:t>London Stock Exchange, AIM</w:t>
            </w:r>
          </w:p>
        </w:tc>
        <w:tc>
          <w:tcPr>
            <w:tcW w:w="0" w:type="dxa"/>
            <w:vAlign w:val="bottom"/>
          </w:tcPr>
          <w:p>
            <w:pPr>
              <w:spacing w:after="0"/>
              <w:rPr>
                <w:sz w:val="1"/>
                <w:szCs w:val="1"/>
                <w:color w:val="auto"/>
              </w:rPr>
            </w:pPr>
          </w:p>
        </w:tc>
      </w:tr>
      <w:tr>
        <w:trPr>
          <w:trHeight w:val="401"/>
        </w:trPr>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6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31" w:right="21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80" w:type="dxa"/>
            <w:vAlign w:val="bottom"/>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6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594"/>
        </w:trPr>
        <w:tc>
          <w:tcPr>
            <w:tcW w:w="5080" w:type="dxa"/>
            <w:vAlign w:val="bottom"/>
          </w:tcPr>
          <w:p>
            <w:pPr>
              <w:ind w:left="40"/>
              <w:spacing w:after="0"/>
              <w:rPr>
                <w:sz w:val="20"/>
                <w:szCs w:val="20"/>
                <w:color w:val="auto"/>
              </w:rPr>
            </w:pPr>
            <w:r>
              <w:rPr>
                <w:rFonts w:ascii="Arial" w:cs="Arial" w:eastAsia="Arial" w:hAnsi="Arial"/>
                <w:sz w:val="18"/>
                <w:szCs w:val="18"/>
                <w:color w:val="auto"/>
              </w:rPr>
              <w:t>Verona Pharma plc</w:t>
            </w:r>
          </w:p>
        </w:tc>
        <w:tc>
          <w:tcPr>
            <w:tcW w:w="1660" w:type="dxa"/>
            <w:vAlign w:val="bottom"/>
          </w:tcPr>
          <w:p>
            <w:pPr>
              <w:ind w:left="1000"/>
              <w:spacing w:after="0"/>
              <w:rPr>
                <w:sz w:val="20"/>
                <w:szCs w:val="20"/>
                <w:color w:val="auto"/>
              </w:rPr>
            </w:pPr>
            <w:r>
              <w:rPr>
                <w:rFonts w:ascii="Arial" w:cs="Arial" w:eastAsia="Arial" w:hAnsi="Arial"/>
                <w:sz w:val="18"/>
                <w:szCs w:val="18"/>
                <w:color w:val="auto"/>
                <w:w w:val="97"/>
              </w:rPr>
              <w:t>Tel: +44</w:t>
            </w:r>
          </w:p>
        </w:tc>
        <w:tc>
          <w:tcPr>
            <w:tcW w:w="1400" w:type="dxa"/>
            <w:vAlign w:val="bottom"/>
          </w:tcPr>
          <w:p>
            <w:pPr>
              <w:ind w:left="40"/>
              <w:spacing w:after="0"/>
              <w:rPr>
                <w:sz w:val="20"/>
                <w:szCs w:val="20"/>
                <w:color w:val="auto"/>
              </w:rPr>
            </w:pPr>
            <w:r>
              <w:rPr>
                <w:rFonts w:ascii="Arial" w:cs="Arial" w:eastAsia="Arial" w:hAnsi="Arial"/>
                <w:sz w:val="18"/>
                <w:szCs w:val="18"/>
                <w:color w:val="auto"/>
              </w:rPr>
              <w:t>(0)20 3283 4200</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Jan-Anders Karlsson, Chief Executive Officer</w:t>
            </w:r>
          </w:p>
        </w:tc>
        <w:tc>
          <w:tcPr>
            <w:tcW w:w="3060" w:type="dxa"/>
            <w:vAlign w:val="bottom"/>
            <w:gridSpan w:val="2"/>
          </w:tcPr>
          <w:p>
            <w:pPr>
              <w:ind w:left="1000"/>
              <w:spacing w:after="0"/>
              <w:rPr>
                <w:sz w:val="20"/>
                <w:szCs w:val="20"/>
                <w:color w:val="auto"/>
              </w:rPr>
            </w:pPr>
            <w:r>
              <w:rPr>
                <w:rFonts w:ascii="Arial" w:cs="Arial" w:eastAsia="Arial" w:hAnsi="Arial"/>
                <w:sz w:val="18"/>
                <w:szCs w:val="18"/>
                <w:color w:val="auto"/>
              </w:rPr>
              <w:t>info@veronapharma.com</w:t>
            </w:r>
          </w:p>
        </w:tc>
      </w:tr>
      <w:tr>
        <w:trPr>
          <w:trHeight w:val="242"/>
        </w:trPr>
        <w:tc>
          <w:tcPr>
            <w:tcW w:w="5080" w:type="dxa"/>
            <w:vAlign w:val="bottom"/>
          </w:tcPr>
          <w:p>
            <w:pPr>
              <w:ind w:left="40"/>
              <w:spacing w:after="0"/>
              <w:rPr>
                <w:sz w:val="20"/>
                <w:szCs w:val="20"/>
                <w:color w:val="auto"/>
              </w:rPr>
            </w:pPr>
            <w:r>
              <w:rPr>
                <w:rFonts w:ascii="Arial" w:cs="Arial" w:eastAsia="Arial" w:hAnsi="Arial"/>
                <w:sz w:val="18"/>
                <w:szCs w:val="18"/>
                <w:color w:val="auto"/>
              </w:rPr>
              <w:t>Stifel Nicolaus Europe Limited (Nominated Adviser</w:t>
            </w:r>
          </w:p>
        </w:tc>
        <w:tc>
          <w:tcPr>
            <w:tcW w:w="16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17"/>
        </w:trPr>
        <w:tc>
          <w:tcPr>
            <w:tcW w:w="5080" w:type="dxa"/>
            <w:vAlign w:val="bottom"/>
          </w:tcPr>
          <w:p>
            <w:pPr>
              <w:ind w:left="40"/>
              <w:spacing w:after="0"/>
              <w:rPr>
                <w:sz w:val="20"/>
                <w:szCs w:val="20"/>
                <w:color w:val="auto"/>
              </w:rPr>
            </w:pPr>
            <w:r>
              <w:rPr>
                <w:rFonts w:ascii="Arial" w:cs="Arial" w:eastAsia="Arial" w:hAnsi="Arial"/>
                <w:sz w:val="18"/>
                <w:szCs w:val="18"/>
                <w:color w:val="auto"/>
              </w:rPr>
              <w:t>and UK Broker)</w:t>
            </w:r>
          </w:p>
        </w:tc>
        <w:tc>
          <w:tcPr>
            <w:tcW w:w="1660" w:type="dxa"/>
            <w:vAlign w:val="bottom"/>
          </w:tcPr>
          <w:p>
            <w:pPr>
              <w:ind w:left="1000"/>
              <w:spacing w:after="0"/>
              <w:rPr>
                <w:sz w:val="20"/>
                <w:szCs w:val="20"/>
                <w:color w:val="auto"/>
              </w:rPr>
            </w:pPr>
            <w:r>
              <w:rPr>
                <w:rFonts w:ascii="Arial" w:cs="Arial" w:eastAsia="Arial" w:hAnsi="Arial"/>
                <w:sz w:val="18"/>
                <w:szCs w:val="18"/>
                <w:color w:val="auto"/>
                <w:w w:val="97"/>
              </w:rPr>
              <w:t>Tel: +44</w:t>
            </w:r>
          </w:p>
        </w:tc>
        <w:tc>
          <w:tcPr>
            <w:tcW w:w="1400" w:type="dxa"/>
            <w:vAlign w:val="bottom"/>
          </w:tcPr>
          <w:p>
            <w:pPr>
              <w:ind w:left="40"/>
              <w:spacing w:after="0"/>
              <w:rPr>
                <w:sz w:val="20"/>
                <w:szCs w:val="20"/>
                <w:color w:val="auto"/>
              </w:rPr>
            </w:pPr>
            <w:r>
              <w:rPr>
                <w:rFonts w:ascii="Arial" w:cs="Arial" w:eastAsia="Arial" w:hAnsi="Arial"/>
                <w:sz w:val="18"/>
                <w:szCs w:val="18"/>
                <w:color w:val="auto"/>
                <w:w w:val="97"/>
              </w:rPr>
              <w:t>(0) 20 7710 7600</w:t>
            </w:r>
          </w:p>
        </w:tc>
      </w:tr>
    </w:tbl>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Stewart Wallace / Jonathan Senior / Ben Maddison</w:t>
      </w:r>
    </w:p>
    <w:sectPr>
      <w:pgSz w:w="11900" w:h="16838" w:orient="portrait"/>
      <w:cols w:equalWidth="0" w:num="1">
        <w:col w:w="10219"/>
      </w:cols>
      <w:pgMar w:left="240" w:top="12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bullet"/>
      <w:start w:val="1"/>
    </w:lvl>
  </w:abstractNum>
  <w:abstractNum w:abstractNumId="1">
    <w:nsid w:val="19495CFF"/>
    <w:multiLevelType w:val="hybridMultilevel"/>
    <w:lvl w:ilvl="0">
      <w:lvlJc w:val="left"/>
      <w:lvlText w:val="2"/>
      <w:numFmt w:val="bullet"/>
      <w:start w:val="1"/>
    </w:lvl>
  </w:abstractNum>
  <w:abstractNum w:abstractNumId="2">
    <w:nsid w:val="2AE8944A"/>
    <w:multiLevelType w:val="hybridMultilevel"/>
    <w:lvl w:ilvl="0">
      <w:lvlJc w:val="left"/>
      <w:lvlText w:val="3"/>
      <w:numFmt w:val="bullet"/>
      <w:start w:val="1"/>
    </w:lvl>
  </w:abstractNum>
  <w:abstractNum w:abstractNumId="3">
    <w:nsid w:val="625558EC"/>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2019-12-08T14:13:57Z</dcterms:created>
  <dcterms:modified xsi:type="dcterms:W3CDTF">2019-12-08T14:13:57Z</dcterms:modified>
</cp:coreProperties>
</file>