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333-217521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333-237926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333-248199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333-268389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333-271764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333-279298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333-217521</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333-237926</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333-248199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333-268389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333-271764</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333-279298</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333-285347</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sectPr>
      </w:pPr>
    </w:p>
    <w:p>
      <w:pPr>
        <w:spacing w:after="0" w:line="200" w:lineRule="exact"/>
        <w:rPr>
          <w:sz w:val="24"/>
          <w:szCs w:val="24"/>
          <w:color w:val="auto"/>
        </w:rPr>
      </w:pPr>
    </w:p>
    <w:p>
      <w:pPr>
        <w:spacing w:after="0" w:line="2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98-1489389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720" w:space="720"/>
            <w:col w:w="2800"/>
          </w:cols>
          <w:pgMar w:left="320" w:top="468" w:right="3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type w:val="continuous"/>
        </w:sectPr>
      </w:pPr>
    </w:p>
    <w:p>
      <w:pPr>
        <w:spacing w:after="0" w:line="200" w:lineRule="exact"/>
        <w:rPr>
          <w:sz w:val="24"/>
          <w:szCs w:val="24"/>
          <w:color w:val="auto"/>
        </w:rPr>
      </w:pPr>
    </w:p>
    <w:p>
      <w:pPr>
        <w:spacing w:after="0" w:line="244" w:lineRule="exact"/>
        <w:rPr>
          <w:sz w:val="24"/>
          <w:szCs w:val="24"/>
          <w:color w:val="auto"/>
        </w:rPr>
      </w:pPr>
    </w:p>
    <w:p>
      <w:pPr>
        <w:jc w:val="center"/>
        <w:ind w:left="640" w:right="1340"/>
        <w:spacing w:after="0" w:line="260" w:lineRule="auto"/>
        <w:rPr>
          <w:sz w:val="20"/>
          <w:szCs w:val="20"/>
          <w:color w:val="auto"/>
        </w:rPr>
      </w:pPr>
      <w:r>
        <w:rPr>
          <w:rFonts w:ascii="Times New Roman" w:cs="Times New Roman" w:eastAsia="Times New Roman" w:hAnsi="Times New Roman"/>
          <w:sz w:val="18"/>
          <w:szCs w:val="18"/>
          <w:b w:val="1"/>
          <w:bCs w:val="1"/>
          <w:color w:val="auto"/>
        </w:rPr>
        <w:t>VERONA PHARMA PLC UNAPPROVED SHARE OPTION SCHEME VERONA PHARMA PLC EMI OPTION SCHEME VERONA PHARMA PLC 2017 INCENTIVE AWARD PLAN VERONA PHARMA PLC SECOND AMENDED AND RESTATED 2017 INCENTIVE AWARD PLAN (Full titles of the plans)</w:t>
      </w: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00"/>
        <w:spacing w:after="0" w:line="208" w:lineRule="auto"/>
        <w:rPr>
          <w:sz w:val="20"/>
          <w:szCs w:val="20"/>
          <w:color w:val="auto"/>
        </w:rPr>
      </w:pPr>
      <w:r>
        <w:rPr>
          <w:rFonts w:ascii="Times New Roman" w:cs="Times New Roman" w:eastAsia="Times New Roman" w:hAnsi="Times New Roman"/>
          <w:sz w:val="18"/>
          <w:szCs w:val="18"/>
          <w:b w:val="1"/>
          <w:bCs w:val="1"/>
          <w:color w:val="auto"/>
        </w:rPr>
        <w:t>122 East 42nd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Peter N. Handrinos</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James Inness</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200 Clarendon Street</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99 Bishopsgate</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London EC2M 3XF</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(617) 948-6000</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r>
      <w:tr>
        <w:trPr>
          <w:trHeight w:val="238"/>
        </w:trPr>
        <w:tc>
          <w:tcPr>
            <w:tcW w:w="2940" w:type="dxa"/>
            <w:vAlign w:val="bottom"/>
          </w:tcPr>
          <w:p>
            <w:pPr>
              <w:spacing w:after="0"/>
              <w:rPr>
                <w:sz w:val="20"/>
                <w:szCs w:val="20"/>
                <w:color w:val="auto"/>
              </w:rPr>
            </w:pP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+44 20 7710-1000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4600" w:val="left"/>
          <w:tab w:leader="none" w:pos="5180" w:val="left"/>
          <w:tab w:leader="none" w:pos="107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68" w:right="339" w:bottom="0" w:gutter="0" w:footer="0" w:header="0"/>
          <w:type w:val="continuous"/>
        </w:sectPr>
      </w:pPr>
    </w:p>
    <w:bookmarkStart w:id="1" w:name="page2"/>
    <w:bookmarkEnd w:id="1"/>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4" w:lineRule="exact"/>
        <w:rPr>
          <w:sz w:val="20"/>
          <w:szCs w:val="20"/>
          <w:color w:val="auto"/>
        </w:rPr>
      </w:pPr>
    </w:p>
    <w:p>
      <w:pPr>
        <w:sectPr>
          <w:pgSz w:w="11900" w:h="16838" w:orient="portrait"/>
          <w:cols w:equalWidth="0" w:num="4">
            <w:col w:w="3900" w:space="720"/>
            <w:col w:w="160" w:space="420"/>
            <w:col w:w="4860" w:space="720"/>
            <w:col w:w="300"/>
          </w:cols>
          <w:pgMar w:left="320" w:top="81" w:right="499" w:bottom="1440" w:gutter="0" w:footer="0" w:header="0"/>
        </w:sectPr>
      </w:pP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4" w:lineRule="exact"/>
        <w:rPr>
          <w:sz w:val="20"/>
          <w:szCs w:val="20"/>
          <w:color w:val="auto"/>
        </w:rPr>
      </w:pPr>
    </w:p>
    <w:p>
      <w:pPr>
        <w:sectPr>
          <w:pgSz w:w="11900" w:h="16838" w:orient="portrait"/>
          <w:cols w:equalWidth="0" w:num="2">
            <w:col w:w="10060" w:space="720"/>
            <w:col w:w="300"/>
          </w:cols>
          <w:pgMar w:left="320" w:top="81" w:right="499" w:bottom="1440" w:gutter="0" w:footer="0" w:header="0"/>
          <w:type w:val="continuous"/>
        </w:sectPr>
      </w:pPr>
    </w:p>
    <w:p>
      <w:pPr>
        <w:spacing w:after="0" w:line="2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b w:val="1"/>
          <w:bCs w:val="1"/>
          <w:i w:val="1"/>
          <w:iCs w:val="1"/>
          <w:color w:val="auto"/>
        </w:rPr>
        <w:t>Post-Effective Amendments</w:t>
      </w:r>
      <w:r>
        <w:rPr>
          <w:rFonts w:ascii="Times New Roman" w:cs="Times New Roman" w:eastAsia="Times New Roman" w:hAnsi="Times New Roman"/>
          <w:sz w:val="18"/>
          <w:szCs w:val="18"/>
          <w:color w:val="auto"/>
        </w:rPr>
        <w:t>”), filed by Verona Pharma plc, a public limited company incorporated under the laws of England and Wales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remove from registration all ordinary shares, nominal value £0.05 per share, of the Company (the “</w:t>
      </w:r>
      <w:r>
        <w:rPr>
          <w:rFonts w:ascii="Times New Roman" w:cs="Times New Roman" w:eastAsia="Times New Roman" w:hAnsi="Times New Roman"/>
          <w:sz w:val="18"/>
          <w:szCs w:val="18"/>
          <w:b w:val="1"/>
          <w:bCs w:val="1"/>
          <w:i w:val="1"/>
          <w:i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previously registered under the following Registration Statements on Form S-8 filed by the Company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pertaining to the registration of the Ordinary Shares: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333-217521, which was previously filed with the SEC on April 28, 2017, registering 214,000 Ordinary Shares under the Verona Pharma plc EMI Option Scheme, 2,590,000 Ordinary Shares under the Verona Pharma plc Unapproved Share Option Scheme and 14,333,000 Ordinary Shares under the Verona Pharma plc 2017 Incentive Award Plan;</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333-237926, which was previously filed with the SEC on April 30, 2020, registering an additional 11,998,660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333-248199, which was previously filed with the SEC on August 20, 2020, registering an additional 65,102,504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333-268389, which was previously filed with the SEC on November 15, 2022, registering an additional 17,132,312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333-271764, which was previously filed with the SEC on May 9, 2023, registering an additional 24,000,000 Ordinary Shares under the Verona Pharma plc Second Amended and Restated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333-279298, which was previously filed with the SEC on May 10, 2024, registering an additional 34,745,648 Ordinary Shares under the Verona Pharma plc Second Amended and Restated 2017 Incentive Award Plan;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333-285347, which was previously filed with the SEC on February 27, 2025, registering an additional 28,127,576 Ordinary Shares under the Verona Pharma plc Second Amended and Restated 2017 Incentive Award Plan.</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8, 2025, the Company entered into a transaction agreement (the “</w:t>
      </w:r>
      <w:r>
        <w:rPr>
          <w:rFonts w:ascii="Times New Roman" w:cs="Times New Roman" w:eastAsia="Times New Roman" w:hAnsi="Times New Roman"/>
          <w:sz w:val="18"/>
          <w:szCs w:val="18"/>
          <w:b w:val="1"/>
          <w:bCs w:val="1"/>
          <w:i w:val="1"/>
          <w:iCs w:val="1"/>
          <w:color w:val="auto"/>
        </w:rPr>
        <w:t>Transaction Agreement</w:t>
      </w:r>
      <w:r>
        <w:rPr>
          <w:rFonts w:ascii="Times New Roman" w:cs="Times New Roman" w:eastAsia="Times New Roman" w:hAnsi="Times New Roman"/>
          <w:sz w:val="18"/>
          <w:szCs w:val="18"/>
          <w:color w:val="auto"/>
        </w:rPr>
        <w:t>”) with Merck Sharp &amp; Dohme LLC, a New Jersey limited liability company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Vol Holdings LLC, a Delaware limited liability company and wholly owned subsidiary of Parent (“</w:t>
      </w:r>
      <w:r>
        <w:rPr>
          <w:rFonts w:ascii="Times New Roman" w:cs="Times New Roman" w:eastAsia="Times New Roman" w:hAnsi="Times New Roman"/>
          <w:sz w:val="18"/>
          <w:szCs w:val="18"/>
          <w:b w:val="1"/>
          <w:bCs w:val="1"/>
          <w:i w:val="1"/>
          <w:iCs w:val="1"/>
          <w:color w:val="auto"/>
        </w:rPr>
        <w:t>Bidco</w:t>
      </w:r>
      <w:r>
        <w:rPr>
          <w:rFonts w:ascii="Times New Roman" w:cs="Times New Roman" w:eastAsia="Times New Roman" w:hAnsi="Times New Roman"/>
          <w:sz w:val="18"/>
          <w:szCs w:val="18"/>
          <w:color w:val="auto"/>
        </w:rPr>
        <w:t>”), pursuant to which Bidco agreed to acquire the entire issued and to be issued share capital of the Company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by means of a court-sanctioned English law scheme of arrangement (the “</w:t>
      </w:r>
      <w:r>
        <w:rPr>
          <w:rFonts w:ascii="Times New Roman" w:cs="Times New Roman" w:eastAsia="Times New Roman" w:hAnsi="Times New Roman"/>
          <w:sz w:val="18"/>
          <w:szCs w:val="18"/>
          <w:b w:val="1"/>
          <w:bCs w:val="1"/>
          <w:i w:val="1"/>
          <w:iCs w:val="1"/>
          <w:color w:val="auto"/>
        </w:rPr>
        <w:t>Scheme of Arrangement</w:t>
      </w:r>
      <w:r>
        <w:rPr>
          <w:rFonts w:ascii="Times New Roman" w:cs="Times New Roman" w:eastAsia="Times New Roman" w:hAnsi="Times New Roman"/>
          <w:sz w:val="18"/>
          <w:szCs w:val="18"/>
          <w:color w:val="auto"/>
        </w:rPr>
        <w:t>”) under Part 26 of the Companies Act 2006. On October 6, 2025, the High Court of Justice of England and Wales (the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 sanctioned the Scheme of Arrangement at a public hearing convened by the Court and the Company. On October 7, 2025, Merck and Bidco consummated the Transaction in accordance with the Transaction Agreement and the Scheme of Arrangement.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Transaction, the Company has terminated all offerings of the Company’s securities registered pursuant to its existing registration statements under the Securities Act of 1933, as amended, including the Registration Statements. The Company, by filing these Post-Effective Amendments, hereby terminates the effectiveness of the Registration Statements and removes from registration any and all plan interests and any and all securities registered for issuance under the Registration Statements that remain unsold as of the date hereof. This filing is made in accordance with an undertaking made by the Company in each of the Registration Statements to remove from registration by means of a post-effective amendment any securities that had been registered for issuance that remain unsold at the termination of the relevant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London, United Kingdom on October 7, 2025.</w:t>
      </w: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Benjamin Lucas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Principal Executive Officer and Director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these Post-Effective Amendments to the Registration Statements have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22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0"/>
        </w:trPr>
        <w:tc>
          <w:tcPr>
            <w:tcW w:w="2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Lucas</w:t>
            </w:r>
          </w:p>
        </w:tc>
        <w:tc>
          <w:tcPr>
            <w:tcW w:w="240" w:type="dxa"/>
            <w:vAlign w:val="bottom"/>
          </w:tcPr>
          <w:p>
            <w:pPr>
              <w:spacing w:after="0"/>
              <w:rPr>
                <w:sz w:val="18"/>
                <w:szCs w:val="18"/>
                <w:color w:val="auto"/>
              </w:rPr>
            </w:pPr>
          </w:p>
        </w:tc>
        <w:tc>
          <w:tcPr>
            <w:tcW w:w="6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Benjamin Lucas</w:t>
            </w:r>
          </w:p>
        </w:tc>
        <w:tc>
          <w:tcPr>
            <w:tcW w:w="24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Ebru Can Temucin</w:t>
            </w:r>
          </w:p>
        </w:tc>
        <w:tc>
          <w:tcPr>
            <w:tcW w:w="240" w:type="dxa"/>
            <w:vAlign w:val="bottom"/>
          </w:tcPr>
          <w:p>
            <w:pPr>
              <w:spacing w:after="0"/>
              <w:rPr>
                <w:sz w:val="24"/>
                <w:szCs w:val="24"/>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 Principal Financial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Ebru Can Temucin</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SIGNATURE OF AUTHORIZED U.S. REPRESENTATIVE OF REGISTRANT</w:t>
            </w:r>
          </w:p>
        </w:tc>
        <w:tc>
          <w:tcPr>
            <w:tcW w:w="22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undersigned, the duly authorized representative in the United States of Verona Pharma plc, has signed these Post-Effective Amendments to the Registration Statements on Form S-8, in the City of New York, State of New York, on October 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200" w:lineRule="exact"/>
        <w:rPr>
          <w:sz w:val="20"/>
          <w:szCs w:val="20"/>
          <w:color w:val="auto"/>
        </w:rPr>
      </w:pP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2025-10-07T12:05:23Z</dcterms:created>
  <dcterms:modified xsi:type="dcterms:W3CDTF">2025-10-07T12:05:23Z</dcterms:modified>
</cp:coreProperties>
</file>