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Hahn Mark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11/27/2024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8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LONDON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X0</w:t>
            </w:r>
          </w:p>
        </w:tc>
        <w:tc>
          <w:tcPr>
            <w:tcW w:w="840" w:type="dxa"/>
            <w:vAlign w:val="bottom"/>
          </w:tcPr>
          <w:p>
            <w:pPr>
              <w:spacing w:after="0"/>
              <w:rPr>
                <w:sz w:val="10"/>
                <w:szCs w:val="10"/>
                <w:color w:val="auto"/>
              </w:rPr>
            </w:pPr>
          </w:p>
        </w:tc>
        <w:tc>
          <w:tcPr>
            <w:tcW w:w="14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SE1 2RE</w:t>
            </w: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jc w:val="right"/>
              <w:ind w:right="159"/>
              <w:spacing w:after="0"/>
              <w:rPr>
                <w:sz w:val="20"/>
                <w:szCs w:val="20"/>
                <w:color w:val="auto"/>
              </w:rPr>
            </w:pPr>
            <w:r>
              <w:rPr>
                <w:rFonts w:ascii="Times New Roman" w:cs="Times New Roman" w:eastAsia="Times New Roman" w:hAnsi="Times New Roman"/>
                <w:sz w:val="17"/>
                <w:szCs w:val="17"/>
                <w:color w:val="0000FF"/>
              </w:rPr>
              <w:t>11/27/2024</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80" w:type="dxa"/>
            <w:vAlign w:val="bottom"/>
            <w:tcBorders>
              <w:bottom w:val="single" w:sz="8" w:color="2C2C2C"/>
            </w:tcBorders>
          </w:tcPr>
          <w:p>
            <w:pPr>
              <w:jc w:val="center"/>
              <w:ind w:right="30"/>
              <w:spacing w:after="0"/>
              <w:rPr>
                <w:sz w:val="20"/>
                <w:szCs w:val="20"/>
                <w:color w:val="auto"/>
              </w:rPr>
            </w:pPr>
            <w:r>
              <w:rPr>
                <w:rFonts w:ascii="Times New Roman" w:cs="Times New Roman" w:eastAsia="Times New Roman" w:hAnsi="Times New Roman"/>
                <w:sz w:val="17"/>
                <w:szCs w:val="17"/>
                <w:color w:val="0000FF"/>
              </w:rPr>
              <w:t>12,936</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17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w:t>
            </w: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14,276,000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jc w:val="right"/>
              <w:ind w:right="159"/>
              <w:spacing w:after="0"/>
              <w:rPr>
                <w:sz w:val="20"/>
                <w:szCs w:val="20"/>
                <w:color w:val="auto"/>
              </w:rPr>
            </w:pPr>
            <w:r>
              <w:rPr>
                <w:rFonts w:ascii="Times New Roman" w:cs="Times New Roman" w:eastAsia="Times New Roman" w:hAnsi="Times New Roman"/>
                <w:sz w:val="17"/>
                <w:szCs w:val="17"/>
                <w:color w:val="0000FF"/>
              </w:rPr>
              <w:t>11/29/2024</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80" w:type="dxa"/>
            <w:vAlign w:val="bottom"/>
            <w:tcBorders>
              <w:bottom w:val="single" w:sz="8" w:color="2C2C2C"/>
            </w:tcBorders>
          </w:tcPr>
          <w:p>
            <w:pPr>
              <w:jc w:val="center"/>
              <w:ind w:right="30"/>
              <w:spacing w:after="0"/>
              <w:rPr>
                <w:sz w:val="20"/>
                <w:szCs w:val="20"/>
                <w:color w:val="auto"/>
              </w:rPr>
            </w:pPr>
            <w:r>
              <w:rPr>
                <w:rFonts w:ascii="Times New Roman" w:cs="Times New Roman" w:eastAsia="Times New Roman" w:hAnsi="Times New Roman"/>
                <w:sz w:val="17"/>
                <w:szCs w:val="17"/>
                <w:color w:val="0000FF"/>
              </w:rPr>
              <w:t>98,704</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5.0063</w:t>
            </w:r>
            <w:r>
              <w:rPr>
                <w:rFonts w:ascii="Times New Roman" w:cs="Times New Roman" w:eastAsia="Times New Roman" w:hAnsi="Times New Roman"/>
                <w:sz w:val="22"/>
                <w:szCs w:val="22"/>
                <w:color w:val="008000"/>
                <w:w w:val="95"/>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14,177,296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jc w:val="right"/>
              <w:ind w:right="159"/>
              <w:spacing w:after="0"/>
              <w:rPr>
                <w:sz w:val="20"/>
                <w:szCs w:val="20"/>
                <w:color w:val="auto"/>
              </w:rPr>
            </w:pPr>
            <w:r>
              <w:rPr>
                <w:rFonts w:ascii="Times New Roman" w:cs="Times New Roman" w:eastAsia="Times New Roman" w:hAnsi="Times New Roman"/>
                <w:sz w:val="17"/>
                <w:szCs w:val="17"/>
                <w:color w:val="0000FF"/>
              </w:rPr>
              <w:t>12/02/2024</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80" w:type="dxa"/>
            <w:vAlign w:val="bottom"/>
            <w:tcBorders>
              <w:bottom w:val="single" w:sz="8" w:color="2C2C2C"/>
            </w:tcBorders>
          </w:tcPr>
          <w:p>
            <w:pPr>
              <w:jc w:val="center"/>
              <w:ind w:right="30"/>
              <w:spacing w:after="0"/>
              <w:rPr>
                <w:sz w:val="20"/>
                <w:szCs w:val="20"/>
                <w:color w:val="auto"/>
              </w:rPr>
            </w:pPr>
            <w:r>
              <w:rPr>
                <w:rFonts w:ascii="Times New Roman" w:cs="Times New Roman" w:eastAsia="Times New Roman" w:hAnsi="Times New Roman"/>
                <w:sz w:val="17"/>
                <w:szCs w:val="17"/>
                <w:color w:val="0000FF"/>
              </w:rPr>
              <w:t>1,600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17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w:t>
            </w: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14,175,696</w:t>
            </w:r>
            <w:r>
              <w:rPr>
                <w:rFonts w:ascii="Times New Roman" w:cs="Times New Roman" w:eastAsia="Times New Roman" w:hAnsi="Times New Roman"/>
                <w:sz w:val="22"/>
                <w:szCs w:val="22"/>
                <w:color w:val="008000"/>
                <w:w w:val="98"/>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jc w:val="right"/>
              <w:ind w:right="119"/>
              <w:spacing w:after="0" w:line="133" w:lineRule="exact"/>
              <w:rPr>
                <w:sz w:val="20"/>
                <w:szCs w:val="20"/>
                <w:color w:val="auto"/>
              </w:rPr>
            </w:pPr>
            <w:r>
              <w:rPr>
                <w:rFonts w:ascii="Arial" w:cs="Arial" w:eastAsia="Arial" w:hAnsi="Arial"/>
                <w:sz w:val="12"/>
                <w:szCs w:val="12"/>
                <w:b w:val="1"/>
                <w:bCs w:val="1"/>
                <w:color w:val="auto"/>
                <w:w w:val="93"/>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instruction adopted on March 6, 2024.</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price of the ADSs divided by eight (8). The securities were sold in multiple transactions at prices ranging from $5 to $5.075 per Ordinary Share, inclusive (or $40.00 to $40.6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3,000,000 Ordinary Shares underlying Restricted Share Units, each of which represents a contingent right to receive one (1) Ordinary Share of the Issuer (which are represented by 375,000 ADSs); and (ii) 11,175,696 Ordinary Shares underlying 1,396,962 ADSs.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Andrew Fisher, Attorney-</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12/02/2024</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Mark Hahn</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8502"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2024-12-02T18:25:52Z</dcterms:created>
  <dcterms:modified xsi:type="dcterms:W3CDTF">2024-12-02T18:25:52Z</dcterms:modified>
</cp:coreProperties>
</file>