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 xml:space="preserve">March 25, 2021 </w:t>
            </w:r>
          </w:p>
        </w:tc>
      </w:tr>
    </w:tbl>
    <w:tbl>
      <w:tblPr>
        <w:tblW w:w="11907" w:type="dxa"/>
        <w:jc w:val="center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t>0001104659-21-039157</w:t>
            </w:r>
          </w:p>
        </w:tc>
      </w:tr>
      <w:tr>
        <w:trPr/>
        <w:tc>
          <w:tcPr>
            <w:tcW w:w="1276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0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2">
                    <w:r>
                      <w:rPr>
                        <w:rStyle w:val="InternetLink"/>
                      </w:rPr>
                      <w:t>0001657312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Verona Pharma plc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333-247928</w:t>
                    </w:r>
                  </w:hyperlink>
                </w:p>
              </w:tc>
            </w:tr>
          </w:tbl>
          <w:p>
            <w:pPr>
              <w:pStyle w:val="TableContents"/>
              <w:spacing w:before="0" w:after="283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shd w:fill="auto" w:val="clear"/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57312" TargetMode="External"/><Relationship Id="rId3" Type="http://schemas.openxmlformats.org/officeDocument/2006/relationships/hyperlink" Target="http://www.sec.gov/cgi-bin/browse-edgar?action=getcompany&amp;filenum=333-247928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34</Words>
  <CharactersWithSpaces>251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