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552450</wp:posOffset>
            </wp:positionV>
            <wp:extent cx="762508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18415"/>
                    </a:xfrm>
                    <a:prstGeom prst="rect">
                      <a:avLst/>
                    </a:prstGeom>
                    <a:noFill/>
                  </pic:spPr>
                </pic:pic>
              </a:graphicData>
            </a:graphic>
          </wp:anchor>
        </w:drawing>
        <w:t>UNITED STATES</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Washington, D.C. 20549</w:t>
      </w:r>
    </w:p>
    <w:p>
      <w:pPr>
        <w:spacing w:after="0" w:line="244"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ind w:left="5540"/>
        <w:spacing w:after="0"/>
        <w:rPr>
          <w:sz w:val="20"/>
          <w:szCs w:val="20"/>
          <w:color w:val="auto"/>
        </w:rPr>
      </w:pPr>
      <w:r>
        <w:rPr>
          <w:rFonts w:ascii="Arial" w:cs="Arial" w:eastAsia="Arial" w:hAnsi="Arial"/>
          <w:sz w:val="19"/>
          <w:szCs w:val="19"/>
          <w:b w:val="1"/>
          <w:bCs w:val="1"/>
          <w:color w:val="auto"/>
        </w:rPr>
        <w:t>FORM 6-K</w:t>
      </w:r>
    </w:p>
    <w:p>
      <w:pPr>
        <w:spacing w:after="0" w:line="268"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REPORT OF FOREIGN PRIVATE ISSUER</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PURSUANT TO RULE 13a-16 OR 15d-16</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14" w:lineRule="exact"/>
        <w:rPr>
          <w:sz w:val="24"/>
          <w:szCs w:val="24"/>
          <w:color w:val="auto"/>
        </w:rPr>
      </w:pPr>
    </w:p>
    <w:p>
      <w:pPr>
        <w:ind w:left="5480"/>
        <w:spacing w:after="0"/>
        <w:rPr>
          <w:sz w:val="20"/>
          <w:szCs w:val="20"/>
          <w:color w:val="auto"/>
        </w:rPr>
      </w:pPr>
      <w:r>
        <w:rPr>
          <w:rFonts w:ascii="Arial" w:cs="Arial" w:eastAsia="Arial" w:hAnsi="Arial"/>
          <w:sz w:val="19"/>
          <w:szCs w:val="19"/>
          <w:b w:val="1"/>
          <w:bCs w:val="1"/>
          <w:color w:val="auto"/>
        </w:rPr>
        <w:t>March 2019</w:t>
      </w:r>
    </w:p>
    <w:p>
      <w:pPr>
        <w:spacing w:after="0" w:line="268"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Commission File Number: 001-38067</w:t>
      </w:r>
    </w:p>
    <w:p>
      <w:pPr>
        <w:spacing w:after="0" w:line="268" w:lineRule="exact"/>
        <w:rPr>
          <w:sz w:val="24"/>
          <w:szCs w:val="24"/>
          <w:color w:val="auto"/>
        </w:rPr>
      </w:pPr>
    </w:p>
    <w:p>
      <w:pPr>
        <w:ind w:left="304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25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Verona Pharma plc</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72" w:lineRule="exact"/>
        <w:rPr>
          <w:sz w:val="24"/>
          <w:szCs w:val="24"/>
          <w:color w:val="auto"/>
        </w:rPr>
      </w:pPr>
    </w:p>
    <w:p>
      <w:pPr>
        <w:ind w:left="306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00" w:lineRule="exact"/>
        <w:rPr>
          <w:sz w:val="24"/>
          <w:szCs w:val="24"/>
          <w:color w:val="auto"/>
        </w:rPr>
      </w:pPr>
    </w:p>
    <w:p>
      <w:pPr>
        <w:spacing w:after="0" w:line="311"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3 More London Riverside</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London SE1 2RE UK</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+44 203 283 4200</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(Address of principal executive office)</w:t>
      </w:r>
    </w:p>
    <w:p>
      <w:pPr>
        <w:spacing w:after="0" w:line="272" w:lineRule="exact"/>
        <w:rPr>
          <w:sz w:val="24"/>
          <w:szCs w:val="24"/>
          <w:color w:val="auto"/>
        </w:rPr>
      </w:pPr>
    </w:p>
    <w:p>
      <w:pPr>
        <w:ind w:left="3100"/>
        <w:spacing w:after="0"/>
        <w:rPr>
          <w:sz w:val="20"/>
          <w:szCs w:val="20"/>
          <w:color w:val="auto"/>
        </w:rPr>
      </w:pPr>
      <w:r>
        <w:rPr>
          <w:rFonts w:ascii="Arial" w:cs="Arial" w:eastAsia="Arial" w:hAnsi="Arial"/>
          <w:sz w:val="15"/>
          <w:szCs w:val="15"/>
          <w:color w:val="auto"/>
        </w:rPr>
        <w:t>______________________________________________________________________</w:t>
      </w:r>
    </w:p>
    <w:p>
      <w:pPr>
        <w:spacing w:after="0" w:line="278" w:lineRule="exact"/>
        <w:rPr>
          <w:sz w:val="24"/>
          <w:szCs w:val="24"/>
          <w:color w:val="auto"/>
        </w:rPr>
      </w:pPr>
    </w:p>
    <w:p>
      <w:pPr>
        <w:ind w:left="4780" w:right="960" w:hanging="4789"/>
        <w:spacing w:after="0" w:line="501" w:lineRule="auto"/>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 Form 20-F â˜’ Form 40-F â˜</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â˜</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â˜</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6250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0680"/>
          </w:cols>
          <w:pgMar w:left="120" w:top="1115" w:right="1440"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9"/>
          <w:szCs w:val="19"/>
          <w:b w:val="1"/>
          <w:bCs w:val="1"/>
          <w:color w:val="auto"/>
        </w:rPr>
        <w:t>INFORMATION CONTAINED IN THIS REPORT ON FORM 6-K</w:t>
      </w:r>
    </w:p>
    <w:p>
      <w:pPr>
        <w:spacing w:after="0" w:line="262" w:lineRule="exact"/>
        <w:rPr>
          <w:sz w:val="20"/>
          <w:szCs w:val="20"/>
          <w:color w:val="auto"/>
        </w:rPr>
      </w:pPr>
    </w:p>
    <w:p>
      <w:pPr>
        <w:ind w:right="200"/>
        <w:spacing w:after="0" w:line="255" w:lineRule="auto"/>
        <w:rPr>
          <w:sz w:val="20"/>
          <w:szCs w:val="20"/>
          <w:color w:val="auto"/>
        </w:rPr>
      </w:pPr>
      <w:r>
        <w:rPr>
          <w:rFonts w:ascii="Arial" w:cs="Arial" w:eastAsia="Arial" w:hAnsi="Arial"/>
          <w:sz w:val="19"/>
          <w:szCs w:val="19"/>
          <w:color w:val="auto"/>
        </w:rPr>
        <w:t>On March 5, 2019, March 7, 2019, and March 11, 2019, Verona Pharma plc issued press releases reporting the purchase of shares by its Chairman, Dr David Ebsworth (the Person Discharging Managerial Responsibilities ("PDMR") announcements, the ("PDMR Announcements")).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PDMR Announcements are furnished herewith as Exhibit 1.1, 1.2 and 1.3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9"/>
                <w:szCs w:val="19"/>
                <w:color w:val="auto"/>
                <w:w w:val="98"/>
              </w:rPr>
              <w:t>Exhibit</w:t>
            </w:r>
          </w:p>
        </w:tc>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9"/>
                <w:szCs w:val="19"/>
                <w:color w:val="auto"/>
              </w:rPr>
              <w:t>No.</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ind w:left="80"/>
              <w:spacing w:after="0"/>
              <w:rPr>
                <w:sz w:val="20"/>
                <w:szCs w:val="20"/>
                <w:color w:val="auto"/>
              </w:rPr>
            </w:pPr>
            <w:r>
              <w:rPr>
                <w:rFonts w:ascii="Arial" w:cs="Arial" w:eastAsia="Arial" w:hAnsi="Arial"/>
                <w:sz w:val="19"/>
                <w:szCs w:val="19"/>
                <w:color w:val="auto"/>
              </w:rPr>
              <w:t>Description</w:t>
            </w:r>
          </w:p>
        </w:tc>
      </w:tr>
      <w:tr>
        <w:trPr>
          <w:trHeight w:val="399"/>
        </w:trPr>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0000EE"/>
                <w:w w:val="90"/>
              </w:rPr>
              <w:t>1.</w:t>
            </w:r>
            <w:r>
              <w:rPr>
                <w:rFonts w:ascii="Arial" w:cs="Arial" w:eastAsia="Arial" w:hAnsi="Arial"/>
                <w:sz w:val="19"/>
                <w:szCs w:val="19"/>
                <w:u w:val="single" w:color="auto"/>
                <w:color w:val="0000EE"/>
                <w:w w:val="90"/>
              </w:rPr>
              <w:t>1</w:t>
            </w:r>
          </w:p>
        </w:tc>
        <w:tc>
          <w:tcPr>
            <w:tcW w:w="1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0" w:type="dxa"/>
            <w:vAlign w:val="bottom"/>
            <w:tcBorders>
              <w:top w:val="single" w:sz="8" w:color="auto"/>
            </w:tcBorders>
            <w:gridSpan w:val="4"/>
          </w:tcPr>
          <w:p>
            <w:pPr>
              <w:ind w:left="20"/>
              <w:spacing w:after="0"/>
              <w:rPr>
                <w:sz w:val="20"/>
                <w:szCs w:val="20"/>
                <w:color w:val="auto"/>
              </w:rPr>
            </w:pPr>
            <w:r>
              <w:rPr>
                <w:rFonts w:ascii="Arial" w:cs="Arial" w:eastAsia="Arial" w:hAnsi="Arial"/>
                <w:sz w:val="19"/>
                <w:szCs w:val="19"/>
                <w:color w:val="0000EE"/>
              </w:rPr>
              <w:t>PDMR Announcement March 5, 2019.</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9"/>
                <w:szCs w:val="19"/>
                <w:color w:val="0000EE"/>
                <w:w w:val="90"/>
              </w:rPr>
              <w:t>1.</w:t>
            </w:r>
            <w:r>
              <w:rPr>
                <w:rFonts w:ascii="Arial" w:cs="Arial" w:eastAsia="Arial" w:hAnsi="Arial"/>
                <w:sz w:val="19"/>
                <w:szCs w:val="19"/>
                <w:u w:val="single" w:color="auto"/>
                <w:color w:val="0000EE"/>
                <w:w w:val="90"/>
              </w:rPr>
              <w:t>2</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0" w:type="dxa"/>
            <w:vAlign w:val="bottom"/>
            <w:gridSpan w:val="4"/>
          </w:tcPr>
          <w:p>
            <w:pPr>
              <w:ind w:left="20"/>
              <w:spacing w:after="0"/>
              <w:rPr>
                <w:sz w:val="20"/>
                <w:szCs w:val="20"/>
                <w:color w:val="auto"/>
              </w:rPr>
            </w:pPr>
            <w:r>
              <w:rPr>
                <w:rFonts w:ascii="Arial" w:cs="Arial" w:eastAsia="Arial" w:hAnsi="Arial"/>
                <w:sz w:val="19"/>
                <w:szCs w:val="19"/>
                <w:color w:val="0000EE"/>
              </w:rPr>
              <w:t>PDMR Announcement March 7, 2019.</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9"/>
                <w:szCs w:val="19"/>
                <w:color w:val="0000EE"/>
                <w:w w:val="90"/>
              </w:rPr>
              <w:t>1.</w:t>
            </w:r>
            <w:r>
              <w:rPr>
                <w:rFonts w:ascii="Arial" w:cs="Arial" w:eastAsia="Arial" w:hAnsi="Arial"/>
                <w:sz w:val="19"/>
                <w:szCs w:val="19"/>
                <w:u w:val="single" w:color="auto"/>
                <w:color w:val="0000EE"/>
                <w:w w:val="90"/>
              </w:rPr>
              <w:t>3</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0" w:type="dxa"/>
            <w:vAlign w:val="bottom"/>
            <w:gridSpan w:val="4"/>
          </w:tcPr>
          <w:p>
            <w:pPr>
              <w:ind w:left="20"/>
              <w:spacing w:after="0"/>
              <w:rPr>
                <w:sz w:val="20"/>
                <w:szCs w:val="20"/>
                <w:color w:val="auto"/>
              </w:rPr>
            </w:pPr>
            <w:r>
              <w:rPr>
                <w:rFonts w:ascii="Arial" w:cs="Arial" w:eastAsia="Arial" w:hAnsi="Arial"/>
                <w:sz w:val="19"/>
                <w:szCs w:val="19"/>
                <w:color w:val="0000EE"/>
              </w:rPr>
              <w:t>PDMR Announcement March 11, 2019.</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SIGNATURES</w:t>
      </w: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VERONA PHARMA PLC</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Arial" w:cs="Arial" w:eastAsia="Arial" w:hAnsi="Arial"/>
                <w:sz w:val="19"/>
                <w:szCs w:val="19"/>
                <w:color w:val="auto"/>
              </w:rPr>
              <w:t>Date: March 12, 2019</w:t>
            </w:r>
          </w:p>
        </w:tc>
        <w:tc>
          <w:tcPr>
            <w:tcW w:w="1600" w:type="dxa"/>
            <w:vAlign w:val="bottom"/>
          </w:tcPr>
          <w:p>
            <w:pPr>
              <w:ind w:left="920"/>
              <w:spacing w:after="0"/>
              <w:rPr>
                <w:sz w:val="20"/>
                <w:szCs w:val="20"/>
                <w:color w:val="auto"/>
              </w:rPr>
            </w:pPr>
            <w:r>
              <w:rPr>
                <w:rFonts w:ascii="Arial" w:cs="Arial" w:eastAsia="Arial" w:hAnsi="Arial"/>
                <w:sz w:val="19"/>
                <w:szCs w:val="19"/>
                <w:color w:val="auto"/>
              </w:rPr>
              <w:t>By:</w:t>
            </w: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Claire Poll</w:t>
            </w:r>
          </w:p>
        </w:tc>
        <w:tc>
          <w:tcPr>
            <w:tcW w:w="4040" w:type="dxa"/>
            <w:vAlign w:val="bottom"/>
            <w:tcBorders>
              <w:bottom w:val="single" w:sz="8" w:color="auto"/>
            </w:tcBorders>
          </w:tcPr>
          <w:p>
            <w:pPr>
              <w:spacing w:after="0"/>
              <w:rPr>
                <w:sz w:val="20"/>
                <w:szCs w:val="20"/>
                <w:color w:val="auto"/>
              </w:rPr>
            </w:pPr>
          </w:p>
        </w:tc>
      </w:tr>
      <w:tr>
        <w:trPr>
          <w:trHeight w:val="256"/>
        </w:trPr>
        <w:tc>
          <w:tcPr>
            <w:tcW w:w="27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Arial" w:cs="Arial" w:eastAsia="Arial" w:hAnsi="Arial"/>
                <w:sz w:val="19"/>
                <w:szCs w:val="19"/>
                <w:color w:val="auto"/>
              </w:rPr>
              <w:t>Name:</w:t>
            </w:r>
          </w:p>
        </w:tc>
        <w:tc>
          <w:tcPr>
            <w:tcW w:w="4040" w:type="dxa"/>
            <w:vAlign w:val="bottom"/>
          </w:tcPr>
          <w:p>
            <w:pPr>
              <w:ind w:left="180"/>
              <w:spacing w:after="0"/>
              <w:rPr>
                <w:sz w:val="20"/>
                <w:szCs w:val="20"/>
                <w:color w:val="auto"/>
              </w:rPr>
            </w:pPr>
            <w:r>
              <w:rPr>
                <w:rFonts w:ascii="Arial" w:cs="Arial" w:eastAsia="Arial" w:hAnsi="Arial"/>
                <w:sz w:val="19"/>
                <w:szCs w:val="19"/>
                <w:color w:val="auto"/>
              </w:rPr>
              <w:t>Claire Poll</w:t>
            </w:r>
          </w:p>
        </w:tc>
      </w:tr>
      <w:tr>
        <w:trPr>
          <w:trHeight w:val="285"/>
        </w:trPr>
        <w:tc>
          <w:tcPr>
            <w:tcW w:w="2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9"/>
                <w:szCs w:val="19"/>
                <w:color w:val="auto"/>
              </w:rPr>
              <w:t>Title:</w:t>
            </w:r>
          </w:p>
        </w:tc>
        <w:tc>
          <w:tcPr>
            <w:tcW w:w="4040" w:type="dxa"/>
            <w:vAlign w:val="bottom"/>
          </w:tcPr>
          <w:p>
            <w:pPr>
              <w:ind w:left="180"/>
              <w:spacing w:after="0"/>
              <w:rPr>
                <w:sz w:val="20"/>
                <w:szCs w:val="20"/>
                <w:color w:val="auto"/>
              </w:rPr>
            </w:pPr>
            <w:r>
              <w:rPr>
                <w:rFonts w:ascii="Arial" w:cs="Arial" w:eastAsia="Arial" w:hAnsi="Arial"/>
                <w:sz w:val="19"/>
                <w:szCs w:val="19"/>
                <w:color w:val="auto"/>
              </w:rPr>
              <w:t>Legal Counsel</w:t>
            </w:r>
          </w:p>
        </w:tc>
      </w:tr>
    </w:tbl>
    <w:p>
      <w:pPr>
        <w:sectPr>
          <w:pgSz w:w="12240" w:h="15840" w:orient="portrait"/>
          <w:cols w:equalWidth="0" w:num="1">
            <w:col w:w="11740"/>
          </w:cols>
          <w:pgMar w:left="120" w:top="459" w:right="38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1472565</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drawing>
          <wp:anchor simplePos="0" relativeHeight="251657728" behindDoc="1" locked="0" layoutInCell="0" allowOverlap="1">
            <wp:simplePos x="0" y="0"/>
            <wp:positionH relativeFrom="page">
              <wp:posOffset>5587365</wp:posOffset>
            </wp:positionH>
            <wp:positionV relativeFrom="page">
              <wp:posOffset>0</wp:posOffset>
            </wp:positionV>
            <wp:extent cx="211010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101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PDMR Dealing</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March 11, 2019, LONDON - Verona Pharma plc (AIM:VRP) (Nasdaq:VRNA) (â€œVerona Pharmaâ€ ), a clinical-stage biopharmaceutical company focused on developing and commercializing innovative therapies for respiratory diseases, announces that, on March 8, 2019, Dr. David Ebsworth, Chairman of the Company, purchased a further 17,500 ordinary shares of 5 pence each in the Company (the â€œOrdinary Sharesâ€ ) at a price of 57 pence per Ordinary Share and a total purchase price of Â£9,975.00 Following the acquisition, Dr. Ebsworth will have an interest in the Company of 235,387 Ordinary Shares, representing 0.22% of the Companyâ€™s issued share capital.</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notification set out below is provided in accordance with the requirements of the EU Market Abuse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1</w:t>
            </w:r>
          </w:p>
        </w:tc>
        <w:tc>
          <w:tcPr>
            <w:tcW w:w="115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1"/>
                <w:szCs w:val="21"/>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Name</w:t>
            </w:r>
          </w:p>
        </w:tc>
        <w:tc>
          <w:tcPr>
            <w:tcW w:w="51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David Ebsworth</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2</w:t>
            </w:r>
          </w:p>
        </w:tc>
        <w:tc>
          <w:tcPr>
            <w:tcW w:w="6380" w:type="dxa"/>
            <w:vAlign w:val="bottom"/>
          </w:tcPr>
          <w:p>
            <w:pPr>
              <w:ind w:left="80"/>
              <w:spacing w:after="0"/>
              <w:rPr>
                <w:sz w:val="20"/>
                <w:szCs w:val="20"/>
                <w:color w:val="auto"/>
              </w:rPr>
            </w:pPr>
            <w:r>
              <w:rPr>
                <w:rFonts w:ascii="Arial" w:cs="Arial" w:eastAsia="Arial" w:hAnsi="Arial"/>
                <w:sz w:val="21"/>
                <w:szCs w:val="21"/>
                <w:b w:val="1"/>
                <w:bCs w:val="1"/>
                <w:color w:val="auto"/>
              </w:rPr>
              <w:t>Reason for the notification</w:t>
            </w:r>
          </w:p>
        </w:tc>
        <w:tc>
          <w:tcPr>
            <w:tcW w:w="5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vMerge w:val="restart"/>
          </w:tcPr>
          <w:p>
            <w:pPr>
              <w:ind w:left="80"/>
              <w:spacing w:after="0"/>
              <w:rPr>
                <w:sz w:val="20"/>
                <w:szCs w:val="20"/>
                <w:color w:val="auto"/>
              </w:rPr>
            </w:pPr>
            <w:r>
              <w:rPr>
                <w:rFonts w:ascii="Arial" w:cs="Arial" w:eastAsia="Arial" w:hAnsi="Arial"/>
                <w:sz w:val="21"/>
                <w:szCs w:val="21"/>
                <w:color w:val="auto"/>
              </w:rPr>
              <w:t>Position/status</w:t>
            </w:r>
          </w:p>
        </w:tc>
        <w:tc>
          <w:tcPr>
            <w:tcW w:w="51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Chairman</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right w:val="single" w:sz="8" w:color="auto"/>
            </w:tcBorders>
          </w:tcPr>
          <w:p>
            <w:pPr>
              <w:spacing w:after="0"/>
              <w:rPr>
                <w:sz w:val="21"/>
                <w:szCs w:val="21"/>
                <w:color w:val="auto"/>
              </w:rPr>
            </w:pPr>
          </w:p>
        </w:tc>
        <w:tc>
          <w:tcPr>
            <w:tcW w:w="6380" w:type="dxa"/>
            <w:vAlign w:val="bottom"/>
            <w:tcBorders>
              <w:right w:val="single" w:sz="8" w:color="auto"/>
            </w:tcBorders>
            <w:vMerge w:val="continue"/>
          </w:tcPr>
          <w:p>
            <w:pPr>
              <w:spacing w:after="0"/>
              <w:rPr>
                <w:sz w:val="21"/>
                <w:szCs w:val="21"/>
                <w:color w:val="auto"/>
              </w:rPr>
            </w:pPr>
          </w:p>
        </w:tc>
        <w:tc>
          <w:tcPr>
            <w:tcW w:w="5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Initial notification/Amendment</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Initial notification</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3</w:t>
            </w:r>
          </w:p>
        </w:tc>
        <w:tc>
          <w:tcPr>
            <w:tcW w:w="11520" w:type="dxa"/>
            <w:vAlign w:val="bottom"/>
            <w:tcBorders>
              <w:right w:val="single" w:sz="8" w:color="auto"/>
            </w:tcBorders>
            <w:gridSpan w:val="2"/>
          </w:tcPr>
          <w:p>
            <w:pPr>
              <w:ind w:left="80"/>
              <w:spacing w:after="0"/>
              <w:rPr>
                <w:sz w:val="20"/>
                <w:szCs w:val="20"/>
                <w:color w:val="auto"/>
              </w:rPr>
            </w:pPr>
            <w:r>
              <w:rPr>
                <w:rFonts w:ascii="Arial" w:cs="Arial" w:eastAsia="Arial" w:hAnsi="Arial"/>
                <w:sz w:val="21"/>
                <w:szCs w:val="21"/>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Name</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Verona Pharma plc</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638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LEI</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213800EVI6O6J3TIAL06</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440" w:right="100"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4</w:t>
            </w:r>
          </w:p>
        </w:tc>
        <w:tc>
          <w:tcPr>
            <w:tcW w:w="115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21"/>
                <w:szCs w:val="21"/>
                <w:b w:val="1"/>
                <w:bCs w:val="1"/>
                <w:color w:val="auto"/>
                <w:w w:val="99"/>
              </w:rPr>
              <w:t>Details of the transaction(s): section to be repeated for (i) each type of instrument; (ii) each type of transaction; (iii)</w:t>
            </w:r>
          </w:p>
        </w:tc>
        <w:tc>
          <w:tcPr>
            <w:tcW w:w="0" w:type="dxa"/>
            <w:vAlign w:val="bottom"/>
          </w:tcPr>
          <w:p>
            <w:pPr>
              <w:spacing w:after="0"/>
              <w:rPr>
                <w:sz w:val="1"/>
                <w:szCs w:val="1"/>
                <w:color w:val="auto"/>
              </w:rPr>
            </w:pPr>
          </w:p>
        </w:tc>
      </w:tr>
      <w:tr>
        <w:trPr>
          <w:trHeight w:val="277"/>
        </w:trPr>
        <w:tc>
          <w:tcPr>
            <w:tcW w:w="500" w:type="dxa"/>
            <w:vAlign w:val="bottom"/>
            <w:tcBorders>
              <w:left w:val="single" w:sz="8" w:color="auto"/>
              <w:right w:val="single" w:sz="8" w:color="auto"/>
            </w:tcBorders>
          </w:tcPr>
          <w:p>
            <w:pPr>
              <w:spacing w:after="0"/>
              <w:rPr>
                <w:sz w:val="24"/>
                <w:szCs w:val="24"/>
                <w:color w:val="auto"/>
              </w:rPr>
            </w:pPr>
          </w:p>
        </w:tc>
        <w:tc>
          <w:tcPr>
            <w:tcW w:w="11520" w:type="dxa"/>
            <w:vAlign w:val="bottom"/>
            <w:tcBorders>
              <w:right w:val="single" w:sz="8" w:color="auto"/>
            </w:tcBorders>
            <w:gridSpan w:val="4"/>
          </w:tcPr>
          <w:p>
            <w:pPr>
              <w:ind w:left="80"/>
              <w:spacing w:after="0"/>
              <w:rPr>
                <w:sz w:val="20"/>
                <w:szCs w:val="20"/>
                <w:color w:val="auto"/>
              </w:rPr>
            </w:pPr>
            <w:r>
              <w:rPr>
                <w:rFonts w:ascii="Arial" w:cs="Arial" w:eastAsia="Arial" w:hAnsi="Arial"/>
                <w:sz w:val="21"/>
                <w:szCs w:val="21"/>
                <w:b w:val="1"/>
                <w:bCs w:val="1"/>
                <w:color w:val="auto"/>
              </w:rPr>
              <w:t>each date; and (iv) each place where transactions have been conducted</w:t>
            </w: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56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Description of the financial instrument, type of instrument</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Ordinary Shares of 5 pence each</w:t>
            </w:r>
          </w:p>
        </w:tc>
        <w:tc>
          <w:tcPr>
            <w:tcW w:w="0" w:type="dxa"/>
            <w:vAlign w:val="bottom"/>
          </w:tcPr>
          <w:p>
            <w:pPr>
              <w:spacing w:after="0"/>
              <w:rPr>
                <w:sz w:val="1"/>
                <w:szCs w:val="1"/>
                <w:color w:val="auto"/>
              </w:rPr>
            </w:pPr>
          </w:p>
        </w:tc>
      </w:tr>
      <w:tr>
        <w:trPr>
          <w:trHeight w:val="314"/>
        </w:trPr>
        <w:tc>
          <w:tcPr>
            <w:tcW w:w="500" w:type="dxa"/>
            <w:vAlign w:val="bottom"/>
            <w:tcBorders>
              <w:left w:val="single" w:sz="8" w:color="auto"/>
              <w:right w:val="single" w:sz="8" w:color="auto"/>
            </w:tcBorders>
          </w:tcPr>
          <w:p>
            <w:pPr>
              <w:spacing w:after="0"/>
              <w:rPr>
                <w:sz w:val="24"/>
                <w:szCs w:val="24"/>
                <w:color w:val="auto"/>
              </w:rPr>
            </w:pPr>
          </w:p>
        </w:tc>
        <w:tc>
          <w:tcPr>
            <w:tcW w:w="5620" w:type="dxa"/>
            <w:vAlign w:val="bottom"/>
            <w:gridSpan w:val="2"/>
            <w:vMerge w:val="restart"/>
          </w:tcPr>
          <w:p>
            <w:pPr>
              <w:ind w:left="80"/>
              <w:spacing w:after="0"/>
              <w:rPr>
                <w:sz w:val="20"/>
                <w:szCs w:val="20"/>
                <w:color w:val="auto"/>
              </w:rPr>
            </w:pPr>
            <w:r>
              <w:rPr>
                <w:rFonts w:ascii="Arial" w:cs="Arial" w:eastAsia="Arial" w:hAnsi="Arial"/>
                <w:sz w:val="21"/>
                <w:szCs w:val="21"/>
                <w:color w:val="auto"/>
              </w:rPr>
              <w:t>Identification code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GB00BYW2KH80</w:t>
            </w:r>
          </w:p>
        </w:tc>
        <w:tc>
          <w:tcPr>
            <w:tcW w:w="0" w:type="dxa"/>
            <w:vAlign w:val="bottom"/>
          </w:tcPr>
          <w:p>
            <w:pPr>
              <w:spacing w:after="0"/>
              <w:rPr>
                <w:sz w:val="1"/>
                <w:szCs w:val="1"/>
                <w:color w:val="auto"/>
              </w:rPr>
            </w:pPr>
          </w:p>
        </w:tc>
      </w:tr>
      <w:tr>
        <w:trPr>
          <w:trHeight w:val="86"/>
        </w:trPr>
        <w:tc>
          <w:tcPr>
            <w:tcW w:w="500" w:type="dxa"/>
            <w:vAlign w:val="bottom"/>
            <w:tcBorders>
              <w:left w:val="single" w:sz="8" w:color="auto"/>
              <w:right w:val="single" w:sz="8" w:color="auto"/>
            </w:tcBorders>
          </w:tcPr>
          <w:p>
            <w:pPr>
              <w:spacing w:after="0"/>
              <w:rPr>
                <w:sz w:val="7"/>
                <w:szCs w:val="7"/>
                <w:color w:val="auto"/>
              </w:rPr>
            </w:pPr>
          </w:p>
        </w:tc>
        <w:tc>
          <w:tcPr>
            <w:tcW w:w="5620" w:type="dxa"/>
            <w:vAlign w:val="bottom"/>
            <w:gridSpan w:val="2"/>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5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Nature of the transaction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David Ebsworth purchased 17,500 Ordinary Shares</w:t>
            </w:r>
          </w:p>
        </w:tc>
        <w:tc>
          <w:tcPr>
            <w:tcW w:w="0" w:type="dxa"/>
            <w:vAlign w:val="bottom"/>
          </w:tcPr>
          <w:p>
            <w:pPr>
              <w:spacing w:after="0"/>
              <w:rPr>
                <w:sz w:val="1"/>
                <w:szCs w:val="1"/>
                <w:color w:val="auto"/>
              </w:rPr>
            </w:pPr>
          </w:p>
        </w:tc>
      </w:tr>
      <w:tr>
        <w:trPr>
          <w:trHeight w:val="5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c)</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Price(s) and volume(s)</w:t>
            </w:r>
          </w:p>
        </w:tc>
        <w:tc>
          <w:tcPr>
            <w:tcW w:w="74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Price(s) : 57.00 pence per Ordinary Share</w:t>
            </w:r>
          </w:p>
        </w:tc>
        <w:tc>
          <w:tcPr>
            <w:tcW w:w="0" w:type="dxa"/>
            <w:vAlign w:val="bottom"/>
          </w:tcPr>
          <w:p>
            <w:pPr>
              <w:spacing w:after="0"/>
              <w:rPr>
                <w:sz w:val="1"/>
                <w:szCs w:val="1"/>
                <w:color w:val="auto"/>
              </w:rPr>
            </w:pPr>
          </w:p>
        </w:tc>
      </w:tr>
      <w:tr>
        <w:trPr>
          <w:trHeight w:val="251"/>
        </w:trPr>
        <w:tc>
          <w:tcPr>
            <w:tcW w:w="500" w:type="dxa"/>
            <w:vAlign w:val="bottom"/>
            <w:tcBorders>
              <w:left w:val="single" w:sz="8" w:color="auto"/>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Volume(s) : 17,500 Ordinary Shares</w:t>
            </w:r>
          </w:p>
        </w:tc>
        <w:tc>
          <w:tcPr>
            <w:tcW w:w="0" w:type="dxa"/>
            <w:vAlign w:val="bottom"/>
          </w:tcPr>
          <w:p>
            <w:pPr>
              <w:spacing w:after="0"/>
              <w:rPr>
                <w:sz w:val="1"/>
                <w:szCs w:val="1"/>
                <w:color w:val="auto"/>
              </w:rPr>
            </w:pPr>
          </w:p>
        </w:tc>
      </w:tr>
      <w:tr>
        <w:trPr>
          <w:trHeight w:val="5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d)</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Aggregated information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w:t>
            </w:r>
          </w:p>
        </w:tc>
        <w:tc>
          <w:tcPr>
            <w:tcW w:w="0" w:type="dxa"/>
            <w:vAlign w:val="bottom"/>
          </w:tcPr>
          <w:p>
            <w:pPr>
              <w:spacing w:after="0"/>
              <w:rPr>
                <w:sz w:val="1"/>
                <w:szCs w:val="1"/>
                <w:color w:val="auto"/>
              </w:rPr>
            </w:pPr>
          </w:p>
        </w:tc>
      </w:tr>
      <w:tr>
        <w:trPr>
          <w:trHeight w:val="342"/>
        </w:trPr>
        <w:tc>
          <w:tcPr>
            <w:tcW w:w="50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1"/>
                <w:szCs w:val="21"/>
                <w:color w:val="auto"/>
              </w:rPr>
              <w:t>-</w:t>
            </w:r>
          </w:p>
        </w:tc>
        <w:tc>
          <w:tcPr>
            <w:tcW w:w="5220" w:type="dxa"/>
            <w:vAlign w:val="bottom"/>
          </w:tcPr>
          <w:p>
            <w:pPr>
              <w:ind w:left="280"/>
              <w:spacing w:after="0"/>
              <w:rPr>
                <w:sz w:val="20"/>
                <w:szCs w:val="20"/>
                <w:color w:val="auto"/>
              </w:rPr>
            </w:pPr>
            <w:r>
              <w:rPr>
                <w:rFonts w:ascii="Arial" w:cs="Arial" w:eastAsia="Arial" w:hAnsi="Arial"/>
                <w:sz w:val="21"/>
                <w:szCs w:val="21"/>
                <w:color w:val="auto"/>
              </w:rPr>
              <w:t>Aggregated volume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1"/>
                <w:szCs w:val="21"/>
                <w:color w:val="auto"/>
              </w:rPr>
              <w:t>-</w:t>
            </w:r>
          </w:p>
        </w:tc>
        <w:tc>
          <w:tcPr>
            <w:tcW w:w="5220" w:type="dxa"/>
            <w:vAlign w:val="bottom"/>
          </w:tcPr>
          <w:p>
            <w:pPr>
              <w:ind w:left="280"/>
              <w:spacing w:after="0"/>
              <w:rPr>
                <w:sz w:val="20"/>
                <w:szCs w:val="20"/>
                <w:color w:val="auto"/>
              </w:rPr>
            </w:pPr>
            <w:r>
              <w:rPr>
                <w:rFonts w:ascii="Arial" w:cs="Arial" w:eastAsia="Arial" w:hAnsi="Arial"/>
                <w:sz w:val="21"/>
                <w:szCs w:val="21"/>
                <w:color w:val="auto"/>
              </w:rPr>
              <w:t>Price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e)</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Date of the transaction</w:t>
            </w:r>
          </w:p>
        </w:tc>
        <w:tc>
          <w:tcPr>
            <w:tcW w:w="74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8 March 2019</w:t>
            </w:r>
          </w:p>
        </w:tc>
        <w:tc>
          <w:tcPr>
            <w:tcW w:w="0" w:type="dxa"/>
            <w:vAlign w:val="bottom"/>
          </w:tcPr>
          <w:p>
            <w:pPr>
              <w:spacing w:after="0"/>
              <w:rPr>
                <w:sz w:val="1"/>
                <w:szCs w:val="1"/>
                <w:color w:val="auto"/>
              </w:rPr>
            </w:pPr>
          </w:p>
        </w:tc>
      </w:tr>
      <w:tr>
        <w:trPr>
          <w:trHeight w:val="3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f)</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Place of the transaction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London Stock Exchange, AIM</w:t>
            </w:r>
          </w:p>
        </w:tc>
        <w:tc>
          <w:tcPr>
            <w:tcW w:w="0" w:type="dxa"/>
            <w:vAlign w:val="bottom"/>
          </w:tcPr>
          <w:p>
            <w:pPr>
              <w:spacing w:after="0"/>
              <w:rPr>
                <w:sz w:val="1"/>
                <w:szCs w:val="1"/>
                <w:color w:val="auto"/>
              </w:rPr>
            </w:pPr>
          </w:p>
        </w:tc>
      </w:tr>
      <w:tr>
        <w:trPr>
          <w:trHeight w:val="4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120" w:type="dxa"/>
            <w:vAlign w:val="bottom"/>
            <w:gridSpan w:val="3"/>
          </w:tcPr>
          <w:p>
            <w:pPr>
              <w:spacing w:after="0"/>
              <w:rPr>
                <w:sz w:val="20"/>
                <w:szCs w:val="20"/>
                <w:color w:val="auto"/>
              </w:rPr>
            </w:pPr>
            <w:r>
              <w:rPr>
                <w:rFonts w:ascii="Arial" w:cs="Arial" w:eastAsia="Arial" w:hAnsi="Arial"/>
                <w:sz w:val="19"/>
                <w:szCs w:val="19"/>
                <w:b w:val="1"/>
                <w:bCs w:val="1"/>
                <w:color w:val="auto"/>
              </w:rPr>
              <w:t>For further information, please contact:</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Verona Pharma plc</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Tel: +44 (0)20 3283 4200</w:t>
            </w:r>
          </w:p>
        </w:tc>
        <w:tc>
          <w:tcPr>
            <w:tcW w:w="0" w:type="dxa"/>
            <w:vAlign w:val="bottom"/>
          </w:tcPr>
          <w:p>
            <w:pPr>
              <w:spacing w:after="0"/>
              <w:rPr>
                <w:sz w:val="1"/>
                <w:szCs w:val="1"/>
                <w:color w:val="auto"/>
              </w:rPr>
            </w:pPr>
          </w:p>
        </w:tc>
      </w:tr>
      <w:tr>
        <w:trPr>
          <w:trHeight w:val="271"/>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Jan-Anders Karlsson, Chief Executive Officer</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info@veronapharma.com</w:t>
            </w:r>
          </w:p>
        </w:tc>
        <w:tc>
          <w:tcPr>
            <w:tcW w:w="0" w:type="dxa"/>
            <w:vAlign w:val="bottom"/>
          </w:tcPr>
          <w:p>
            <w:pPr>
              <w:spacing w:after="0"/>
              <w:rPr>
                <w:sz w:val="1"/>
                <w:szCs w:val="1"/>
                <w:color w:val="auto"/>
              </w:rPr>
            </w:pPr>
          </w:p>
        </w:tc>
      </w:tr>
      <w:tr>
        <w:trPr>
          <w:trHeight w:val="285"/>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Victoria Stewart, Director of Communications</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Stifel Nicolaus Europe Limited (Nominated Adviser</w:t>
            </w:r>
          </w:p>
        </w:tc>
        <w:tc>
          <w:tcPr>
            <w:tcW w:w="74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and UK Broker)</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Tel: +44 (0) 20 7710 7600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Stewart Wallace / Jonathan Senior / Ben Maddison</w:t>
      </w:r>
    </w:p>
    <w:p>
      <w:pPr>
        <w:sectPr>
          <w:pgSz w:w="12240" w:h="15840" w:orient="portrait"/>
          <w:cols w:equalWidth="0" w:num="1">
            <w:col w:w="12020"/>
          </w:cols>
          <w:pgMar w:left="120" w:top="379" w:right="10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1472565</wp:posOffset>
            </wp:positionV>
            <wp:extent cx="7650480" cy="4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50480" cy="43815"/>
                    </a:xfrm>
                    <a:prstGeom prst="rect">
                      <a:avLst/>
                    </a:prstGeom>
                    <a:noFill/>
                  </pic:spPr>
                </pic:pic>
              </a:graphicData>
            </a:graphic>
          </wp:anchor>
        </w:drawing>
        <w:drawing>
          <wp:anchor simplePos="0" relativeHeight="251657728" behindDoc="1" locked="0" layoutInCell="0" allowOverlap="1">
            <wp:simplePos x="0" y="0"/>
            <wp:positionH relativeFrom="page">
              <wp:posOffset>5587365</wp:posOffset>
            </wp:positionH>
            <wp:positionV relativeFrom="page">
              <wp:posOffset>0</wp:posOffset>
            </wp:positionV>
            <wp:extent cx="2110105"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101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PDMR Dealing</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March 5, 2019, LONDON - Verona Pharma plc (AIM:VRP) (Nasdaq:VRNA) (â€œVerona Pharmaâ€ ), a clinical-stage biopharmaceutical company focused on developing and commercializing innovative therapies for respiratory diseases, announces that, on March 4, 2019, Dr. David Ebsworth, Chairman of the Company, purchased 43,800 ordinary shares of 5 pence each in the Company (the â€œOrdinary Sharesâ€ ) at a price of 57.00 pence per Ordinary Share and a total purchase price of Â£24,966. Following the acquisition, Dr. Ebsworth will have an interest in the Company of 191,587 Ordinary Shares, representing 0.18% of the Companyâ€™s issued share capital.</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notification set out below is provided in accordance with the requirements of the EU Market Abuse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1</w:t>
            </w:r>
          </w:p>
        </w:tc>
        <w:tc>
          <w:tcPr>
            <w:tcW w:w="115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1"/>
                <w:szCs w:val="21"/>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Name</w:t>
            </w:r>
          </w:p>
        </w:tc>
        <w:tc>
          <w:tcPr>
            <w:tcW w:w="51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David Ebsworth</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2</w:t>
            </w:r>
          </w:p>
        </w:tc>
        <w:tc>
          <w:tcPr>
            <w:tcW w:w="6380" w:type="dxa"/>
            <w:vAlign w:val="bottom"/>
          </w:tcPr>
          <w:p>
            <w:pPr>
              <w:ind w:left="80"/>
              <w:spacing w:after="0"/>
              <w:rPr>
                <w:sz w:val="20"/>
                <w:szCs w:val="20"/>
                <w:color w:val="auto"/>
              </w:rPr>
            </w:pPr>
            <w:r>
              <w:rPr>
                <w:rFonts w:ascii="Arial" w:cs="Arial" w:eastAsia="Arial" w:hAnsi="Arial"/>
                <w:sz w:val="21"/>
                <w:szCs w:val="21"/>
                <w:b w:val="1"/>
                <w:bCs w:val="1"/>
                <w:color w:val="auto"/>
              </w:rPr>
              <w:t>Reason for the notification</w:t>
            </w:r>
          </w:p>
        </w:tc>
        <w:tc>
          <w:tcPr>
            <w:tcW w:w="5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vMerge w:val="restart"/>
          </w:tcPr>
          <w:p>
            <w:pPr>
              <w:ind w:left="80"/>
              <w:spacing w:after="0"/>
              <w:rPr>
                <w:sz w:val="20"/>
                <w:szCs w:val="20"/>
                <w:color w:val="auto"/>
              </w:rPr>
            </w:pPr>
            <w:r>
              <w:rPr>
                <w:rFonts w:ascii="Arial" w:cs="Arial" w:eastAsia="Arial" w:hAnsi="Arial"/>
                <w:sz w:val="21"/>
                <w:szCs w:val="21"/>
                <w:color w:val="auto"/>
              </w:rPr>
              <w:t>Position/status</w:t>
            </w:r>
          </w:p>
        </w:tc>
        <w:tc>
          <w:tcPr>
            <w:tcW w:w="51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Chairman</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right w:val="single" w:sz="8" w:color="auto"/>
            </w:tcBorders>
          </w:tcPr>
          <w:p>
            <w:pPr>
              <w:spacing w:after="0"/>
              <w:rPr>
                <w:sz w:val="21"/>
                <w:szCs w:val="21"/>
                <w:color w:val="auto"/>
              </w:rPr>
            </w:pPr>
          </w:p>
        </w:tc>
        <w:tc>
          <w:tcPr>
            <w:tcW w:w="6380" w:type="dxa"/>
            <w:vAlign w:val="bottom"/>
            <w:tcBorders>
              <w:right w:val="single" w:sz="8" w:color="auto"/>
            </w:tcBorders>
            <w:vMerge w:val="continue"/>
          </w:tcPr>
          <w:p>
            <w:pPr>
              <w:spacing w:after="0"/>
              <w:rPr>
                <w:sz w:val="21"/>
                <w:szCs w:val="21"/>
                <w:color w:val="auto"/>
              </w:rPr>
            </w:pPr>
          </w:p>
        </w:tc>
        <w:tc>
          <w:tcPr>
            <w:tcW w:w="5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Initial notification/Amendment</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Initial notification</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3</w:t>
            </w:r>
          </w:p>
        </w:tc>
        <w:tc>
          <w:tcPr>
            <w:tcW w:w="11520" w:type="dxa"/>
            <w:vAlign w:val="bottom"/>
            <w:tcBorders>
              <w:right w:val="single" w:sz="8" w:color="auto"/>
            </w:tcBorders>
            <w:gridSpan w:val="2"/>
          </w:tcPr>
          <w:p>
            <w:pPr>
              <w:ind w:left="80"/>
              <w:spacing w:after="0"/>
              <w:rPr>
                <w:sz w:val="20"/>
                <w:szCs w:val="20"/>
                <w:color w:val="auto"/>
              </w:rPr>
            </w:pPr>
            <w:r>
              <w:rPr>
                <w:rFonts w:ascii="Arial" w:cs="Arial" w:eastAsia="Arial" w:hAnsi="Arial"/>
                <w:sz w:val="21"/>
                <w:szCs w:val="21"/>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Name</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Verona Pharma plc</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638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LEI</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213800EVI6O6J3TIAL06</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440" w:right="100"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4</w:t>
            </w:r>
          </w:p>
        </w:tc>
        <w:tc>
          <w:tcPr>
            <w:tcW w:w="115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21"/>
                <w:szCs w:val="21"/>
                <w:b w:val="1"/>
                <w:bCs w:val="1"/>
                <w:color w:val="auto"/>
                <w:w w:val="99"/>
              </w:rPr>
              <w:t>Details of the transaction(s): section to be repeated for (i) each type of instrument; (ii) each type of transaction; (iii)</w:t>
            </w:r>
          </w:p>
        </w:tc>
        <w:tc>
          <w:tcPr>
            <w:tcW w:w="0" w:type="dxa"/>
            <w:vAlign w:val="bottom"/>
          </w:tcPr>
          <w:p>
            <w:pPr>
              <w:spacing w:after="0"/>
              <w:rPr>
                <w:sz w:val="1"/>
                <w:szCs w:val="1"/>
                <w:color w:val="auto"/>
              </w:rPr>
            </w:pPr>
          </w:p>
        </w:tc>
      </w:tr>
      <w:tr>
        <w:trPr>
          <w:trHeight w:val="277"/>
        </w:trPr>
        <w:tc>
          <w:tcPr>
            <w:tcW w:w="500" w:type="dxa"/>
            <w:vAlign w:val="bottom"/>
            <w:tcBorders>
              <w:left w:val="single" w:sz="8" w:color="auto"/>
              <w:right w:val="single" w:sz="8" w:color="auto"/>
            </w:tcBorders>
          </w:tcPr>
          <w:p>
            <w:pPr>
              <w:spacing w:after="0"/>
              <w:rPr>
                <w:sz w:val="24"/>
                <w:szCs w:val="24"/>
                <w:color w:val="auto"/>
              </w:rPr>
            </w:pPr>
          </w:p>
        </w:tc>
        <w:tc>
          <w:tcPr>
            <w:tcW w:w="11520" w:type="dxa"/>
            <w:vAlign w:val="bottom"/>
            <w:tcBorders>
              <w:right w:val="single" w:sz="8" w:color="auto"/>
            </w:tcBorders>
            <w:gridSpan w:val="4"/>
          </w:tcPr>
          <w:p>
            <w:pPr>
              <w:ind w:left="80"/>
              <w:spacing w:after="0"/>
              <w:rPr>
                <w:sz w:val="20"/>
                <w:szCs w:val="20"/>
                <w:color w:val="auto"/>
              </w:rPr>
            </w:pPr>
            <w:r>
              <w:rPr>
                <w:rFonts w:ascii="Arial" w:cs="Arial" w:eastAsia="Arial" w:hAnsi="Arial"/>
                <w:sz w:val="21"/>
                <w:szCs w:val="21"/>
                <w:b w:val="1"/>
                <w:bCs w:val="1"/>
                <w:color w:val="auto"/>
              </w:rPr>
              <w:t>each date; and (iv) each place where transactions have been conducted</w:t>
            </w: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56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Description of the financial instrument, type of instrument</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Ordinary Shares of 5 pence each</w:t>
            </w:r>
          </w:p>
        </w:tc>
        <w:tc>
          <w:tcPr>
            <w:tcW w:w="0" w:type="dxa"/>
            <w:vAlign w:val="bottom"/>
          </w:tcPr>
          <w:p>
            <w:pPr>
              <w:spacing w:after="0"/>
              <w:rPr>
                <w:sz w:val="1"/>
                <w:szCs w:val="1"/>
                <w:color w:val="auto"/>
              </w:rPr>
            </w:pPr>
          </w:p>
        </w:tc>
      </w:tr>
      <w:tr>
        <w:trPr>
          <w:trHeight w:val="314"/>
        </w:trPr>
        <w:tc>
          <w:tcPr>
            <w:tcW w:w="500" w:type="dxa"/>
            <w:vAlign w:val="bottom"/>
            <w:tcBorders>
              <w:left w:val="single" w:sz="8" w:color="auto"/>
              <w:right w:val="single" w:sz="8" w:color="auto"/>
            </w:tcBorders>
          </w:tcPr>
          <w:p>
            <w:pPr>
              <w:spacing w:after="0"/>
              <w:rPr>
                <w:sz w:val="24"/>
                <w:szCs w:val="24"/>
                <w:color w:val="auto"/>
              </w:rPr>
            </w:pPr>
          </w:p>
        </w:tc>
        <w:tc>
          <w:tcPr>
            <w:tcW w:w="5620" w:type="dxa"/>
            <w:vAlign w:val="bottom"/>
            <w:gridSpan w:val="2"/>
            <w:vMerge w:val="restart"/>
          </w:tcPr>
          <w:p>
            <w:pPr>
              <w:ind w:left="80"/>
              <w:spacing w:after="0"/>
              <w:rPr>
                <w:sz w:val="20"/>
                <w:szCs w:val="20"/>
                <w:color w:val="auto"/>
              </w:rPr>
            </w:pPr>
            <w:r>
              <w:rPr>
                <w:rFonts w:ascii="Arial" w:cs="Arial" w:eastAsia="Arial" w:hAnsi="Arial"/>
                <w:sz w:val="21"/>
                <w:szCs w:val="21"/>
                <w:color w:val="auto"/>
              </w:rPr>
              <w:t>Identification code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GB00BYW2KH80</w:t>
            </w:r>
          </w:p>
        </w:tc>
        <w:tc>
          <w:tcPr>
            <w:tcW w:w="0" w:type="dxa"/>
            <w:vAlign w:val="bottom"/>
          </w:tcPr>
          <w:p>
            <w:pPr>
              <w:spacing w:after="0"/>
              <w:rPr>
                <w:sz w:val="1"/>
                <w:szCs w:val="1"/>
                <w:color w:val="auto"/>
              </w:rPr>
            </w:pPr>
          </w:p>
        </w:tc>
      </w:tr>
      <w:tr>
        <w:trPr>
          <w:trHeight w:val="86"/>
        </w:trPr>
        <w:tc>
          <w:tcPr>
            <w:tcW w:w="500" w:type="dxa"/>
            <w:vAlign w:val="bottom"/>
            <w:tcBorders>
              <w:left w:val="single" w:sz="8" w:color="auto"/>
              <w:right w:val="single" w:sz="8" w:color="auto"/>
            </w:tcBorders>
          </w:tcPr>
          <w:p>
            <w:pPr>
              <w:spacing w:after="0"/>
              <w:rPr>
                <w:sz w:val="7"/>
                <w:szCs w:val="7"/>
                <w:color w:val="auto"/>
              </w:rPr>
            </w:pPr>
          </w:p>
        </w:tc>
        <w:tc>
          <w:tcPr>
            <w:tcW w:w="5620" w:type="dxa"/>
            <w:vAlign w:val="bottom"/>
            <w:gridSpan w:val="2"/>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5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Nature of the transaction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David Ebsworth purchased 43,800 Ordinary Shares</w:t>
            </w:r>
          </w:p>
        </w:tc>
        <w:tc>
          <w:tcPr>
            <w:tcW w:w="0" w:type="dxa"/>
            <w:vAlign w:val="bottom"/>
          </w:tcPr>
          <w:p>
            <w:pPr>
              <w:spacing w:after="0"/>
              <w:rPr>
                <w:sz w:val="1"/>
                <w:szCs w:val="1"/>
                <w:color w:val="auto"/>
              </w:rPr>
            </w:pPr>
          </w:p>
        </w:tc>
      </w:tr>
      <w:tr>
        <w:trPr>
          <w:trHeight w:val="5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c)</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Price(s) and volume(s)</w:t>
            </w:r>
          </w:p>
        </w:tc>
        <w:tc>
          <w:tcPr>
            <w:tcW w:w="74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Price(s) : 57.00 pence per Ordinary Share</w:t>
            </w:r>
          </w:p>
        </w:tc>
        <w:tc>
          <w:tcPr>
            <w:tcW w:w="0" w:type="dxa"/>
            <w:vAlign w:val="bottom"/>
          </w:tcPr>
          <w:p>
            <w:pPr>
              <w:spacing w:after="0"/>
              <w:rPr>
                <w:sz w:val="1"/>
                <w:szCs w:val="1"/>
                <w:color w:val="auto"/>
              </w:rPr>
            </w:pPr>
          </w:p>
        </w:tc>
      </w:tr>
      <w:tr>
        <w:trPr>
          <w:trHeight w:val="251"/>
        </w:trPr>
        <w:tc>
          <w:tcPr>
            <w:tcW w:w="500" w:type="dxa"/>
            <w:vAlign w:val="bottom"/>
            <w:tcBorders>
              <w:left w:val="single" w:sz="8" w:color="auto"/>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Volume(s) : 43,800 Ordinary Shares</w:t>
            </w:r>
          </w:p>
        </w:tc>
        <w:tc>
          <w:tcPr>
            <w:tcW w:w="0" w:type="dxa"/>
            <w:vAlign w:val="bottom"/>
          </w:tcPr>
          <w:p>
            <w:pPr>
              <w:spacing w:after="0"/>
              <w:rPr>
                <w:sz w:val="1"/>
                <w:szCs w:val="1"/>
                <w:color w:val="auto"/>
              </w:rPr>
            </w:pPr>
          </w:p>
        </w:tc>
      </w:tr>
      <w:tr>
        <w:trPr>
          <w:trHeight w:val="5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d)</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Aggregated information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w:t>
            </w:r>
          </w:p>
        </w:tc>
        <w:tc>
          <w:tcPr>
            <w:tcW w:w="0" w:type="dxa"/>
            <w:vAlign w:val="bottom"/>
          </w:tcPr>
          <w:p>
            <w:pPr>
              <w:spacing w:after="0"/>
              <w:rPr>
                <w:sz w:val="1"/>
                <w:szCs w:val="1"/>
                <w:color w:val="auto"/>
              </w:rPr>
            </w:pPr>
          </w:p>
        </w:tc>
      </w:tr>
      <w:tr>
        <w:trPr>
          <w:trHeight w:val="342"/>
        </w:trPr>
        <w:tc>
          <w:tcPr>
            <w:tcW w:w="50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1"/>
                <w:szCs w:val="21"/>
                <w:color w:val="auto"/>
              </w:rPr>
              <w:t>-</w:t>
            </w:r>
          </w:p>
        </w:tc>
        <w:tc>
          <w:tcPr>
            <w:tcW w:w="5220" w:type="dxa"/>
            <w:vAlign w:val="bottom"/>
          </w:tcPr>
          <w:p>
            <w:pPr>
              <w:ind w:left="280"/>
              <w:spacing w:after="0"/>
              <w:rPr>
                <w:sz w:val="20"/>
                <w:szCs w:val="20"/>
                <w:color w:val="auto"/>
              </w:rPr>
            </w:pPr>
            <w:r>
              <w:rPr>
                <w:rFonts w:ascii="Arial" w:cs="Arial" w:eastAsia="Arial" w:hAnsi="Arial"/>
                <w:sz w:val="21"/>
                <w:szCs w:val="21"/>
                <w:color w:val="auto"/>
              </w:rPr>
              <w:t>Aggregated volume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1"/>
                <w:szCs w:val="21"/>
                <w:color w:val="auto"/>
              </w:rPr>
              <w:t>-</w:t>
            </w:r>
          </w:p>
        </w:tc>
        <w:tc>
          <w:tcPr>
            <w:tcW w:w="5220" w:type="dxa"/>
            <w:vAlign w:val="bottom"/>
          </w:tcPr>
          <w:p>
            <w:pPr>
              <w:ind w:left="280"/>
              <w:spacing w:after="0"/>
              <w:rPr>
                <w:sz w:val="20"/>
                <w:szCs w:val="20"/>
                <w:color w:val="auto"/>
              </w:rPr>
            </w:pPr>
            <w:r>
              <w:rPr>
                <w:rFonts w:ascii="Arial" w:cs="Arial" w:eastAsia="Arial" w:hAnsi="Arial"/>
                <w:sz w:val="21"/>
                <w:szCs w:val="21"/>
                <w:color w:val="auto"/>
              </w:rPr>
              <w:t>Price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e)</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Date of the transaction</w:t>
            </w:r>
          </w:p>
        </w:tc>
        <w:tc>
          <w:tcPr>
            <w:tcW w:w="74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4 March 2019</w:t>
            </w:r>
          </w:p>
        </w:tc>
        <w:tc>
          <w:tcPr>
            <w:tcW w:w="0" w:type="dxa"/>
            <w:vAlign w:val="bottom"/>
          </w:tcPr>
          <w:p>
            <w:pPr>
              <w:spacing w:after="0"/>
              <w:rPr>
                <w:sz w:val="1"/>
                <w:szCs w:val="1"/>
                <w:color w:val="auto"/>
              </w:rPr>
            </w:pPr>
          </w:p>
        </w:tc>
      </w:tr>
      <w:tr>
        <w:trPr>
          <w:trHeight w:val="3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f)</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Place of the transaction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London Stock Exchange, AIM</w:t>
            </w:r>
          </w:p>
        </w:tc>
        <w:tc>
          <w:tcPr>
            <w:tcW w:w="0" w:type="dxa"/>
            <w:vAlign w:val="bottom"/>
          </w:tcPr>
          <w:p>
            <w:pPr>
              <w:spacing w:after="0"/>
              <w:rPr>
                <w:sz w:val="1"/>
                <w:szCs w:val="1"/>
                <w:color w:val="auto"/>
              </w:rPr>
            </w:pPr>
          </w:p>
        </w:tc>
      </w:tr>
      <w:tr>
        <w:trPr>
          <w:trHeight w:val="4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120" w:type="dxa"/>
            <w:vAlign w:val="bottom"/>
            <w:gridSpan w:val="3"/>
          </w:tcPr>
          <w:p>
            <w:pPr>
              <w:spacing w:after="0"/>
              <w:rPr>
                <w:sz w:val="20"/>
                <w:szCs w:val="20"/>
                <w:color w:val="auto"/>
              </w:rPr>
            </w:pPr>
            <w:r>
              <w:rPr>
                <w:rFonts w:ascii="Arial" w:cs="Arial" w:eastAsia="Arial" w:hAnsi="Arial"/>
                <w:sz w:val="19"/>
                <w:szCs w:val="19"/>
                <w:b w:val="1"/>
                <w:bCs w:val="1"/>
                <w:color w:val="auto"/>
              </w:rPr>
              <w:t>For further information, please contact:</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Verona Pharma plc</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Tel: +44 (0)20 3283 4200</w:t>
            </w:r>
          </w:p>
        </w:tc>
        <w:tc>
          <w:tcPr>
            <w:tcW w:w="0" w:type="dxa"/>
            <w:vAlign w:val="bottom"/>
          </w:tcPr>
          <w:p>
            <w:pPr>
              <w:spacing w:after="0"/>
              <w:rPr>
                <w:sz w:val="1"/>
                <w:szCs w:val="1"/>
                <w:color w:val="auto"/>
              </w:rPr>
            </w:pPr>
          </w:p>
        </w:tc>
      </w:tr>
      <w:tr>
        <w:trPr>
          <w:trHeight w:val="271"/>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Jan-Anders Karlsson, Chief Executive Officer</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info@veronapharma.com</w:t>
            </w:r>
          </w:p>
        </w:tc>
        <w:tc>
          <w:tcPr>
            <w:tcW w:w="0" w:type="dxa"/>
            <w:vAlign w:val="bottom"/>
          </w:tcPr>
          <w:p>
            <w:pPr>
              <w:spacing w:after="0"/>
              <w:rPr>
                <w:sz w:val="1"/>
                <w:szCs w:val="1"/>
                <w:color w:val="auto"/>
              </w:rPr>
            </w:pPr>
          </w:p>
        </w:tc>
      </w:tr>
      <w:tr>
        <w:trPr>
          <w:trHeight w:val="285"/>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Victoria Stewart, Director of Communications</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Stifel Nicolaus Europe Limited (Nominated Adviser</w:t>
            </w:r>
          </w:p>
        </w:tc>
        <w:tc>
          <w:tcPr>
            <w:tcW w:w="74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and UK Broker)</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Tel: +44 (0) 20 7710 7600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Stewart Wallace / Jonathan Senior / Ben Maddison</w:t>
      </w:r>
    </w:p>
    <w:p>
      <w:pPr>
        <w:sectPr>
          <w:pgSz w:w="12240" w:h="15840" w:orient="portrait"/>
          <w:cols w:equalWidth="0" w:num="1">
            <w:col w:w="12020"/>
          </w:cols>
          <w:pgMar w:left="120" w:top="379" w:right="10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1472565</wp:posOffset>
            </wp:positionV>
            <wp:extent cx="7650480" cy="43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50480" cy="43815"/>
                    </a:xfrm>
                    <a:prstGeom prst="rect">
                      <a:avLst/>
                    </a:prstGeom>
                    <a:noFill/>
                  </pic:spPr>
                </pic:pic>
              </a:graphicData>
            </a:graphic>
          </wp:anchor>
        </w:drawing>
        <w:drawing>
          <wp:anchor simplePos="0" relativeHeight="251657728" behindDoc="1" locked="0" layoutInCell="0" allowOverlap="1">
            <wp:simplePos x="0" y="0"/>
            <wp:positionH relativeFrom="page">
              <wp:posOffset>5587365</wp:posOffset>
            </wp:positionH>
            <wp:positionV relativeFrom="page">
              <wp:posOffset>0</wp:posOffset>
            </wp:positionV>
            <wp:extent cx="2110105"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101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PDMR Dealing</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March 7, 2019, LONDON - Verona Pharma plc (AIM:VRP) (Nasdaq:VRNA) (â€œVerona Pharmaâ€ ), a clinical-stage biopharmaceutical company focused on developing and commercializing innovative therapies for respiratory diseases, announces that, on March 6, 2019, Dr. David Ebsworth, Chairman of the Company, purchased 26,300 ordinary shares of 5 pence each in the Company (the â€œOrdinary Sharesâ€ ) at a price of 56.30 pence per Ordinary Share and a total purchase price of Â£14,806.90 Following the acquisition, Dr. Ebsworth will have an interest in the Company of 217,887 Ordinary Shares, representing 0.21% of the Companyâ€™s issued share capital.</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notification set out below is provided in accordance with the requirements of the EU Market Abuse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1</w:t>
            </w:r>
          </w:p>
        </w:tc>
        <w:tc>
          <w:tcPr>
            <w:tcW w:w="115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1"/>
                <w:szCs w:val="21"/>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Name</w:t>
            </w:r>
          </w:p>
        </w:tc>
        <w:tc>
          <w:tcPr>
            <w:tcW w:w="51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David Ebsworth</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2</w:t>
            </w:r>
          </w:p>
        </w:tc>
        <w:tc>
          <w:tcPr>
            <w:tcW w:w="6380" w:type="dxa"/>
            <w:vAlign w:val="bottom"/>
          </w:tcPr>
          <w:p>
            <w:pPr>
              <w:ind w:left="80"/>
              <w:spacing w:after="0"/>
              <w:rPr>
                <w:sz w:val="20"/>
                <w:szCs w:val="20"/>
                <w:color w:val="auto"/>
              </w:rPr>
            </w:pPr>
            <w:r>
              <w:rPr>
                <w:rFonts w:ascii="Arial" w:cs="Arial" w:eastAsia="Arial" w:hAnsi="Arial"/>
                <w:sz w:val="21"/>
                <w:szCs w:val="21"/>
                <w:b w:val="1"/>
                <w:bCs w:val="1"/>
                <w:color w:val="auto"/>
              </w:rPr>
              <w:t>Reason for the notification</w:t>
            </w:r>
          </w:p>
        </w:tc>
        <w:tc>
          <w:tcPr>
            <w:tcW w:w="5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vMerge w:val="restart"/>
          </w:tcPr>
          <w:p>
            <w:pPr>
              <w:ind w:left="80"/>
              <w:spacing w:after="0"/>
              <w:rPr>
                <w:sz w:val="20"/>
                <w:szCs w:val="20"/>
                <w:color w:val="auto"/>
              </w:rPr>
            </w:pPr>
            <w:r>
              <w:rPr>
                <w:rFonts w:ascii="Arial" w:cs="Arial" w:eastAsia="Arial" w:hAnsi="Arial"/>
                <w:sz w:val="21"/>
                <w:szCs w:val="21"/>
                <w:color w:val="auto"/>
              </w:rPr>
              <w:t>Position/status</w:t>
            </w:r>
          </w:p>
        </w:tc>
        <w:tc>
          <w:tcPr>
            <w:tcW w:w="514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Chairman</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right w:val="single" w:sz="8" w:color="auto"/>
            </w:tcBorders>
          </w:tcPr>
          <w:p>
            <w:pPr>
              <w:spacing w:after="0"/>
              <w:rPr>
                <w:sz w:val="21"/>
                <w:szCs w:val="21"/>
                <w:color w:val="auto"/>
              </w:rPr>
            </w:pPr>
          </w:p>
        </w:tc>
        <w:tc>
          <w:tcPr>
            <w:tcW w:w="6380" w:type="dxa"/>
            <w:vAlign w:val="bottom"/>
            <w:tcBorders>
              <w:right w:val="single" w:sz="8" w:color="auto"/>
            </w:tcBorders>
            <w:vMerge w:val="continue"/>
          </w:tcPr>
          <w:p>
            <w:pPr>
              <w:spacing w:after="0"/>
              <w:rPr>
                <w:sz w:val="21"/>
                <w:szCs w:val="21"/>
                <w:color w:val="auto"/>
              </w:rPr>
            </w:pPr>
          </w:p>
        </w:tc>
        <w:tc>
          <w:tcPr>
            <w:tcW w:w="5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Initial notification/Amendment</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Initial notification</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3</w:t>
            </w:r>
          </w:p>
        </w:tc>
        <w:tc>
          <w:tcPr>
            <w:tcW w:w="11520" w:type="dxa"/>
            <w:vAlign w:val="bottom"/>
            <w:tcBorders>
              <w:right w:val="single" w:sz="8" w:color="auto"/>
            </w:tcBorders>
            <w:gridSpan w:val="2"/>
          </w:tcPr>
          <w:p>
            <w:pPr>
              <w:ind w:left="80"/>
              <w:spacing w:after="0"/>
              <w:rPr>
                <w:sz w:val="20"/>
                <w:szCs w:val="20"/>
                <w:color w:val="auto"/>
              </w:rPr>
            </w:pPr>
            <w:r>
              <w:rPr>
                <w:rFonts w:ascii="Arial" w:cs="Arial" w:eastAsia="Arial" w:hAnsi="Arial"/>
                <w:sz w:val="21"/>
                <w:szCs w:val="21"/>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4"/>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5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Name</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Verona Pharma plc</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638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638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LEI</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213800EVI6O6J3TIAL06</w:t>
            </w:r>
          </w:p>
        </w:tc>
        <w:tc>
          <w:tcPr>
            <w:tcW w:w="0" w:type="dxa"/>
            <w:vAlign w:val="bottom"/>
          </w:tcPr>
          <w:p>
            <w:pPr>
              <w:spacing w:after="0"/>
              <w:rPr>
                <w:sz w:val="1"/>
                <w:szCs w:val="1"/>
                <w:color w:val="auto"/>
              </w:rPr>
            </w:pPr>
          </w:p>
        </w:tc>
      </w:tr>
      <w:tr>
        <w:trPr>
          <w:trHeight w:val="437"/>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20" w:top="1440" w:right="100"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1"/>
                <w:szCs w:val="21"/>
                <w:b w:val="1"/>
                <w:bCs w:val="1"/>
                <w:color w:val="auto"/>
              </w:rPr>
              <w:t>4</w:t>
            </w:r>
          </w:p>
        </w:tc>
        <w:tc>
          <w:tcPr>
            <w:tcW w:w="115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21"/>
                <w:szCs w:val="21"/>
                <w:b w:val="1"/>
                <w:bCs w:val="1"/>
                <w:color w:val="auto"/>
                <w:w w:val="99"/>
              </w:rPr>
              <w:t>Details of the transaction(s): section to be repeated for (i) each type of instrument; (ii) each type of transaction; (iii)</w:t>
            </w:r>
          </w:p>
        </w:tc>
        <w:tc>
          <w:tcPr>
            <w:tcW w:w="0" w:type="dxa"/>
            <w:vAlign w:val="bottom"/>
          </w:tcPr>
          <w:p>
            <w:pPr>
              <w:spacing w:after="0"/>
              <w:rPr>
                <w:sz w:val="1"/>
                <w:szCs w:val="1"/>
                <w:color w:val="auto"/>
              </w:rPr>
            </w:pPr>
          </w:p>
        </w:tc>
      </w:tr>
      <w:tr>
        <w:trPr>
          <w:trHeight w:val="277"/>
        </w:trPr>
        <w:tc>
          <w:tcPr>
            <w:tcW w:w="500" w:type="dxa"/>
            <w:vAlign w:val="bottom"/>
            <w:tcBorders>
              <w:left w:val="single" w:sz="8" w:color="auto"/>
              <w:right w:val="single" w:sz="8" w:color="auto"/>
            </w:tcBorders>
          </w:tcPr>
          <w:p>
            <w:pPr>
              <w:spacing w:after="0"/>
              <w:rPr>
                <w:sz w:val="24"/>
                <w:szCs w:val="24"/>
                <w:color w:val="auto"/>
              </w:rPr>
            </w:pPr>
          </w:p>
        </w:tc>
        <w:tc>
          <w:tcPr>
            <w:tcW w:w="11520" w:type="dxa"/>
            <w:vAlign w:val="bottom"/>
            <w:tcBorders>
              <w:right w:val="single" w:sz="8" w:color="auto"/>
            </w:tcBorders>
            <w:gridSpan w:val="4"/>
          </w:tcPr>
          <w:p>
            <w:pPr>
              <w:ind w:left="80"/>
              <w:spacing w:after="0"/>
              <w:rPr>
                <w:sz w:val="20"/>
                <w:szCs w:val="20"/>
                <w:color w:val="auto"/>
              </w:rPr>
            </w:pPr>
            <w:r>
              <w:rPr>
                <w:rFonts w:ascii="Arial" w:cs="Arial" w:eastAsia="Arial" w:hAnsi="Arial"/>
                <w:sz w:val="21"/>
                <w:szCs w:val="21"/>
                <w:b w:val="1"/>
                <w:bCs w:val="1"/>
                <w:color w:val="auto"/>
              </w:rPr>
              <w:t>each date; and (iv) each place where transactions have been conducted</w:t>
            </w:r>
          </w:p>
        </w:tc>
        <w:tc>
          <w:tcPr>
            <w:tcW w:w="0" w:type="dxa"/>
            <w:vAlign w:val="bottom"/>
          </w:tcPr>
          <w:p>
            <w:pPr>
              <w:spacing w:after="0"/>
              <w:rPr>
                <w:sz w:val="1"/>
                <w:szCs w:val="1"/>
                <w:color w:val="auto"/>
              </w:rPr>
            </w:pPr>
          </w:p>
        </w:tc>
      </w:tr>
      <w:tr>
        <w:trPr>
          <w:trHeight w:val="95"/>
        </w:trPr>
        <w:tc>
          <w:tcPr>
            <w:tcW w:w="500" w:type="dxa"/>
            <w:vAlign w:val="bottom"/>
            <w:tcBorders>
              <w:left w:val="single" w:sz="8" w:color="auto"/>
              <w:bottom w:val="single" w:sz="8" w:color="auto"/>
              <w:right w:val="single" w:sz="8" w:color="auto"/>
            </w:tcBorders>
          </w:tcPr>
          <w:p>
            <w:pPr>
              <w:spacing w:after="0"/>
              <w:rPr>
                <w:sz w:val="8"/>
                <w:szCs w:val="8"/>
                <w:color w:val="auto"/>
              </w:rPr>
            </w:pPr>
          </w:p>
        </w:tc>
        <w:tc>
          <w:tcPr>
            <w:tcW w:w="56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a)</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Description of the financial instrument, type of instrument</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Ordinary Shares of 5 pence each</w:t>
            </w:r>
          </w:p>
        </w:tc>
        <w:tc>
          <w:tcPr>
            <w:tcW w:w="0" w:type="dxa"/>
            <w:vAlign w:val="bottom"/>
          </w:tcPr>
          <w:p>
            <w:pPr>
              <w:spacing w:after="0"/>
              <w:rPr>
                <w:sz w:val="1"/>
                <w:szCs w:val="1"/>
                <w:color w:val="auto"/>
              </w:rPr>
            </w:pPr>
          </w:p>
        </w:tc>
      </w:tr>
      <w:tr>
        <w:trPr>
          <w:trHeight w:val="314"/>
        </w:trPr>
        <w:tc>
          <w:tcPr>
            <w:tcW w:w="500" w:type="dxa"/>
            <w:vAlign w:val="bottom"/>
            <w:tcBorders>
              <w:left w:val="single" w:sz="8" w:color="auto"/>
              <w:right w:val="single" w:sz="8" w:color="auto"/>
            </w:tcBorders>
          </w:tcPr>
          <w:p>
            <w:pPr>
              <w:spacing w:after="0"/>
              <w:rPr>
                <w:sz w:val="24"/>
                <w:szCs w:val="24"/>
                <w:color w:val="auto"/>
              </w:rPr>
            </w:pPr>
          </w:p>
        </w:tc>
        <w:tc>
          <w:tcPr>
            <w:tcW w:w="5620" w:type="dxa"/>
            <w:vAlign w:val="bottom"/>
            <w:gridSpan w:val="2"/>
            <w:vMerge w:val="restart"/>
          </w:tcPr>
          <w:p>
            <w:pPr>
              <w:ind w:left="80"/>
              <w:spacing w:after="0"/>
              <w:rPr>
                <w:sz w:val="20"/>
                <w:szCs w:val="20"/>
                <w:color w:val="auto"/>
              </w:rPr>
            </w:pPr>
            <w:r>
              <w:rPr>
                <w:rFonts w:ascii="Arial" w:cs="Arial" w:eastAsia="Arial" w:hAnsi="Arial"/>
                <w:sz w:val="21"/>
                <w:szCs w:val="21"/>
                <w:color w:val="auto"/>
              </w:rPr>
              <w:t>Identification code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GB00BYW2KH80</w:t>
            </w:r>
          </w:p>
        </w:tc>
        <w:tc>
          <w:tcPr>
            <w:tcW w:w="0" w:type="dxa"/>
            <w:vAlign w:val="bottom"/>
          </w:tcPr>
          <w:p>
            <w:pPr>
              <w:spacing w:after="0"/>
              <w:rPr>
                <w:sz w:val="1"/>
                <w:szCs w:val="1"/>
                <w:color w:val="auto"/>
              </w:rPr>
            </w:pPr>
          </w:p>
        </w:tc>
      </w:tr>
      <w:tr>
        <w:trPr>
          <w:trHeight w:val="86"/>
        </w:trPr>
        <w:tc>
          <w:tcPr>
            <w:tcW w:w="500" w:type="dxa"/>
            <w:vAlign w:val="bottom"/>
            <w:tcBorders>
              <w:left w:val="single" w:sz="8" w:color="auto"/>
              <w:right w:val="single" w:sz="8" w:color="auto"/>
            </w:tcBorders>
          </w:tcPr>
          <w:p>
            <w:pPr>
              <w:spacing w:after="0"/>
              <w:rPr>
                <w:sz w:val="7"/>
                <w:szCs w:val="7"/>
                <w:color w:val="auto"/>
              </w:rPr>
            </w:pPr>
          </w:p>
        </w:tc>
        <w:tc>
          <w:tcPr>
            <w:tcW w:w="5620" w:type="dxa"/>
            <w:vAlign w:val="bottom"/>
            <w:gridSpan w:val="2"/>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5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b)</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Nature of the transaction</w:t>
            </w:r>
          </w:p>
        </w:tc>
        <w:tc>
          <w:tcPr>
            <w:tcW w:w="74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David Ebsworth purchased 26,300</w:t>
            </w:r>
          </w:p>
        </w:tc>
        <w:tc>
          <w:tcPr>
            <w:tcW w:w="0" w:type="dxa"/>
            <w:vAlign w:val="bottom"/>
          </w:tcPr>
          <w:p>
            <w:pPr>
              <w:spacing w:after="0"/>
              <w:rPr>
                <w:sz w:val="1"/>
                <w:szCs w:val="1"/>
                <w:color w:val="auto"/>
              </w:rPr>
            </w:pPr>
          </w:p>
        </w:tc>
      </w:tr>
      <w:tr>
        <w:trPr>
          <w:trHeight w:val="251"/>
        </w:trPr>
        <w:tc>
          <w:tcPr>
            <w:tcW w:w="500" w:type="dxa"/>
            <w:vAlign w:val="bottom"/>
            <w:tcBorders>
              <w:left w:val="single" w:sz="8" w:color="auto"/>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Ordinary Shares</w:t>
            </w:r>
          </w:p>
        </w:tc>
        <w:tc>
          <w:tcPr>
            <w:tcW w:w="0" w:type="dxa"/>
            <w:vAlign w:val="bottom"/>
          </w:tcPr>
          <w:p>
            <w:pPr>
              <w:spacing w:after="0"/>
              <w:rPr>
                <w:sz w:val="1"/>
                <w:szCs w:val="1"/>
                <w:color w:val="auto"/>
              </w:rPr>
            </w:pPr>
          </w:p>
        </w:tc>
      </w:tr>
      <w:tr>
        <w:trPr>
          <w:trHeight w:val="551"/>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c)</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Price(s) and volume(s)</w:t>
            </w:r>
          </w:p>
        </w:tc>
        <w:tc>
          <w:tcPr>
            <w:tcW w:w="74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Price(s) : 56.30 pence per Ordinary Share</w:t>
            </w:r>
          </w:p>
        </w:tc>
        <w:tc>
          <w:tcPr>
            <w:tcW w:w="0" w:type="dxa"/>
            <w:vAlign w:val="bottom"/>
          </w:tcPr>
          <w:p>
            <w:pPr>
              <w:spacing w:after="0"/>
              <w:rPr>
                <w:sz w:val="1"/>
                <w:szCs w:val="1"/>
                <w:color w:val="auto"/>
              </w:rPr>
            </w:pPr>
          </w:p>
        </w:tc>
      </w:tr>
      <w:tr>
        <w:trPr>
          <w:trHeight w:val="251"/>
        </w:trPr>
        <w:tc>
          <w:tcPr>
            <w:tcW w:w="500" w:type="dxa"/>
            <w:vAlign w:val="bottom"/>
            <w:tcBorders>
              <w:left w:val="single" w:sz="8" w:color="auto"/>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Volume(s) : 26,300 Ordinary Shares</w:t>
            </w:r>
          </w:p>
        </w:tc>
        <w:tc>
          <w:tcPr>
            <w:tcW w:w="0" w:type="dxa"/>
            <w:vAlign w:val="bottom"/>
          </w:tcPr>
          <w:p>
            <w:pPr>
              <w:spacing w:after="0"/>
              <w:rPr>
                <w:sz w:val="1"/>
                <w:szCs w:val="1"/>
                <w:color w:val="auto"/>
              </w:rPr>
            </w:pPr>
          </w:p>
        </w:tc>
      </w:tr>
      <w:tr>
        <w:trPr>
          <w:trHeight w:val="5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d)</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Aggregated information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N/A</w:t>
            </w:r>
          </w:p>
        </w:tc>
        <w:tc>
          <w:tcPr>
            <w:tcW w:w="0" w:type="dxa"/>
            <w:vAlign w:val="bottom"/>
          </w:tcPr>
          <w:p>
            <w:pPr>
              <w:spacing w:after="0"/>
              <w:rPr>
                <w:sz w:val="1"/>
                <w:szCs w:val="1"/>
                <w:color w:val="auto"/>
              </w:rPr>
            </w:pPr>
          </w:p>
        </w:tc>
      </w:tr>
      <w:tr>
        <w:trPr>
          <w:trHeight w:val="342"/>
        </w:trPr>
        <w:tc>
          <w:tcPr>
            <w:tcW w:w="50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1"/>
                <w:szCs w:val="21"/>
                <w:color w:val="auto"/>
              </w:rPr>
              <w:t>-</w:t>
            </w:r>
          </w:p>
        </w:tc>
        <w:tc>
          <w:tcPr>
            <w:tcW w:w="5220" w:type="dxa"/>
            <w:vAlign w:val="bottom"/>
          </w:tcPr>
          <w:p>
            <w:pPr>
              <w:ind w:left="280"/>
              <w:spacing w:after="0"/>
              <w:rPr>
                <w:sz w:val="20"/>
                <w:szCs w:val="20"/>
                <w:color w:val="auto"/>
              </w:rPr>
            </w:pPr>
            <w:r>
              <w:rPr>
                <w:rFonts w:ascii="Arial" w:cs="Arial" w:eastAsia="Arial" w:hAnsi="Arial"/>
                <w:sz w:val="21"/>
                <w:szCs w:val="21"/>
                <w:color w:val="auto"/>
              </w:rPr>
              <w:t>Aggregated volume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1"/>
                <w:szCs w:val="21"/>
                <w:color w:val="auto"/>
              </w:rPr>
              <w:t>-</w:t>
            </w:r>
          </w:p>
        </w:tc>
        <w:tc>
          <w:tcPr>
            <w:tcW w:w="5220" w:type="dxa"/>
            <w:vAlign w:val="bottom"/>
          </w:tcPr>
          <w:p>
            <w:pPr>
              <w:ind w:left="280"/>
              <w:spacing w:after="0"/>
              <w:rPr>
                <w:sz w:val="20"/>
                <w:szCs w:val="20"/>
                <w:color w:val="auto"/>
              </w:rPr>
            </w:pPr>
            <w:r>
              <w:rPr>
                <w:rFonts w:ascii="Arial" w:cs="Arial" w:eastAsia="Arial" w:hAnsi="Arial"/>
                <w:sz w:val="21"/>
                <w:szCs w:val="21"/>
                <w:color w:val="auto"/>
              </w:rPr>
              <w:t>Price</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e)</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Date of the transaction</w:t>
            </w:r>
          </w:p>
        </w:tc>
        <w:tc>
          <w:tcPr>
            <w:tcW w:w="740" w:type="dxa"/>
            <w:vAlign w:val="bottom"/>
            <w:tcBorders>
              <w:right w:val="single" w:sz="8" w:color="auto"/>
            </w:tcBorders>
          </w:tcPr>
          <w:p>
            <w:pPr>
              <w:spacing w:after="0"/>
              <w:rPr>
                <w:sz w:val="23"/>
                <w:szCs w:val="23"/>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6 March 2019</w:t>
            </w:r>
          </w:p>
        </w:tc>
        <w:tc>
          <w:tcPr>
            <w:tcW w:w="0" w:type="dxa"/>
            <w:vAlign w:val="bottom"/>
          </w:tcPr>
          <w:p>
            <w:pPr>
              <w:spacing w:after="0"/>
              <w:rPr>
                <w:sz w:val="1"/>
                <w:szCs w:val="1"/>
                <w:color w:val="auto"/>
              </w:rPr>
            </w:pPr>
          </w:p>
        </w:tc>
      </w:tr>
      <w:tr>
        <w:trPr>
          <w:trHeight w:val="3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f)</w:t>
            </w:r>
          </w:p>
        </w:tc>
        <w:tc>
          <w:tcPr>
            <w:tcW w:w="5620" w:type="dxa"/>
            <w:vAlign w:val="bottom"/>
            <w:gridSpan w:val="2"/>
          </w:tcPr>
          <w:p>
            <w:pPr>
              <w:ind w:left="80"/>
              <w:spacing w:after="0"/>
              <w:rPr>
                <w:sz w:val="20"/>
                <w:szCs w:val="20"/>
                <w:color w:val="auto"/>
              </w:rPr>
            </w:pPr>
            <w:r>
              <w:rPr>
                <w:rFonts w:ascii="Arial" w:cs="Arial" w:eastAsia="Arial" w:hAnsi="Arial"/>
                <w:sz w:val="21"/>
                <w:szCs w:val="21"/>
                <w:color w:val="auto"/>
              </w:rPr>
              <w:t>Place of the transaction</w:t>
            </w:r>
          </w:p>
        </w:tc>
        <w:tc>
          <w:tcPr>
            <w:tcW w:w="74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21"/>
                <w:szCs w:val="21"/>
                <w:color w:val="auto"/>
              </w:rPr>
              <w:t>London Stock Exchange, AIM</w:t>
            </w:r>
          </w:p>
        </w:tc>
        <w:tc>
          <w:tcPr>
            <w:tcW w:w="0" w:type="dxa"/>
            <w:vAlign w:val="bottom"/>
          </w:tcPr>
          <w:p>
            <w:pPr>
              <w:spacing w:after="0"/>
              <w:rPr>
                <w:sz w:val="1"/>
                <w:szCs w:val="1"/>
                <w:color w:val="auto"/>
              </w:rPr>
            </w:pPr>
          </w:p>
        </w:tc>
      </w:tr>
      <w:tr>
        <w:trPr>
          <w:trHeight w:val="423"/>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120" w:type="dxa"/>
            <w:vAlign w:val="bottom"/>
            <w:gridSpan w:val="3"/>
          </w:tcPr>
          <w:p>
            <w:pPr>
              <w:spacing w:after="0"/>
              <w:rPr>
                <w:sz w:val="20"/>
                <w:szCs w:val="20"/>
                <w:color w:val="auto"/>
              </w:rPr>
            </w:pPr>
            <w:r>
              <w:rPr>
                <w:rFonts w:ascii="Arial" w:cs="Arial" w:eastAsia="Arial" w:hAnsi="Arial"/>
                <w:sz w:val="19"/>
                <w:szCs w:val="19"/>
                <w:b w:val="1"/>
                <w:bCs w:val="1"/>
                <w:color w:val="auto"/>
              </w:rPr>
              <w:t>For further information, please contact:</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Verona Pharma plc</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Tel: +44 (0)20 3283 4200</w:t>
            </w:r>
          </w:p>
        </w:tc>
        <w:tc>
          <w:tcPr>
            <w:tcW w:w="0" w:type="dxa"/>
            <w:vAlign w:val="bottom"/>
          </w:tcPr>
          <w:p>
            <w:pPr>
              <w:spacing w:after="0"/>
              <w:rPr>
                <w:sz w:val="1"/>
                <w:szCs w:val="1"/>
                <w:color w:val="auto"/>
              </w:rPr>
            </w:pPr>
          </w:p>
        </w:tc>
      </w:tr>
      <w:tr>
        <w:trPr>
          <w:trHeight w:val="271"/>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Jan-Anders Karlsson, Chief Executive Officer</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info@veronapharma.com</w:t>
            </w:r>
          </w:p>
        </w:tc>
        <w:tc>
          <w:tcPr>
            <w:tcW w:w="0" w:type="dxa"/>
            <w:vAlign w:val="bottom"/>
          </w:tcPr>
          <w:p>
            <w:pPr>
              <w:spacing w:after="0"/>
              <w:rPr>
                <w:sz w:val="1"/>
                <w:szCs w:val="1"/>
                <w:color w:val="auto"/>
              </w:rPr>
            </w:pPr>
          </w:p>
        </w:tc>
      </w:tr>
      <w:tr>
        <w:trPr>
          <w:trHeight w:val="285"/>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Victoria Stewart, Director of Communications</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Stifel Nicolaus Europe Limited (Nominated Adviser</w:t>
            </w:r>
          </w:p>
        </w:tc>
        <w:tc>
          <w:tcPr>
            <w:tcW w:w="74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120" w:type="dxa"/>
            <w:vAlign w:val="bottom"/>
            <w:gridSpan w:val="3"/>
          </w:tcPr>
          <w:p>
            <w:pPr>
              <w:ind w:left="20"/>
              <w:spacing w:after="0"/>
              <w:rPr>
                <w:sz w:val="20"/>
                <w:szCs w:val="20"/>
                <w:color w:val="auto"/>
              </w:rPr>
            </w:pPr>
            <w:r>
              <w:rPr>
                <w:rFonts w:ascii="Arial" w:cs="Arial" w:eastAsia="Arial" w:hAnsi="Arial"/>
                <w:sz w:val="19"/>
                <w:szCs w:val="19"/>
                <w:color w:val="auto"/>
              </w:rPr>
              <w:t>and UK Broker)</w:t>
            </w:r>
          </w:p>
        </w:tc>
        <w:tc>
          <w:tcPr>
            <w:tcW w:w="5900" w:type="dxa"/>
            <w:vAlign w:val="bottom"/>
            <w:gridSpan w:val="2"/>
          </w:tcPr>
          <w:p>
            <w:pPr>
              <w:ind w:left="280"/>
              <w:spacing w:after="0"/>
              <w:rPr>
                <w:sz w:val="20"/>
                <w:szCs w:val="20"/>
                <w:color w:val="auto"/>
              </w:rPr>
            </w:pPr>
            <w:r>
              <w:rPr>
                <w:rFonts w:ascii="Arial" w:cs="Arial" w:eastAsia="Arial" w:hAnsi="Arial"/>
                <w:sz w:val="19"/>
                <w:szCs w:val="19"/>
                <w:color w:val="auto"/>
              </w:rPr>
              <w:t>Tel: +44 (0) 20 7710 7600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Stewart Wallace / Jonathan Senior / Ben Maddison</w:t>
      </w:r>
    </w:p>
    <w:sectPr>
      <w:pgSz w:w="12240" w:h="15840" w:orient="portrait"/>
      <w:cols w:equalWidth="0" w:num="1">
        <w:col w:w="12020"/>
      </w:cols>
      <w:pgMar w:left="120" w:top="379" w:right="1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2019-12-15T18:07:46Z</dcterms:created>
  <dcterms:modified xsi:type="dcterms:W3CDTF">2019-12-15T18:07:46Z</dcterms:modified>
</cp:coreProperties>
</file>