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08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12/04/2024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67,608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5.0018</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15,007,816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12/05/2024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640,264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5.0061</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14,367,552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12/06/2024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162,800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5.0086</w:t>
            </w:r>
            <w:r>
              <w:rPr>
                <w:rFonts w:ascii="Times New Roman" w:cs="Times New Roman" w:eastAsia="Times New Roman" w:hAnsi="Times New Roman"/>
                <w:sz w:val="22"/>
                <w:szCs w:val="22"/>
                <w:color w:val="008000"/>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14,204,752</w:t>
            </w:r>
            <w:r>
              <w:rPr>
                <w:rFonts w:ascii="Times New Roman" w:cs="Times New Roman" w:eastAsia="Times New Roman" w:hAnsi="Times New Roman"/>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$5.005 per Ordinary Share, inclusive (or $40.00 to $40.04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$5.0313 per Ordinary Share, inclusive (or $40.00 to $40.25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$5 to $5.0219 per Ordinary Share, inclusive (or $40.00 to $40.175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11,204,752 Ordinary Shares underlying 1,400,594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12/06/2024</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1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2024-12-06T16:54:22Z</dcterms:created>
  <dcterms:modified xsi:type="dcterms:W3CDTF">2024-12-06T16:54:22Z</dcterms:modified>
</cp:coreProperties>
</file>