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666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6668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ZACCARDELLI DAVID</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 MORE LONDON RIVERSIDE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Verona Pharma plc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VRNA</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4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03/01/2021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925"/>
        <w:spacing w:after="0"/>
        <w:rPr>
          <w:sz w:val="20"/>
          <w:szCs w:val="20"/>
          <w:color w:val="auto"/>
        </w:rPr>
      </w:pPr>
      <w:r>
        <w:rPr>
          <w:rFonts w:ascii="Arial" w:cs="Arial" w:eastAsia="Arial" w:hAnsi="Arial"/>
          <w:sz w:val="17"/>
          <w:szCs w:val="17"/>
          <w:color w:val="0000FF"/>
        </w:rPr>
        <w:t>President and CEO</w:t>
      </w:r>
    </w:p>
    <w:p>
      <w:pPr>
        <w:spacing w:after="0" w:line="266"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26"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560" w:type="dxa"/>
            <w:vAlign w:val="bottom"/>
            <w:shd w:val="clear" w:color="auto" w:fill="9A9A9A"/>
          </w:tcPr>
          <w:p>
            <w:pPr>
              <w:spacing w:after="0"/>
              <w:rPr>
                <w:sz w:val="2"/>
                <w:szCs w:val="2"/>
                <w:color w:val="auto"/>
              </w:rPr>
            </w:pPr>
          </w:p>
        </w:tc>
        <w:tc>
          <w:tcPr>
            <w:tcW w:w="280" w:type="dxa"/>
            <w:vAlign w:val="bottom"/>
            <w:shd w:val="clear" w:color="auto" w:fill="9A9A9A"/>
          </w:tcPr>
          <w:p>
            <w:pPr>
              <w:spacing w:after="0"/>
              <w:rPr>
                <w:sz w:val="2"/>
                <w:szCs w:val="2"/>
                <w:color w:val="auto"/>
              </w:rPr>
            </w:pPr>
          </w:p>
        </w:tc>
        <w:tc>
          <w:tcPr>
            <w:tcW w:w="840" w:type="dxa"/>
            <w:vAlign w:val="bottom"/>
            <w:shd w:val="clear" w:color="auto" w:fill="9A9A9A"/>
          </w:tcPr>
          <w:p>
            <w:pPr>
              <w:spacing w:after="0"/>
              <w:rPr>
                <w:sz w:val="2"/>
                <w:szCs w:val="2"/>
                <w:color w:val="auto"/>
              </w:rPr>
            </w:pPr>
          </w:p>
        </w:tc>
        <w:tc>
          <w:tcPr>
            <w:tcW w:w="1340" w:type="dxa"/>
            <w:vAlign w:val="bottom"/>
            <w:shd w:val="clear" w:color="auto" w:fill="9A9A9A"/>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480" w:type="dxa"/>
            <w:vAlign w:val="bottom"/>
            <w:gridSpan w:val="7"/>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0"/>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80" w:type="dxa"/>
            <w:vAlign w:val="bottom"/>
            <w:gridSpan w:val="7"/>
            <w:vMerge w:val="continue"/>
          </w:tcPr>
          <w:p>
            <w:pPr>
              <w:spacing w:after="0"/>
              <w:rPr>
                <w:sz w:val="11"/>
                <w:szCs w:val="11"/>
                <w:color w:val="auto"/>
              </w:rPr>
            </w:pPr>
          </w:p>
        </w:tc>
        <w:tc>
          <w:tcPr>
            <w:tcW w:w="376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LONDON</w:t>
            </w:r>
          </w:p>
        </w:tc>
        <w:tc>
          <w:tcPr>
            <w:tcW w:w="280" w:type="dxa"/>
            <w:vAlign w:val="bottom"/>
          </w:tcPr>
          <w:p>
            <w:pPr>
              <w:ind w:left="40"/>
              <w:spacing w:after="0"/>
              <w:rPr>
                <w:sz w:val="20"/>
                <w:szCs w:val="20"/>
                <w:color w:val="auto"/>
              </w:rPr>
            </w:pPr>
            <w:r>
              <w:rPr>
                <w:rFonts w:ascii="Arial" w:cs="Arial" w:eastAsia="Arial" w:hAnsi="Arial"/>
                <w:sz w:val="17"/>
                <w:szCs w:val="17"/>
                <w:color w:val="0000FF"/>
              </w:rPr>
              <w:t>X0</w:t>
            </w:r>
          </w:p>
        </w:tc>
        <w:tc>
          <w:tcPr>
            <w:tcW w:w="840" w:type="dxa"/>
            <w:vAlign w:val="bottom"/>
          </w:tcPr>
          <w:p>
            <w:pPr>
              <w:spacing w:after="0"/>
              <w:rPr>
                <w:sz w:val="21"/>
                <w:szCs w:val="21"/>
                <w:color w:val="auto"/>
              </w:rPr>
            </w:pPr>
          </w:p>
        </w:tc>
        <w:tc>
          <w:tcPr>
            <w:tcW w:w="1420" w:type="dxa"/>
            <w:vAlign w:val="bottom"/>
            <w:gridSpan w:val="3"/>
          </w:tcPr>
          <w:p>
            <w:pPr>
              <w:ind w:left="140"/>
              <w:spacing w:after="0"/>
              <w:rPr>
                <w:sz w:val="20"/>
                <w:szCs w:val="20"/>
                <w:color w:val="auto"/>
              </w:rPr>
            </w:pPr>
            <w:r>
              <w:rPr>
                <w:rFonts w:ascii="Arial" w:cs="Arial" w:eastAsia="Arial" w:hAnsi="Arial"/>
                <w:sz w:val="17"/>
                <w:szCs w:val="17"/>
                <w:color w:val="0000FF"/>
              </w:rPr>
              <w:t>SE1 2RE</w:t>
            </w: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140" w:type="dxa"/>
            <w:vAlign w:val="bottom"/>
            <w:gridSpan w:val="8"/>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560" w:type="dxa"/>
            <w:vAlign w:val="bottom"/>
            <w:tcBorders>
              <w:top w:val="single" w:sz="8" w:color="EEEEEE"/>
            </w:tcBorders>
          </w:tcPr>
          <w:p>
            <w:pPr>
              <w:spacing w:after="0"/>
              <w:rPr>
                <w:sz w:val="3"/>
                <w:szCs w:val="3"/>
                <w:color w:val="auto"/>
              </w:rPr>
            </w:pPr>
          </w:p>
        </w:tc>
        <w:tc>
          <w:tcPr>
            <w:tcW w:w="280" w:type="dxa"/>
            <w:vAlign w:val="bottom"/>
            <w:tcBorders>
              <w:top w:val="single" w:sz="8" w:color="EEEEEE"/>
            </w:tcBorders>
          </w:tcPr>
          <w:p>
            <w:pPr>
              <w:spacing w:after="0"/>
              <w:rPr>
                <w:sz w:val="3"/>
                <w:szCs w:val="3"/>
                <w:color w:val="auto"/>
              </w:rPr>
            </w:pPr>
          </w:p>
        </w:tc>
        <w:tc>
          <w:tcPr>
            <w:tcW w:w="840" w:type="dxa"/>
            <w:vAlign w:val="bottom"/>
            <w:tcBorders>
              <w:top w:val="single" w:sz="8" w:color="EEEEEE"/>
            </w:tcBorders>
          </w:tcPr>
          <w:p>
            <w:pPr>
              <w:spacing w:after="0"/>
              <w:rPr>
                <w:sz w:val="3"/>
                <w:szCs w:val="3"/>
                <w:color w:val="auto"/>
              </w:rPr>
            </w:pPr>
          </w:p>
        </w:tc>
        <w:tc>
          <w:tcPr>
            <w:tcW w:w="1340" w:type="dxa"/>
            <w:vAlign w:val="bottom"/>
            <w:tcBorders>
              <w:top w:val="single" w:sz="8" w:color="EEEEEE"/>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960" w:type="dxa"/>
            <w:vAlign w:val="bottom"/>
            <w:gridSpan w:val="7"/>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3"/>
                <w:szCs w:val="13"/>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56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1420" w:type="dxa"/>
            <w:vAlign w:val="bottom"/>
            <w:gridSpan w:val="3"/>
            <w:vMerge w:val="continue"/>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420" w:type="dxa"/>
            <w:vAlign w:val="bottom"/>
            <w:tcBorders>
              <w:bottom w:val="single" w:sz="8" w:color="2C2C2C"/>
            </w:tcBorders>
            <w:gridSpan w:val="4"/>
          </w:tcPr>
          <w:p>
            <w:pPr>
              <w:spacing w:after="0"/>
              <w:rPr>
                <w:sz w:val="11"/>
                <w:szCs w:val="11"/>
                <w:color w:val="auto"/>
              </w:rPr>
            </w:pPr>
          </w:p>
        </w:tc>
        <w:tc>
          <w:tcPr>
            <w:tcW w:w="2660" w:type="dxa"/>
            <w:vAlign w:val="bottom"/>
            <w:tcBorders>
              <w:bottom w:val="single" w:sz="8" w:color="2C2C2C"/>
            </w:tcBorders>
            <w:gridSpan w:val="5"/>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7760" w:type="dxa"/>
            <w:vAlign w:val="bottom"/>
            <w:tcBorders>
              <w:top w:val="single" w:sz="8" w:color="2C2C2C"/>
            </w:tcBorders>
            <w:gridSpan w:val="16"/>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620"/>
              <w:spacing w:after="0"/>
              <w:rPr>
                <w:sz w:val="20"/>
                <w:szCs w:val="20"/>
                <w:color w:val="auto"/>
              </w:rPr>
            </w:pPr>
            <w:r>
              <w:rPr>
                <w:rFonts w:ascii="Arial" w:cs="Arial" w:eastAsia="Arial" w:hAnsi="Arial"/>
                <w:sz w:val="12"/>
                <w:szCs w:val="12"/>
                <w:b w:val="1"/>
                <w:bCs w:val="1"/>
                <w:color w:val="auto"/>
                <w:w w:val="95"/>
              </w:rPr>
              <w:t>2. Transaction</w:t>
            </w:r>
          </w:p>
        </w:tc>
        <w:tc>
          <w:tcPr>
            <w:tcW w:w="300" w:type="dxa"/>
            <w:vAlign w:val="bottom"/>
          </w:tcPr>
          <w:p>
            <w:pPr>
              <w:spacing w:after="0"/>
              <w:rPr>
                <w:sz w:val="15"/>
                <w:szCs w:val="15"/>
                <w:color w:val="auto"/>
              </w:rPr>
            </w:pPr>
          </w:p>
        </w:tc>
        <w:tc>
          <w:tcPr>
            <w:tcW w:w="11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20" w:type="dxa"/>
            <w:vAlign w:val="bottom"/>
            <w:gridSpan w:val="3"/>
          </w:tcPr>
          <w:p>
            <w:pPr>
              <w:ind w:left="620"/>
              <w:spacing w:after="0" w:line="131"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114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31"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720" w:type="dxa"/>
            <w:vAlign w:val="bottom"/>
            <w:gridSpan w:val="4"/>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4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60" w:type="dxa"/>
            <w:vAlign w:val="bottom"/>
            <w:tcBorders>
              <w:bottom w:val="single" w:sz="8" w:color="2C2C2C"/>
            </w:tcBorders>
            <w:gridSpan w:val="4"/>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Ordinary Shares</w:t>
            </w:r>
            <w:r>
              <w:rPr>
                <w:rFonts w:ascii="Arial" w:cs="Arial" w:eastAsia="Arial" w:hAnsi="Arial"/>
                <w:sz w:val="22"/>
                <w:szCs w:val="22"/>
                <w:color w:val="008000"/>
                <w:vertAlign w:val="superscript"/>
              </w:rPr>
              <w:t>(1)</w:t>
            </w:r>
          </w:p>
        </w:tc>
        <w:tc>
          <w:tcPr>
            <w:tcW w:w="8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4"/>
          </w:tcPr>
          <w:p>
            <w:pPr>
              <w:ind w:left="720"/>
              <w:spacing w:after="0"/>
              <w:rPr>
                <w:sz w:val="20"/>
                <w:szCs w:val="20"/>
                <w:color w:val="auto"/>
              </w:rPr>
            </w:pPr>
            <w:r>
              <w:rPr>
                <w:rFonts w:ascii="Arial" w:cs="Arial" w:eastAsia="Arial" w:hAnsi="Arial"/>
                <w:sz w:val="17"/>
                <w:szCs w:val="17"/>
                <w:color w:val="0000FF"/>
              </w:rPr>
              <w:t>03/01/2021</w:t>
            </w:r>
          </w:p>
        </w:tc>
        <w:tc>
          <w:tcPr>
            <w:tcW w:w="4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4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(2)</w:t>
            </w:r>
          </w:p>
        </w:tc>
        <w:tc>
          <w:tcPr>
            <w:tcW w:w="7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43,392</w:t>
            </w:r>
          </w:p>
        </w:tc>
        <w:tc>
          <w:tcPr>
            <w:tcW w:w="48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8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1.1437</w:t>
            </w:r>
            <w:r>
              <w:rPr>
                <w:rFonts w:ascii="Arial" w:cs="Arial" w:eastAsia="Arial" w:hAnsi="Arial"/>
                <w:sz w:val="22"/>
                <w:szCs w:val="22"/>
                <w:color w:val="008000"/>
                <w:w w:val="93"/>
                <w:vertAlign w:val="superscript"/>
              </w:rPr>
              <w:t>(3)</w:t>
            </w:r>
          </w:p>
        </w:tc>
        <w:tc>
          <w:tcPr>
            <w:tcW w:w="1220" w:type="dxa"/>
            <w:vAlign w:val="bottom"/>
            <w:tcBorders>
              <w:bottom w:val="single" w:sz="8" w:color="2C2C2C"/>
            </w:tcBorders>
            <w:gridSpan w:val="2"/>
          </w:tcPr>
          <w:p>
            <w:pPr>
              <w:ind w:left="120"/>
              <w:spacing w:after="0"/>
              <w:rPr>
                <w:sz w:val="20"/>
                <w:szCs w:val="20"/>
                <w:color w:val="auto"/>
              </w:rPr>
            </w:pPr>
            <w:r>
              <w:rPr>
                <w:rFonts w:ascii="Arial" w:cs="Arial" w:eastAsia="Arial" w:hAnsi="Arial"/>
                <w:sz w:val="17"/>
                <w:szCs w:val="17"/>
                <w:color w:val="0000FF"/>
              </w:rPr>
              <w:t>20,050,848</w:t>
            </w:r>
            <w:r>
              <w:rPr>
                <w:rFonts w:ascii="Arial" w:cs="Arial" w:eastAsia="Arial" w:hAnsi="Arial"/>
                <w:sz w:val="22"/>
                <w:szCs w:val="22"/>
                <w:color w:val="008000"/>
                <w:vertAlign w:val="superscript"/>
              </w:rPr>
              <w:t>(4)</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4"/>
                <w:szCs w:val="14"/>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300" w:type="dxa"/>
            <w:vAlign w:val="bottom"/>
          </w:tcPr>
          <w:p>
            <w:pPr>
              <w:spacing w:after="0"/>
              <w:rPr>
                <w:sz w:val="20"/>
                <w:szCs w:val="20"/>
                <w:color w:val="auto"/>
              </w:rPr>
            </w:pPr>
            <w:r>
              <w:rPr>
                <w:rFonts w:ascii="Arial" w:cs="Arial" w:eastAsia="Arial" w:hAnsi="Arial"/>
                <w:sz w:val="12"/>
                <w:szCs w:val="12"/>
                <w:b w:val="1"/>
                <w:bCs w:val="1"/>
                <w:color w:val="auto"/>
              </w:rPr>
              <w:t>4.</w:t>
            </w:r>
          </w:p>
        </w:tc>
        <w:tc>
          <w:tcPr>
            <w:tcW w:w="46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3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20"/>
                <w:szCs w:val="20"/>
                <w:color w:val="auto"/>
              </w:rPr>
            </w:pPr>
            <w:r>
              <w:rPr>
                <w:rFonts w:ascii="Arial" w:cs="Arial" w:eastAsia="Arial" w:hAnsi="Arial"/>
                <w:sz w:val="12"/>
                <w:szCs w:val="12"/>
                <w:b w:val="1"/>
                <w:bCs w:val="1"/>
                <w:color w:val="auto"/>
                <w:w w:val="93"/>
              </w:rPr>
              <w:t>Code</w:t>
            </w:r>
          </w:p>
        </w:tc>
        <w:tc>
          <w:tcPr>
            <w:tcW w:w="46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80" w:type="dxa"/>
            <w:vAlign w:val="bottom"/>
          </w:tcPr>
          <w:p>
            <w:pPr>
              <w:ind w:left="16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-2874010</wp:posOffset>
            </wp:positionV>
            <wp:extent cx="7031355" cy="29190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291909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Reported securities are represented by American Depositary Shares ("ADSs"), each of which represents eight (8) Ordinary Shares of the Issuer.</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sale reported in the Form 4 was effected pursuant to a Rule 10b5-1 instruction solely with the intent to cover withholding taxes in connection with the settlement of Restricted Share Units.</w:t>
      </w:r>
    </w:p>
    <w:p>
      <w:pPr>
        <w:spacing w:after="0" w:line="61" w:lineRule="exact"/>
        <w:rPr>
          <w:rFonts w:ascii="Arial" w:cs="Arial" w:eastAsia="Arial" w:hAnsi="Arial"/>
          <w:sz w:val="12"/>
          <w:szCs w:val="12"/>
          <w:color w:val="008000"/>
        </w:rPr>
      </w:pPr>
    </w:p>
    <w:p>
      <w:pPr>
        <w:jc w:val="both"/>
        <w:ind w:left="40" w:right="20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is a weighted average price, and is based on the sale price of the ADSs divided by eight (8). The securities were sold in multiple transactions at per share prices ranging from $1.1188 to $1.1575. The Reporting Person undertakes to provide upon request to the SEC staff, the Issuer, or any shareholder of the Issuer, full information regarding the number of securities sold at each separate price within the range set forth in this footnote 3.</w:t>
      </w:r>
    </w:p>
    <w:p>
      <w:pPr>
        <w:spacing w:after="0" w:line="25" w:lineRule="exact"/>
        <w:rPr>
          <w:rFonts w:ascii="Arial" w:cs="Arial" w:eastAsia="Arial" w:hAnsi="Arial"/>
          <w:sz w:val="13"/>
          <w:szCs w:val="13"/>
          <w:color w:val="008000"/>
        </w:rPr>
      </w:pPr>
    </w:p>
    <w:p>
      <w:pPr>
        <w:ind w:left="40" w:right="48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Consists of (i) 19,023,792 Ordinary Shares underlying Restricted Share Units, each of which represents a contingent right to receive one (1) Ordinary Share of the Issuer (which are represented by 2,377,974 ADSs); and (ii) 1,027,056 Ordinary Shares underlying 128,382 ADSs.</w:t>
      </w:r>
    </w:p>
    <w:p>
      <w:pPr>
        <w:spacing w:after="0" w:line="2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6"/>
              </w:rPr>
              <w:t>/s/ Claire Poll, Attorney-in-</w:t>
            </w:r>
          </w:p>
        </w:tc>
        <w:tc>
          <w:tcPr>
            <w:tcW w:w="16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03/03/2021</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fact for David Zaccardelli</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800" w:type="dxa"/>
            <w:vAlign w:val="bottom"/>
            <w:shd w:val="clear" w:color="auto" w:fill="000000"/>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27642" TargetMode="External"/><Relationship Id="rId14" Type="http://schemas.openxmlformats.org/officeDocument/2006/relationships/hyperlink" Target="http://www.sec.gov/cgi-bin/browse-edgar?action=getcompany&amp;CIK=00016573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2021-03-03T19:05:09Z</dcterms:created>
  <dcterms:modified xsi:type="dcterms:W3CDTF">2021-03-03T19:05:09Z</dcterms:modified>
</cp:coreProperties>
</file>