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ZACCARDELLI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280" w:type="dxa"/>
            <w:vAlign w:val="bottom"/>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Arial" w:cs="Arial" w:eastAsia="Arial" w:hAnsi="Arial"/>
                <w:sz w:val="17"/>
                <w:szCs w:val="17"/>
                <w:color w:val="0000FF"/>
              </w:rPr>
              <w:t>SE1 2RE</w:t>
            </w: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11/01/2021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6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454,848</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0.64</w:t>
            </w:r>
            <w:r>
              <w:rPr>
                <w:rFonts w:ascii="Arial" w:cs="Arial" w:eastAsia="Arial" w:hAnsi="Arial"/>
                <w:sz w:val="22"/>
                <w:szCs w:val="22"/>
                <w:color w:val="008000"/>
                <w:vertAlign w:val="superscript"/>
              </w:rPr>
              <w:t>(3)</w:t>
            </w:r>
          </w:p>
        </w:tc>
        <w:tc>
          <w:tcPr>
            <w:tcW w:w="122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16,897,408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11/02/2021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52,056</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0.6411</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98"/>
              </w:rPr>
              <w:t>16,845,352</w:t>
            </w:r>
            <w:r>
              <w:rPr>
                <w:rFonts w:ascii="Arial" w:cs="Arial" w:eastAsia="Arial" w:hAnsi="Arial"/>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October 29, 2021 divided by eight (8).</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$0.6525 to $0.6313. The Reporting Person undertakes to provide upon request to the SEC staff, the Issuer, or any shareholder of the Issuer, full information regarding the number of securities sold at each separate price within the range set forth in this footnote 5.</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10,535,528 Ordinary Shares underlying Restricted Share Units, each of which represents a contingent right to receive one (1) Ordinary Share of the Issuer (which are represented by 1,316,941 ADSs); and (ii) 6,309,824 Ordinary Shares underlying 788,728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2021-11-03T18:53:49Z</dcterms:created>
  <dcterms:modified xsi:type="dcterms:W3CDTF">2021-11-03T18:53:49Z</dcterms:modified>
</cp:coreProperties>
</file>