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5" w:lineRule="exact"/>
        <w:rPr>
          <w:sz w:val="24"/>
          <w:szCs w:val="24"/>
          <w:color w:val="auto"/>
        </w:rPr>
      </w:pPr>
    </w:p>
    <w:p>
      <w:pPr>
        <w:ind w:left="32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-177800</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23" w:lineRule="exact"/>
        <w:rPr>
          <w:sz w:val="24"/>
          <w:szCs w:val="24"/>
          <w:color w:val="auto"/>
        </w:rPr>
      </w:pPr>
    </w:p>
    <w:p>
      <w:pPr>
        <w:ind w:left="320" w:right="6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Pr>
          <w:p>
            <w:pPr>
              <w:jc w:val="center"/>
              <w:ind w:right="32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5"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2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5159375</wp:posOffset>
            </wp:positionH>
            <wp:positionV relativeFrom="paragraph">
              <wp:posOffset>-592455</wp:posOffset>
            </wp:positionV>
            <wp:extent cx="5651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5790"/>
                    </a:xfrm>
                    <a:prstGeom prst="rect">
                      <a:avLst/>
                    </a:prstGeom>
                    <a:noFill/>
                  </pic:spPr>
                </pic:pic>
              </a:graphicData>
            </a:graphic>
          </wp:anchor>
        </w:drawing>
        <w:drawing>
          <wp:anchor simplePos="0" relativeHeight="251657728" behindDoc="1" locked="0" layoutInCell="0" allowOverlap="1">
            <wp:simplePos x="0" y="0"/>
            <wp:positionH relativeFrom="column">
              <wp:posOffset>3874135</wp:posOffset>
            </wp:positionH>
            <wp:positionV relativeFrom="paragraph">
              <wp:posOffset>-592455</wp:posOffset>
            </wp:positionV>
            <wp:extent cx="56515" cy="605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579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-1753235</wp:posOffset>
            </wp:positionH>
            <wp:positionV relativeFrom="paragraph">
              <wp:posOffset>627380</wp:posOffset>
            </wp:positionV>
            <wp:extent cx="7049770" cy="4655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770" cy="4655185"/>
                    </a:xfrm>
                    <a:prstGeom prst="rect">
                      <a:avLst/>
                    </a:prstGeom>
                    <a:noFill/>
                  </pic:spPr>
                </pic:pic>
              </a:graphicData>
            </a:graphic>
          </wp:anchor>
        </w:drawing>
      </w:r>
    </w:p>
    <w:p>
      <w:pPr>
        <w:spacing w:after="0" w:line="1055"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Hahn Mark W</w:t>
        </w:r>
      </w:hyperlink>
    </w:p>
    <w:p>
      <w:pPr>
        <w:spacing w:after="0" w:line="273"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07/07/2025</w:t>
      </w:r>
    </w:p>
    <w:p>
      <w:pPr>
        <w:spacing w:after="0" w:line="20" w:lineRule="exact"/>
        <w:rPr>
          <w:sz w:val="24"/>
          <w:szCs w:val="24"/>
          <w:color w:val="auto"/>
        </w:rPr>
      </w:pPr>
      <w:r>
        <w:rPr>
          <w:sz w:val="24"/>
          <w:szCs w:val="24"/>
          <w:color w:val="auto"/>
        </w:rPr>
        <w:br w:type="column"/>
      </w:r>
    </w:p>
    <w:p>
      <w:pPr>
        <w:ind w:left="-7" w:right="780" w:firstLine="7"/>
        <w:spacing w:after="0" w:line="265" w:lineRule="auto"/>
        <w:tabs>
          <w:tab w:leader="none" w:pos="128"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33"/>
        <w:spacing w:after="0"/>
        <w:tabs>
          <w:tab w:leader="none" w:pos="2092"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5"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3" w:lineRule="exact"/>
        <w:rPr>
          <w:sz w:val="24"/>
          <w:szCs w:val="24"/>
          <w:color w:val="auto"/>
        </w:rPr>
      </w:pPr>
    </w:p>
    <w:p>
      <w:pPr>
        <w:ind w:left="853"/>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321" w:lineRule="exact"/>
        <w:rPr>
          <w:sz w:val="24"/>
          <w:szCs w:val="24"/>
          <w:color w:val="auto"/>
        </w:rPr>
      </w:pPr>
    </w:p>
    <w:p>
      <w:pPr>
        <w:sectPr>
          <w:pgSz w:w="11900" w:h="16838" w:orient="portrait"/>
          <w:cols w:equalWidth="0" w:num="3">
            <w:col w:w="3180" w:space="720"/>
            <w:col w:w="3107" w:space="720"/>
            <w:col w:w="3353"/>
          </w:cols>
          <w:pgMar w:left="460" w:top="212" w:right="359" w:bottom="1440" w:gutter="0" w:footer="0" w:header="0"/>
          <w:type w:val="continuous"/>
        </w:sectPr>
      </w:pP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tcBorders>
              <w:top w:val="single" w:sz="8" w:color="2C2C2C"/>
            </w:tcBorders>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40" w:type="dxa"/>
            <w:vAlign w:val="bottom"/>
            <w:tcBorders>
              <w:top w:val="single" w:sz="8" w:color="2C2C2C"/>
            </w:tcBorders>
          </w:tcPr>
          <w:p>
            <w:pPr>
              <w:spacing w:after="0"/>
              <w:rPr>
                <w:sz w:val="15"/>
                <w:szCs w:val="15"/>
                <w:color w:val="auto"/>
              </w:rPr>
            </w:pPr>
          </w:p>
        </w:tc>
        <w:tc>
          <w:tcPr>
            <w:tcW w:w="3420" w:type="dxa"/>
            <w:vAlign w:val="bottom"/>
            <w:tcBorders>
              <w:top w:val="single" w:sz="8" w:color="2C2C2C"/>
            </w:tcBorders>
            <w:gridSpan w:val="7"/>
            <w:vMerge w:val="restart"/>
          </w:tcPr>
          <w:p>
            <w:pPr>
              <w:ind w:left="1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LONDON</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X0</w:t>
            </w:r>
          </w:p>
        </w:tc>
        <w:tc>
          <w:tcPr>
            <w:tcW w:w="10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SE1 2RE</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80" w:type="dxa"/>
            <w:vAlign w:val="bottom"/>
            <w:gridSpan w:val="9"/>
            <w:vMerge w:val="continue"/>
          </w:tcPr>
          <w:p>
            <w:pPr>
              <w:spacing w:after="0"/>
              <w:rPr>
                <w:sz w:val="3"/>
                <w:szCs w:val="3"/>
                <w:color w:val="auto"/>
              </w:rPr>
            </w:pPr>
          </w:p>
        </w:tc>
        <w:tc>
          <w:tcPr>
            <w:tcW w:w="240" w:type="dxa"/>
            <w:vAlign w:val="bottom"/>
          </w:tcPr>
          <w:p>
            <w:pPr>
              <w:spacing w:after="0"/>
              <w:rPr>
                <w:sz w:val="3"/>
                <w:szCs w:val="3"/>
                <w:color w:val="auto"/>
              </w:rPr>
            </w:pPr>
          </w:p>
        </w:tc>
        <w:tc>
          <w:tcPr>
            <w:tcW w:w="3420" w:type="dxa"/>
            <w:vAlign w:val="bottom"/>
            <w:gridSpan w:val="7"/>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4"/>
          </w:tcPr>
          <w:p>
            <w:pPr>
              <w:ind w:left="10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0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6"/>
                <w:szCs w:val="6"/>
                <w:color w:val="auto"/>
              </w:rPr>
            </w:pPr>
          </w:p>
        </w:tc>
        <w:tc>
          <w:tcPr>
            <w:tcW w:w="110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102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880" w:type="dxa"/>
            <w:vAlign w:val="bottom"/>
            <w:tcBorders>
              <w:bottom w:val="single" w:sz="8" w:color="2C2C2C"/>
            </w:tcBorders>
            <w:gridSpan w:val="7"/>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380" w:type="dxa"/>
            <w:vAlign w:val="bottom"/>
            <w:tcBorders>
              <w:top w:val="single" w:sz="8" w:color="2C2C2C"/>
            </w:tcBorders>
            <w:gridSpan w:val="16"/>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420" w:type="dxa"/>
            <w:vAlign w:val="bottom"/>
            <w:tcBorders>
              <w:bottom w:val="single" w:sz="8" w:color="2C2C2C"/>
            </w:tcBorders>
            <w:gridSpan w:val="4"/>
          </w:tcPr>
          <w:p>
            <w:pPr>
              <w:spacing w:after="0"/>
              <w:rPr>
                <w:sz w:val="2"/>
                <w:szCs w:val="2"/>
                <w:color w:val="auto"/>
              </w:rPr>
            </w:pPr>
          </w:p>
        </w:tc>
        <w:tc>
          <w:tcPr>
            <w:tcW w:w="1800" w:type="dxa"/>
            <w:vAlign w:val="bottom"/>
            <w:tcBorders>
              <w:bottom w:val="single" w:sz="8" w:color="2C2C2C"/>
            </w:tcBorders>
            <w:gridSpan w:val="4"/>
          </w:tcPr>
          <w:p>
            <w:pPr>
              <w:spacing w:after="0"/>
              <w:rPr>
                <w:sz w:val="2"/>
                <w:szCs w:val="2"/>
                <w:color w:val="auto"/>
              </w:rPr>
            </w:pPr>
          </w:p>
        </w:tc>
        <w:tc>
          <w:tcPr>
            <w:tcW w:w="10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2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4"/>
          </w:tcPr>
          <w:p>
            <w:pPr>
              <w:ind w:left="8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20"/>
                <w:szCs w:val="20"/>
                <w:color w:val="auto"/>
              </w:rPr>
            </w:pPr>
            <w:r>
              <w:rPr>
                <w:rFonts w:ascii="Arial" w:cs="Arial" w:eastAsia="Arial" w:hAnsi="Arial"/>
                <w:sz w:val="11"/>
                <w:szCs w:val="11"/>
                <w:b w:val="1"/>
                <w:bCs w:val="1"/>
                <w:color w:val="auto"/>
              </w:rPr>
              <w:t>3.</w:t>
            </w:r>
          </w:p>
        </w:tc>
        <w:tc>
          <w:tcPr>
            <w:tcW w:w="420" w:type="dxa"/>
            <w:vAlign w:val="bottom"/>
          </w:tcPr>
          <w:p>
            <w:pPr>
              <w:spacing w:after="0"/>
              <w:rPr>
                <w:sz w:val="13"/>
                <w:szCs w:val="13"/>
                <w:color w:val="auto"/>
              </w:rPr>
            </w:pPr>
          </w:p>
        </w:tc>
        <w:tc>
          <w:tcPr>
            <w:tcW w:w="21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0" w:type="dxa"/>
            <w:vAlign w:val="bottom"/>
            <w:gridSpan w:val="4"/>
          </w:tcPr>
          <w:p>
            <w:pPr>
              <w:ind w:left="860"/>
              <w:spacing w:after="0" w:line="122"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6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Of (D) (Instr. 3, 4 and 5)</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0" w:type="dxa"/>
            <w:vAlign w:val="bottom"/>
            <w:gridSpan w:val="4"/>
          </w:tcPr>
          <w:p>
            <w:pPr>
              <w:ind w:left="860"/>
              <w:spacing w:after="0" w:line="122"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spacing w:after="0" w:line="122" w:lineRule="exact"/>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3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4"/>
          </w:tcPr>
          <w:p>
            <w:pPr>
              <w:ind w:left="940"/>
              <w:spacing w:after="0"/>
              <w:rPr>
                <w:sz w:val="20"/>
                <w:szCs w:val="20"/>
                <w:color w:val="auto"/>
              </w:rPr>
            </w:pPr>
            <w:r>
              <w:rPr>
                <w:rFonts w:ascii="Times New Roman" w:cs="Times New Roman" w:eastAsia="Times New Roman" w:hAnsi="Times New Roman"/>
                <w:sz w:val="16"/>
                <w:szCs w:val="16"/>
                <w:color w:val="0000FF"/>
              </w:rPr>
              <w:t>07/07/2025</w:t>
            </w: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4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20"/>
              <w:spacing w:after="0"/>
              <w:rPr>
                <w:sz w:val="20"/>
                <w:szCs w:val="20"/>
                <w:color w:val="auto"/>
              </w:rPr>
            </w:pPr>
            <w:r>
              <w:rPr>
                <w:rFonts w:ascii="Times New Roman" w:cs="Times New Roman" w:eastAsia="Times New Roman" w:hAnsi="Times New Roman"/>
                <w:sz w:val="16"/>
                <w:szCs w:val="16"/>
                <w:color w:val="0000FF"/>
              </w:rPr>
              <w:t>229,512</w:t>
            </w:r>
          </w:p>
        </w:tc>
        <w:tc>
          <w:tcPr>
            <w:tcW w:w="4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3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24"/>
              <w:spacing w:after="0"/>
              <w:rPr>
                <w:sz w:val="20"/>
                <w:szCs w:val="20"/>
                <w:color w:val="auto"/>
              </w:rPr>
            </w:pPr>
            <w:r>
              <w:rPr>
                <w:rFonts w:ascii="Times New Roman" w:cs="Times New Roman" w:eastAsia="Times New Roman" w:hAnsi="Times New Roman"/>
                <w:sz w:val="16"/>
                <w:szCs w:val="16"/>
                <w:color w:val="0000FF"/>
              </w:rPr>
              <w:t>12,508,504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4"/>
          </w:tcPr>
          <w:p>
            <w:pPr>
              <w:ind w:left="940"/>
              <w:spacing w:after="0"/>
              <w:rPr>
                <w:sz w:val="20"/>
                <w:szCs w:val="20"/>
                <w:color w:val="auto"/>
              </w:rPr>
            </w:pPr>
            <w:r>
              <w:rPr>
                <w:rFonts w:ascii="Times New Roman" w:cs="Times New Roman" w:eastAsia="Times New Roman" w:hAnsi="Times New Roman"/>
                <w:sz w:val="16"/>
                <w:szCs w:val="16"/>
                <w:color w:val="0000FF"/>
              </w:rPr>
              <w:t>07/08/2025</w:t>
            </w: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4"/>
                <w:szCs w:val="24"/>
                <w:color w:val="0000FF"/>
                <w:w w:val="87"/>
                <w:vertAlign w:val="subscript"/>
              </w:rPr>
              <w:t>F</w:t>
            </w:r>
            <w:r>
              <w:rPr>
                <w:rFonts w:ascii="Times New Roman" w:cs="Times New Roman" w:eastAsia="Times New Roman" w:hAnsi="Times New Roman"/>
                <w:sz w:val="10"/>
                <w:szCs w:val="10"/>
                <w:color w:val="008000"/>
                <w:w w:val="87"/>
              </w:rPr>
              <w:t>(2)</w:t>
            </w:r>
          </w:p>
        </w:tc>
        <w:tc>
          <w:tcPr>
            <w:tcW w:w="4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6"/>
                <w:szCs w:val="16"/>
                <w:color w:val="0000FF"/>
              </w:rPr>
              <w:t>90,320</w:t>
            </w:r>
          </w:p>
        </w:tc>
        <w:tc>
          <w:tcPr>
            <w:tcW w:w="4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11.4413</w:t>
            </w:r>
            <w:r>
              <w:rPr>
                <w:rFonts w:ascii="Times New Roman" w:cs="Times New Roman" w:eastAsia="Times New Roman" w:hAnsi="Times New Roman"/>
                <w:sz w:val="20"/>
                <w:szCs w:val="20"/>
                <w:color w:val="008000"/>
                <w:w w:val="99"/>
                <w:vertAlign w:val="superscript"/>
              </w:rPr>
              <w:t>(3)</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44"/>
              <w:spacing w:after="0"/>
              <w:rPr>
                <w:sz w:val="20"/>
                <w:szCs w:val="20"/>
                <w:color w:val="auto"/>
              </w:rPr>
            </w:pPr>
            <w:r>
              <w:rPr>
                <w:rFonts w:ascii="Times New Roman" w:cs="Times New Roman" w:eastAsia="Times New Roman" w:hAnsi="Times New Roman"/>
                <w:sz w:val="16"/>
                <w:szCs w:val="16"/>
                <w:color w:val="0000FF"/>
              </w:rPr>
              <w:t>12,418,184</w:t>
            </w:r>
            <w:r>
              <w:rPr>
                <w:rFonts w:ascii="Times New Roman" w:cs="Times New Roman" w:eastAsia="Times New Roman" w:hAnsi="Times New Roman"/>
                <w:sz w:val="20"/>
                <w:szCs w:val="20"/>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380" w:type="dxa"/>
            <w:vAlign w:val="bottom"/>
            <w:gridSpan w:val="16"/>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740" w:type="dxa"/>
            <w:vAlign w:val="bottom"/>
            <w:gridSpan w:val="15"/>
          </w:tcPr>
          <w:p>
            <w:pPr>
              <w:ind w:left="9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4"/>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5. Number of</w:t>
            </w:r>
          </w:p>
        </w:tc>
        <w:tc>
          <w:tcPr>
            <w:tcW w:w="26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Conversion  Date</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36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Derivative Securities</w:t>
            </w:r>
          </w:p>
        </w:tc>
        <w:tc>
          <w:tcPr>
            <w:tcW w:w="12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120"/>
              <w:spacing w:after="0" w:line="122"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tcPr>
          <w:p>
            <w:pPr>
              <w:jc w:val="center"/>
              <w:ind w:left="18"/>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Acquired (A) or</w:t>
            </w:r>
          </w:p>
        </w:tc>
        <w:tc>
          <w:tcPr>
            <w:tcW w:w="260" w:type="dxa"/>
            <w:vAlign w:val="bottom"/>
          </w:tcPr>
          <w:p>
            <w:pPr>
              <w:spacing w:after="0"/>
              <w:rPr>
                <w:sz w:val="10"/>
                <w:szCs w:val="10"/>
                <w:color w:val="auto"/>
              </w:rPr>
            </w:pPr>
          </w:p>
        </w:tc>
        <w:tc>
          <w:tcPr>
            <w:tcW w:w="12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w w:val="97"/>
              </w:rPr>
              <w:t>Underlying</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3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6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Disposed of (D) (Instr.</w:t>
            </w: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gridSpan w:val="4"/>
          </w:tcPr>
          <w:p>
            <w:pPr>
              <w:ind w:left="120"/>
              <w:spacing w:after="0" w:line="122"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3, 4 and 5)</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gridSpan w:val="4"/>
          </w:tcPr>
          <w:p>
            <w:pPr>
              <w:ind w:left="120"/>
              <w:spacing w:after="0" w:line="122"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gridSpan w:val="4"/>
            <w:vMerge w:val="restart"/>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4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5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line="122" w:lineRule="exact"/>
              <w:rPr>
                <w:sz w:val="20"/>
                <w:szCs w:val="20"/>
                <w:color w:val="auto"/>
              </w:rPr>
            </w:pPr>
            <w:r>
              <w:rPr>
                <w:rFonts w:ascii="Arial" w:cs="Arial" w:eastAsia="Arial" w:hAnsi="Arial"/>
                <w:sz w:val="11"/>
                <w:szCs w:val="11"/>
                <w:b w:val="1"/>
                <w:bCs w:val="1"/>
                <w:color w:val="auto"/>
              </w:rPr>
              <w:t>Date</w:t>
            </w:r>
          </w:p>
        </w:tc>
        <w:tc>
          <w:tcPr>
            <w:tcW w:w="860" w:type="dxa"/>
            <w:vAlign w:val="bottom"/>
          </w:tcPr>
          <w:p>
            <w:pPr>
              <w:jc w:val="center"/>
              <w:ind w:left="240"/>
              <w:spacing w:after="0" w:line="122" w:lineRule="exact"/>
              <w:rPr>
                <w:sz w:val="20"/>
                <w:szCs w:val="20"/>
                <w:color w:val="auto"/>
              </w:rPr>
            </w:pPr>
            <w:r>
              <w:rPr>
                <w:rFonts w:ascii="Arial" w:cs="Arial" w:eastAsia="Arial" w:hAnsi="Arial"/>
                <w:sz w:val="11"/>
                <w:szCs w:val="11"/>
                <w:b w:val="1"/>
                <w:bCs w:val="1"/>
                <w:color w:val="auto"/>
                <w:w w:val="96"/>
              </w:rPr>
              <w:t>Expiration</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5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180" w:type="dxa"/>
            <w:vAlign w:val="bottom"/>
          </w:tcPr>
          <w:p>
            <w:pPr>
              <w:spacing w:after="0"/>
              <w:rPr>
                <w:sz w:val="12"/>
                <w:szCs w:val="12"/>
                <w:color w:val="auto"/>
              </w:rPr>
            </w:pPr>
          </w:p>
        </w:tc>
        <w:tc>
          <w:tcPr>
            <w:tcW w:w="46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12"/>
                <w:szCs w:val="12"/>
                <w:color w:val="auto"/>
              </w:rPr>
            </w:pPr>
          </w:p>
        </w:tc>
        <w:tc>
          <w:tcPr>
            <w:tcW w:w="1280" w:type="dxa"/>
            <w:vAlign w:val="bottom"/>
            <w:gridSpan w:val="2"/>
          </w:tcPr>
          <w:p>
            <w:pPr>
              <w:spacing w:after="0"/>
              <w:rPr>
                <w:sz w:val="20"/>
                <w:szCs w:val="20"/>
                <w:color w:val="auto"/>
              </w:rPr>
            </w:pPr>
            <w:r>
              <w:rPr>
                <w:rFonts w:ascii="Arial" w:cs="Arial" w:eastAsia="Arial" w:hAnsi="Arial"/>
                <w:sz w:val="11"/>
                <w:szCs w:val="11"/>
                <w:b w:val="1"/>
                <w:bCs w:val="1"/>
                <w:color w:val="auto"/>
              </w:rPr>
              <w:t>Exercisable  Date</w:t>
            </w:r>
          </w:p>
        </w:tc>
        <w:tc>
          <w:tcPr>
            <w:tcW w:w="460" w:type="dxa"/>
            <w:vAlign w:val="bottom"/>
          </w:tcPr>
          <w:p>
            <w:pPr>
              <w:ind w:left="120"/>
              <w:spacing w:after="0"/>
              <w:rPr>
                <w:sz w:val="20"/>
                <w:szCs w:val="20"/>
                <w:color w:val="auto"/>
              </w:rPr>
            </w:pPr>
            <w:r>
              <w:rPr>
                <w:rFonts w:ascii="Arial" w:cs="Arial" w:eastAsia="Arial" w:hAnsi="Arial"/>
                <w:sz w:val="11"/>
                <w:szCs w:val="11"/>
                <w:b w:val="1"/>
                <w:bCs w:val="1"/>
                <w:color w:val="auto"/>
              </w:rPr>
              <w:t>Title</w:t>
            </w:r>
          </w:p>
        </w:tc>
        <w:tc>
          <w:tcPr>
            <w:tcW w:w="24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10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w w:val="98"/>
              </w:rPr>
              <w:t>07/07/2025</w:t>
            </w:r>
          </w:p>
        </w:tc>
        <w:tc>
          <w:tcPr>
            <w:tcW w:w="1020" w:type="dxa"/>
            <w:vAlign w:val="bottom"/>
          </w:tcPr>
          <w:p>
            <w:pPr>
              <w:spacing w:after="0"/>
              <w:rPr>
                <w:sz w:val="16"/>
                <w:szCs w:val="16"/>
                <w:color w:val="auto"/>
              </w:rPr>
            </w:pPr>
          </w:p>
        </w:tc>
        <w:tc>
          <w:tcPr>
            <w:tcW w:w="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7"/>
              </w:rPr>
              <w:t>675,048</w:t>
            </w:r>
          </w:p>
        </w:tc>
        <w:tc>
          <w:tcPr>
            <w:tcW w:w="180" w:type="dxa"/>
            <w:vAlign w:val="bottom"/>
            <w:vMerge w:val="restart"/>
          </w:tcPr>
          <w:p>
            <w:pPr>
              <w:jc w:val="right"/>
              <w:ind w:right="9"/>
              <w:spacing w:after="0"/>
              <w:rPr>
                <w:sz w:val="20"/>
                <w:szCs w:val="20"/>
                <w:color w:val="auto"/>
              </w:rPr>
            </w:pPr>
            <w:r>
              <w:rPr>
                <w:rFonts w:ascii="Times New Roman" w:cs="Times New Roman" w:eastAsia="Times New Roman" w:hAnsi="Times New Roman"/>
                <w:sz w:val="10"/>
                <w:szCs w:val="10"/>
                <w:color w:val="008000"/>
                <w:w w:val="85"/>
              </w:rPr>
              <w:t>(5)</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(6)</w:t>
            </w:r>
          </w:p>
        </w:tc>
        <w:tc>
          <w:tcPr>
            <w:tcW w:w="860" w:type="dxa"/>
            <w:vAlign w:val="bottom"/>
            <w:vMerge w:val="restart"/>
          </w:tcPr>
          <w:p>
            <w:pPr>
              <w:jc w:val="center"/>
              <w:ind w:left="24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Ordinary</w:t>
            </w:r>
          </w:p>
        </w:tc>
        <w:tc>
          <w:tcPr>
            <w:tcW w:w="5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675,048</w:t>
            </w:r>
          </w:p>
        </w:tc>
        <w:tc>
          <w:tcPr>
            <w:tcW w:w="20" w:type="dxa"/>
            <w:vAlign w:val="bottom"/>
          </w:tcPr>
          <w:p>
            <w:pPr>
              <w:spacing w:after="0"/>
              <w:rPr>
                <w:sz w:val="16"/>
                <w:szCs w:val="16"/>
                <w:color w:val="auto"/>
              </w:rPr>
            </w:pPr>
          </w:p>
        </w:tc>
        <w:tc>
          <w:tcPr>
            <w:tcW w:w="64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color w:val="0000FF"/>
              </w:rPr>
              <w:t>675,048</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60" w:type="dxa"/>
            <w:vAlign w:val="bottom"/>
            <w:gridSpan w:val="2"/>
            <w:vMerge w:val="restart"/>
          </w:tcPr>
          <w:p>
            <w:pPr>
              <w:ind w:left="80"/>
              <w:spacing w:after="0" w:line="62"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6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6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00" w:type="dxa"/>
            <w:vAlign w:val="bottom"/>
            <w:gridSpan w:val="2"/>
          </w:tcPr>
          <w:p>
            <w:pPr>
              <w:ind w:left="12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5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Share</w:t>
            </w:r>
          </w:p>
        </w:tc>
        <w:tc>
          <w:tcPr>
            <w:tcW w:w="6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660" w:type="dxa"/>
            <w:vAlign w:val="bottom"/>
            <w:tcBorders>
              <w:bottom w:val="single" w:sz="8" w:color="2C2C2C"/>
            </w:tcBorders>
            <w:gridSpan w:val="2"/>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10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w w:val="98"/>
              </w:rPr>
              <w:t>07/07/2025</w:t>
            </w:r>
          </w:p>
        </w:tc>
        <w:tc>
          <w:tcPr>
            <w:tcW w:w="1020" w:type="dxa"/>
            <w:vAlign w:val="bottom"/>
          </w:tcPr>
          <w:p>
            <w:pPr>
              <w:spacing w:after="0"/>
              <w:rPr>
                <w:sz w:val="16"/>
                <w:szCs w:val="16"/>
                <w:color w:val="auto"/>
              </w:rPr>
            </w:pPr>
          </w:p>
        </w:tc>
        <w:tc>
          <w:tcPr>
            <w:tcW w:w="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w w:val="97"/>
              </w:rPr>
              <w:t>229,512</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(5)</w:t>
            </w:r>
          </w:p>
        </w:tc>
        <w:tc>
          <w:tcPr>
            <w:tcW w:w="4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(6)</w:t>
            </w:r>
          </w:p>
        </w:tc>
        <w:tc>
          <w:tcPr>
            <w:tcW w:w="860" w:type="dxa"/>
            <w:vAlign w:val="bottom"/>
            <w:vMerge w:val="restart"/>
          </w:tcPr>
          <w:p>
            <w:pPr>
              <w:jc w:val="center"/>
              <w:ind w:left="24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Ordinary</w:t>
            </w:r>
          </w:p>
        </w:tc>
        <w:tc>
          <w:tcPr>
            <w:tcW w:w="5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229,512</w:t>
            </w:r>
          </w:p>
        </w:tc>
        <w:tc>
          <w:tcPr>
            <w:tcW w:w="20" w:type="dxa"/>
            <w:vAlign w:val="bottom"/>
          </w:tcPr>
          <w:p>
            <w:pPr>
              <w:spacing w:after="0"/>
              <w:rPr>
                <w:sz w:val="16"/>
                <w:szCs w:val="16"/>
                <w:color w:val="auto"/>
              </w:rPr>
            </w:pPr>
          </w:p>
        </w:tc>
        <w:tc>
          <w:tcPr>
            <w:tcW w:w="64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color w:val="0000FF"/>
              </w:rPr>
              <w:t>445,536</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60" w:type="dxa"/>
            <w:vAlign w:val="bottom"/>
            <w:gridSpan w:val="2"/>
            <w:vMerge w:val="restart"/>
          </w:tcPr>
          <w:p>
            <w:pPr>
              <w:ind w:left="340"/>
              <w:spacing w:after="0" w:line="62" w:lineRule="exact"/>
              <w:rPr>
                <w:sz w:val="20"/>
                <w:szCs w:val="20"/>
                <w:color w:val="auto"/>
              </w:rPr>
            </w:pPr>
            <w:r>
              <w:rPr>
                <w:rFonts w:ascii="Times New Roman" w:cs="Times New Roman" w:eastAsia="Times New Roman" w:hAnsi="Times New Roman"/>
                <w:sz w:val="7"/>
                <w:szCs w:val="7"/>
                <w:color w:val="008000"/>
              </w:rPr>
              <w:t>(5)</w:t>
            </w:r>
          </w:p>
        </w:tc>
        <w:tc>
          <w:tcPr>
            <w:tcW w:w="6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6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00" w:type="dxa"/>
            <w:vAlign w:val="bottom"/>
            <w:gridSpan w:val="2"/>
          </w:tcPr>
          <w:p>
            <w:pPr>
              <w:ind w:left="12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5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
        </w:trPr>
        <w:tc>
          <w:tcPr>
            <w:tcW w:w="660" w:type="dxa"/>
            <w:vAlign w:val="bottom"/>
            <w:gridSpan w:val="2"/>
          </w:tcPr>
          <w:p>
            <w:pPr>
              <w:ind w:left="80"/>
              <w:spacing w:after="0" w:line="87" w:lineRule="exact"/>
              <w:rPr>
                <w:sz w:val="20"/>
                <w:szCs w:val="20"/>
                <w:color w:val="auto"/>
              </w:rPr>
            </w:pPr>
            <w:r>
              <w:rPr>
                <w:rFonts w:ascii="Times New Roman" w:cs="Times New Roman" w:eastAsia="Times New Roman" w:hAnsi="Times New Roman"/>
                <w:sz w:val="10"/>
                <w:szCs w:val="10"/>
                <w:color w:val="0000FF"/>
              </w:rPr>
              <w:t>Share</w:t>
            </w:r>
          </w:p>
        </w:tc>
        <w:tc>
          <w:tcPr>
            <w:tcW w:w="6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Units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Reported securities are represented by American Depositary Shares ("ADSs"), each of which represents eight (8) Ordinary Shares of the Issuer.</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number of Ordinary Shares withheld to satisfy the tax withholding obligation in connection with the vesting of certain previously reported Restricted Share Units.</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represents the closing price of the Issuer's ADSs on the Nasdaq Stock Market LLC on July 3, 2025 divided by eight (8).</w:t>
      </w:r>
    </w:p>
    <w:p>
      <w:pPr>
        <w:spacing w:after="0" w:line="44" w:lineRule="exact"/>
        <w:rPr>
          <w:rFonts w:ascii="Times New Roman" w:cs="Times New Roman" w:eastAsia="Times New Roman" w:hAnsi="Times New Roman"/>
          <w:sz w:val="12"/>
          <w:szCs w:val="12"/>
          <w:color w:val="008000"/>
        </w:rPr>
      </w:pPr>
    </w:p>
    <w:p>
      <w:pPr>
        <w:ind w:left="40" w:right="240" w:hanging="6"/>
        <w:spacing w:after="0" w:line="269"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(i) 2,450,000 Ordinary Shares underlying Restricted Share Units, each of which represents a contingent right to receive one (1) Ordinary Share of the Issuer (which are represented by 306,250 ADSs); and (ii) 9,968,184 Ordinary Shares underlying 1,246,023 ADSs.</w:t>
      </w:r>
    </w:p>
    <w:p>
      <w:pPr>
        <w:spacing w:after="0" w:line="7" w:lineRule="exact"/>
        <w:rPr>
          <w:rFonts w:ascii="Times New Roman" w:cs="Times New Roman" w:eastAsia="Times New Roman" w:hAnsi="Times New Roman"/>
          <w:sz w:val="12"/>
          <w:szCs w:val="12"/>
          <w:color w:val="008000"/>
        </w:rPr>
      </w:pPr>
    </w:p>
    <w:p>
      <w:pPr>
        <w:ind w:left="40" w:right="560" w:hanging="6"/>
        <w:spacing w:after="0" w:line="269"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an award of performance-based Restricted Share Units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7" w:lineRule="exact"/>
        <w:rPr>
          <w:rFonts w:ascii="Times New Roman" w:cs="Times New Roman" w:eastAsia="Times New Roman" w:hAnsi="Times New Roman"/>
          <w:sz w:val="12"/>
          <w:szCs w:val="12"/>
          <w:color w:val="008000"/>
        </w:rPr>
      </w:pPr>
    </w:p>
    <w:p>
      <w:pPr>
        <w:ind w:left="40" w:right="160" w:hanging="6"/>
        <w:spacing w:after="0" w:line="251"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were earned upon the determination by the Board of Directors of the Issuer (the "Determination Date") that certain performance metrics related to Q2 2025 had been achieved. The RSUs vested as to 34% of the total shares on the Determination Date, and vest as to the remainder of the shares in equal quarterly installments over a two year period on each of November 1, February 1, May 1 and August 1, subject to the Reporting Person's continued service to the Issuer on each vesting date.</w:t>
      </w:r>
    </w:p>
    <w:p>
      <w:pPr>
        <w:spacing w:after="0" w:line="3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7"/>
              </w:rPr>
              <w:t>/s/ Andrew Fisher, Attorney-in-</w:t>
            </w:r>
          </w:p>
        </w:tc>
        <w:tc>
          <w:tcPr>
            <w:tcW w:w="20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07/09/2025</w:t>
            </w:r>
          </w:p>
        </w:tc>
        <w:tc>
          <w:tcPr>
            <w:tcW w:w="0" w:type="dxa"/>
            <w:vAlign w:val="bottom"/>
          </w:tcPr>
          <w:p>
            <w:pPr>
              <w:spacing w:after="0"/>
              <w:rPr>
                <w:sz w:val="1"/>
                <w:szCs w:val="1"/>
                <w:color w:val="auto"/>
              </w:rPr>
            </w:pPr>
          </w:p>
        </w:tc>
      </w:tr>
      <w:tr>
        <w:trPr>
          <w:trHeight w:val="83"/>
        </w:trPr>
        <w:tc>
          <w:tcPr>
            <w:tcW w:w="2200" w:type="dxa"/>
            <w:vAlign w:val="bottom"/>
            <w:gridSpan w:val="3"/>
            <w:vMerge w:val="restart"/>
          </w:tcPr>
          <w:p>
            <w:pPr>
              <w:spacing w:after="0" w:line="175" w:lineRule="exact"/>
              <w:rPr>
                <w:sz w:val="20"/>
                <w:szCs w:val="20"/>
                <w:color w:val="auto"/>
              </w:rPr>
            </w:pPr>
            <w:r>
              <w:rPr>
                <w:rFonts w:ascii="Times New Roman" w:cs="Times New Roman" w:eastAsia="Times New Roman" w:hAnsi="Times New Roman"/>
                <w:sz w:val="16"/>
                <w:szCs w:val="16"/>
                <w:color w:val="0000FF"/>
              </w:rPr>
              <w:t>fact for Mark Hahn</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000" w:hanging="6"/>
        <w:spacing w:after="0" w:line="318"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0850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2025-07-09T17:44:00Z</dcterms:created>
  <dcterms:modified xsi:type="dcterms:W3CDTF">2025-07-09T17:44:00Z</dcterms:modified>
</cp:coreProperties>
</file>