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7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19, 2021</w:t>
      </w:r>
    </w:p>
    <w:p>
      <w:pPr>
        <w:spacing w:after="0" w:line="6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85090</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136525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6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170815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4"/>
          <w:szCs w:val="24"/>
          <w:color w:val="auto"/>
        </w:rPr>
      </w:pPr>
    </w:p>
    <w:tbl>
      <w:tblPr>
        <w:tblLayout w:type="fixed"/>
        <w:tblInd w:w="1960" w:type="dxa"/>
        <w:tblCellMar>
          <w:top w:w="0" w:type="dxa"/>
          <w:left w:w="0" w:type="dxa"/>
          <w:bottom w:w="0" w:type="dxa"/>
          <w:right w:w="0" w:type="dxa"/>
        </w:tblCellMar>
      </w:tblPr>
      <w:tr>
        <w:trPr>
          <w:trHeight w:val="334"/>
        </w:trPr>
        <w:tc>
          <w:tcPr>
            <w:tcW w:w="1820" w:type="dxa"/>
            <w:vAlign w:val="bottom"/>
          </w:tcPr>
          <w:p>
            <w:pPr>
              <w:spacing w:after="0"/>
              <w:rPr>
                <w:sz w:val="24"/>
                <w:szCs w:val="24"/>
                <w:color w:val="auto"/>
              </w:rPr>
            </w:pPr>
          </w:p>
        </w:tc>
        <w:tc>
          <w:tcPr>
            <w:tcW w:w="4760" w:type="dxa"/>
            <w:vAlign w:val="bottom"/>
            <w:gridSpan w:val="4"/>
          </w:tcPr>
          <w:p>
            <w:pPr>
              <w:jc w:val="center"/>
              <w:ind w:right="1508"/>
              <w:spacing w:after="0"/>
              <w:rPr>
                <w:sz w:val="20"/>
                <w:szCs w:val="20"/>
                <w:color w:val="auto"/>
              </w:rPr>
            </w:pPr>
            <w:r>
              <w:rPr>
                <w:rFonts w:ascii="Times New Roman" w:cs="Times New Roman" w:eastAsia="Times New Roman" w:hAnsi="Times New Roman"/>
                <w:sz w:val="25"/>
                <w:szCs w:val="25"/>
                <w:b w:val="1"/>
                <w:bCs w:val="1"/>
                <w:color w:val="auto"/>
                <w:w w:val="96"/>
              </w:rPr>
              <w:t>Post-Effective Amendment to</w:t>
            </w: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1"/>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2"/>
          </w:tcPr>
          <w:p>
            <w:pPr>
              <w:jc w:val="center"/>
              <w:ind w:right="2128"/>
              <w:spacing w:after="0"/>
              <w:rPr>
                <w:sz w:val="20"/>
                <w:szCs w:val="20"/>
                <w:color w:val="auto"/>
              </w:rPr>
            </w:pPr>
            <w:r>
              <w:rPr>
                <w:rFonts w:ascii="Times New Roman" w:cs="Times New Roman" w:eastAsia="Times New Roman" w:hAnsi="Times New Roman"/>
                <w:sz w:val="25"/>
                <w:szCs w:val="25"/>
                <w:b w:val="1"/>
                <w:bCs w:val="1"/>
                <w:color w:val="auto"/>
                <w:w w:val="95"/>
              </w:rPr>
              <w:t>Form F-1</w:t>
            </w:r>
          </w:p>
        </w:tc>
        <w:tc>
          <w:tcPr>
            <w:tcW w:w="0" w:type="dxa"/>
            <w:vAlign w:val="bottom"/>
          </w:tcPr>
          <w:p>
            <w:pPr>
              <w:spacing w:after="0"/>
              <w:rPr>
                <w:sz w:val="1"/>
                <w:szCs w:val="1"/>
                <w:color w:val="auto"/>
              </w:rPr>
            </w:pPr>
          </w:p>
        </w:tc>
      </w:tr>
      <w:tr>
        <w:trPr>
          <w:trHeight w:val="278"/>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2"/>
          </w:tcPr>
          <w:p>
            <w:pPr>
              <w:jc w:val="center"/>
              <w:ind w:right="2128"/>
              <w:spacing w:after="0"/>
              <w:rPr>
                <w:sz w:val="20"/>
                <w:szCs w:val="20"/>
                <w:color w:val="auto"/>
              </w:rPr>
            </w:pPr>
            <w:r>
              <w:rPr>
                <w:rFonts w:ascii="Times New Roman" w:cs="Times New Roman" w:eastAsia="Times New Roman" w:hAnsi="Times New Roman"/>
                <w:sz w:val="14"/>
                <w:szCs w:val="14"/>
                <w:b w:val="1"/>
                <w:bCs w:val="1"/>
                <w:color w:val="auto"/>
                <w:w w:val="94"/>
              </w:rPr>
              <w:t>on</w:t>
            </w:r>
          </w:p>
        </w:tc>
        <w:tc>
          <w:tcPr>
            <w:tcW w:w="0" w:type="dxa"/>
            <w:vAlign w:val="bottom"/>
          </w:tcPr>
          <w:p>
            <w:pPr>
              <w:spacing w:after="0"/>
              <w:rPr>
                <w:sz w:val="1"/>
                <w:szCs w:val="1"/>
                <w:color w:val="auto"/>
              </w:rPr>
            </w:pPr>
          </w:p>
        </w:tc>
      </w:tr>
      <w:tr>
        <w:trPr>
          <w:trHeight w:val="343"/>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2"/>
          </w:tcPr>
          <w:p>
            <w:pPr>
              <w:jc w:val="center"/>
              <w:ind w:right="2128"/>
              <w:spacing w:after="0"/>
              <w:rPr>
                <w:sz w:val="20"/>
                <w:szCs w:val="20"/>
                <w:color w:val="auto"/>
              </w:rPr>
            </w:pPr>
            <w:r>
              <w:rPr>
                <w:rFonts w:ascii="Times New Roman" w:cs="Times New Roman" w:eastAsia="Times New Roman" w:hAnsi="Times New Roman"/>
                <w:sz w:val="25"/>
                <w:szCs w:val="25"/>
                <w:b w:val="1"/>
                <w:bCs w:val="1"/>
                <w:color w:val="auto"/>
                <w:w w:val="97"/>
              </w:rPr>
              <w:t>Form S-3</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17"/>
                <w:szCs w:val="17"/>
                <w:color w:val="auto"/>
              </w:rPr>
            </w:pPr>
          </w:p>
        </w:tc>
        <w:tc>
          <w:tcPr>
            <w:tcW w:w="4760" w:type="dxa"/>
            <w:vAlign w:val="bottom"/>
            <w:gridSpan w:val="4"/>
          </w:tcPr>
          <w:p>
            <w:pPr>
              <w:jc w:val="center"/>
              <w:ind w:right="1548"/>
              <w:spacing w:after="0"/>
              <w:rPr>
                <w:sz w:val="20"/>
                <w:szCs w:val="20"/>
                <w:color w:val="auto"/>
              </w:rPr>
            </w:pPr>
            <w:r>
              <w:rPr>
                <w:rFonts w:ascii="Times New Roman" w:cs="Times New Roman" w:eastAsia="Times New Roman" w:hAnsi="Times New Roman"/>
                <w:sz w:val="14"/>
                <w:szCs w:val="14"/>
                <w:b w:val="1"/>
                <w:bCs w:val="1"/>
                <w:color w:val="auto"/>
                <w:w w:val="98"/>
              </w:rPr>
              <w:t>REGISTRATION STATEMENT</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2"/>
          </w:tcPr>
          <w:p>
            <w:pPr>
              <w:jc w:val="center"/>
              <w:ind w:right="2168"/>
              <w:spacing w:after="0"/>
              <w:rPr>
                <w:sz w:val="20"/>
                <w:szCs w:val="20"/>
                <w:color w:val="auto"/>
              </w:rPr>
            </w:pPr>
            <w:r>
              <w:rPr>
                <w:rFonts w:ascii="Times New Roman" w:cs="Times New Roman" w:eastAsia="Times New Roman" w:hAnsi="Times New Roman"/>
                <w:sz w:val="14"/>
                <w:szCs w:val="14"/>
                <w:b w:val="1"/>
                <w:bCs w:val="1"/>
                <w:i w:val="1"/>
                <w:iCs w:val="1"/>
                <w:color w:val="auto"/>
              </w:rPr>
              <w:t>UNDER</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160" w:type="dxa"/>
            <w:vAlign w:val="bottom"/>
            <w:gridSpan w:val="3"/>
          </w:tcPr>
          <w:p>
            <w:pPr>
              <w:jc w:val="center"/>
              <w:ind w:right="2108"/>
              <w:spacing w:after="0"/>
              <w:rPr>
                <w:sz w:val="20"/>
                <w:szCs w:val="20"/>
                <w:color w:val="auto"/>
              </w:rPr>
            </w:pPr>
            <w:r>
              <w:rPr>
                <w:rFonts w:ascii="Times New Roman" w:cs="Times New Roman" w:eastAsia="Times New Roman" w:hAnsi="Times New Roman"/>
                <w:sz w:val="14"/>
                <w:szCs w:val="14"/>
                <w:b w:val="1"/>
                <w:bCs w:val="1"/>
                <w:i w:val="1"/>
                <w:iCs w:val="1"/>
                <w:color w:val="auto"/>
                <w:w w:val="99"/>
              </w:rPr>
              <w:t>THE SECURITIES ACT OF 1933</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1820" w:type="dxa"/>
            <w:vAlign w:val="bottom"/>
          </w:tcPr>
          <w:p>
            <w:pPr>
              <w:spacing w:after="0"/>
              <w:rPr>
                <w:sz w:val="24"/>
                <w:szCs w:val="24"/>
                <w:color w:val="auto"/>
              </w:rPr>
            </w:pPr>
          </w:p>
        </w:tc>
        <w:tc>
          <w:tcPr>
            <w:tcW w:w="4760" w:type="dxa"/>
            <w:vAlign w:val="bottom"/>
            <w:gridSpan w:val="4"/>
          </w:tcPr>
          <w:p>
            <w:pPr>
              <w:jc w:val="center"/>
              <w:ind w:right="1588"/>
              <w:spacing w:after="0"/>
              <w:rPr>
                <w:sz w:val="20"/>
                <w:szCs w:val="20"/>
                <w:color w:val="auto"/>
              </w:rPr>
            </w:pPr>
            <w:r>
              <w:rPr>
                <w:rFonts w:ascii="Times New Roman" w:cs="Times New Roman" w:eastAsia="Times New Roman" w:hAnsi="Times New Roman"/>
                <w:sz w:val="29"/>
                <w:szCs w:val="29"/>
                <w:b w:val="1"/>
                <w:bCs w:val="1"/>
                <w:color w:val="auto"/>
                <w:w w:val="94"/>
              </w:rPr>
              <w:t>Verona Pharma plc</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4760" w:type="dxa"/>
            <w:vAlign w:val="bottom"/>
            <w:gridSpan w:val="4"/>
          </w:tcPr>
          <w:p>
            <w:pPr>
              <w:jc w:val="center"/>
              <w:ind w:right="1528"/>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199"/>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United Kingdom</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200" w:type="dxa"/>
            <w:vAlign w:val="bottom"/>
            <w:vMerge w:val="restart"/>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0" w:type="dxa"/>
            <w:vAlign w:val="bottom"/>
          </w:tcPr>
          <w:p>
            <w:pPr>
              <w:spacing w:after="0"/>
              <w:rPr>
                <w:sz w:val="1"/>
                <w:szCs w:val="1"/>
                <w:color w:val="auto"/>
              </w:rPr>
            </w:pPr>
          </w:p>
        </w:tc>
      </w:tr>
      <w:tr>
        <w:trPr>
          <w:trHeight w:val="214"/>
        </w:trPr>
        <w:tc>
          <w:tcPr>
            <w:tcW w:w="18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0" w:type="dxa"/>
            <w:vAlign w:val="bottom"/>
          </w:tcPr>
          <w:p>
            <w:pPr>
              <w:jc w:val="center"/>
              <w:ind w:left="68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bl>
    <w:p>
      <w:pPr>
        <w:spacing w:after="0" w:line="18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3 More London Riverside</w:t>
      </w:r>
    </w:p>
    <w:p>
      <w:pPr>
        <w:spacing w:after="0" w:line="1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London SE1 2RE</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United Kingdom</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+(44) 203 283 4200</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4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Cogency Global Inc.</w:t>
      </w:r>
    </w:p>
    <w:p>
      <w:pPr>
        <w:jc w:val="center"/>
        <w:ind w:right="-459"/>
        <w:spacing w:after="0" w:line="196" w:lineRule="auto"/>
        <w:rPr>
          <w:sz w:val="20"/>
          <w:szCs w:val="20"/>
          <w:color w:val="auto"/>
        </w:rPr>
      </w:pPr>
      <w:r>
        <w:rPr>
          <w:rFonts w:ascii="Times New Roman" w:cs="Times New Roman" w:eastAsia="Times New Roman" w:hAnsi="Times New Roman"/>
          <w:sz w:val="14"/>
          <w:szCs w:val="14"/>
          <w:b w:val="1"/>
          <w:bCs w:val="1"/>
          <w:color w:val="auto"/>
        </w:rPr>
        <w:t>122 East 42</w:t>
      </w:r>
      <w:r>
        <w:rPr>
          <w:rFonts w:ascii="Times New Roman" w:cs="Times New Roman" w:eastAsia="Times New Roman" w:hAnsi="Times New Roman"/>
          <w:sz w:val="21"/>
          <w:szCs w:val="21"/>
          <w:b w:val="1"/>
          <w:bCs w:val="1"/>
          <w:color w:val="auto"/>
          <w:vertAlign w:val="superscript"/>
        </w:rPr>
        <w:t>nd</w:t>
      </w:r>
      <w:r>
        <w:rPr>
          <w:rFonts w:ascii="Times New Roman" w:cs="Times New Roman" w:eastAsia="Times New Roman" w:hAnsi="Times New Roman"/>
          <w:sz w:val="14"/>
          <w:szCs w:val="14"/>
          <w:b w:val="1"/>
          <w:bCs w:val="1"/>
          <w:color w:val="auto"/>
        </w:rPr>
        <w:t xml:space="preserve"> Street,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New York, NY 10168</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agent for service)</w:t>
      </w:r>
    </w:p>
    <w:p>
      <w:pPr>
        <w:spacing w:after="0" w:line="4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r>
        <w:rPr>
          <w:rFonts w:ascii="Times New Roman" w:cs="Times New Roman" w:eastAsia="Times New Roman" w:hAnsi="Times New Roman"/>
          <w:sz w:val="14"/>
          <w:szCs w:val="14"/>
          <w:b w:val="1"/>
          <w:bCs w:val="1"/>
          <w:color w:val="auto"/>
        </w:rPr>
        <w:t>:</w:t>
      </w:r>
    </w:p>
    <w:p>
      <w:pPr>
        <w:spacing w:after="0" w:line="8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Peter N. Handrinos</w:t>
      </w:r>
    </w:p>
    <w:p>
      <w:pPr>
        <w:spacing w:after="0" w:line="1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Latham &amp; Watkins LLP</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200 Clarendon Street</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Boston, Massachusetts 02116</w:t>
      </w: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+1 617 948 6000</w:t>
      </w:r>
    </w:p>
    <w:p>
      <w:pPr>
        <w:spacing w:after="0" w:line="51" w:lineRule="exact"/>
        <w:rPr>
          <w:sz w:val="24"/>
          <w:szCs w:val="24"/>
          <w:color w:val="auto"/>
        </w:rPr>
      </w:pPr>
    </w:p>
    <w:p>
      <w:pPr>
        <w:ind w:left="500" w:right="140" w:firstLine="36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w:t>
      </w:r>
    </w:p>
    <w:p>
      <w:pPr>
        <w:spacing w:after="0" w:line="1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If the only securities being registered on this Form are being offered pursuant to dividend or interest reinvestment plans, please check the following box.</w:t>
      </w:r>
    </w:p>
    <w:p>
      <w:pPr>
        <w:spacing w:after="0" w:line="12" w:lineRule="exact"/>
        <w:rPr>
          <w:sz w:val="24"/>
          <w:szCs w:val="24"/>
          <w:color w:val="auto"/>
        </w:rPr>
      </w:pPr>
    </w:p>
    <w:p>
      <w:pPr>
        <w:ind w:left="500"/>
        <w:spacing w:after="0" w:line="141" w:lineRule="exact"/>
        <w:rPr>
          <w:sz w:val="20"/>
          <w:szCs w:val="20"/>
          <w:color w:val="auto"/>
        </w:rPr>
      </w:pPr>
      <w:r>
        <w:rPr>
          <w:rFonts w:ascii="MS PGothic" w:cs="MS PGothic" w:eastAsia="MS PGothic" w:hAnsi="MS PGothic"/>
          <w:sz w:val="14"/>
          <w:szCs w:val="14"/>
          <w:color w:val="auto"/>
        </w:rPr>
        <w:t>☐</w:t>
      </w:r>
    </w:p>
    <w:p>
      <w:pPr>
        <w:spacing w:after="0" w:line="92"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500" w:right="40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500" w:right="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500" w:right="3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8" w:lineRule="exact"/>
        <w:rPr>
          <w:sz w:val="24"/>
          <w:szCs w:val="24"/>
          <w:color w:val="auto"/>
        </w:rPr>
      </w:pPr>
    </w:p>
    <w:p>
      <w:pPr>
        <w:ind w:left="500" w:right="60" w:firstLine="3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860" w:type="dxa"/>
        <w:tblCellMar>
          <w:top w:w="0" w:type="dxa"/>
          <w:left w:w="0" w:type="dxa"/>
          <w:bottom w:w="0" w:type="dxa"/>
          <w:right w:w="0" w:type="dxa"/>
        </w:tblCellMar>
      </w:tblPr>
      <w:tr>
        <w:trPr>
          <w:trHeight w:val="168"/>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2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7" w:lineRule="exact"/>
        <w:rPr>
          <w:sz w:val="24"/>
          <w:szCs w:val="24"/>
          <w:color w:val="auto"/>
        </w:rPr>
      </w:pPr>
    </w:p>
    <w:p>
      <w:pPr>
        <w:ind w:left="500" w:right="1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57785</wp:posOffset>
            </wp:positionV>
            <wp:extent cx="6189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92075</wp:posOffset>
            </wp:positionV>
            <wp:extent cx="618934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366395</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580" w:top="221" w:right="1079" w:bottom="1440" w:gutter="0" w:footer="0" w:header="0"/>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1260" w:right="519" w:firstLine="360"/>
        <w:spacing w:after="0" w:line="252" w:lineRule="auto"/>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On August 17, 2020, Verona Pharma plc (the “Registrant”) filed a registration statement on </w:t>
        </w:r>
        <w:r>
          <w:rPr>
            <w:rFonts w:ascii="Times New Roman" w:cs="Times New Roman" w:eastAsia="Times New Roman" w:hAnsi="Times New Roman"/>
            <w:sz w:val="18"/>
            <w:szCs w:val="18"/>
            <w:u w:val="single" w:color="auto"/>
            <w:color w:val="0000EE"/>
          </w:rPr>
          <w:t>Form F-1</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(Registration No. 333-247928)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the “Registration Statement”) to register 355,831,184 of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Registrant’s ordinary shares, nominal value £0.05 per share (the “ordinary shares”), for resale by selling securityholders, which Registration Statement became effective on August 27, 2020. As of such date, the Registrant was a foreign private issuer within the meaning of the Securities Act of 1933, as amended. The Registrant determined that, effective as of January 1, 2021, it was no longer a foreign private issuer, and as a result is subject to the registration requirements applicable to a United States domestic registrant. This Post-Effective Amendment No. 1 to Form F-1 on Form S-3 is being filed by the Registrant to convert the Registration Statement into a Registration Statement on Form S-3, and contains a prospectus relating to the resale by the selling securityholders of 355,831,184 ordinary shares (the “Registered Shares”) that were registered under the Registration Statement of which 307,520,072 ordinary shares are in the form of the Registrant’s American Depositary Shares and 48,088,896 Ordinary Shares may be re-designated from the Registrant’s non-voting ordinary shares. The Registrant’s American Depositary Shares issuable on deposit of the ordinary shares registered hereby have been registered under a separate registration statement on </w:t>
      </w:r>
      <w:hyperlink r:id="rId15">
        <w:r>
          <w:rPr>
            <w:rFonts w:ascii="Times New Roman" w:cs="Times New Roman" w:eastAsia="Times New Roman" w:hAnsi="Times New Roman"/>
            <w:sz w:val="18"/>
            <w:szCs w:val="18"/>
            <w:u w:val="single" w:color="auto"/>
            <w:color w:val="0000EE"/>
          </w:rPr>
          <w:t>Form F-6 (File No. 333-217353)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All filing fees payable in connection with the registration of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Registered Shares under the Registration Statement were paid by the Registrant at the time of the initial filing of the Registration Statement.</w:t>
      </w:r>
    </w:p>
    <w:p>
      <w:pPr>
        <w:spacing w:after="0" w:line="122" w:lineRule="exact"/>
        <w:rPr>
          <w:rFonts w:ascii="Times New Roman" w:cs="Times New Roman" w:eastAsia="Times New Roman" w:hAnsi="Times New Roman"/>
          <w:sz w:val="18"/>
          <w:szCs w:val="18"/>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2540</wp:posOffset>
            </wp:positionH>
            <wp:positionV relativeFrom="paragraph">
              <wp:posOffset>4799965</wp:posOffset>
            </wp:positionV>
            <wp:extent cx="6806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tbl>
      <w:tblPr>
        <w:tblLayout w:type="fixed"/>
        <w:tblInd w:w="880" w:type="dxa"/>
        <w:tblCellMar>
          <w:top w:w="0" w:type="dxa"/>
          <w:left w:w="0" w:type="dxa"/>
          <w:bottom w:w="0" w:type="dxa"/>
          <w:right w:w="0" w:type="dxa"/>
        </w:tblCellMar>
      </w:tblPr>
      <w:tr>
        <w:trPr>
          <w:trHeight w:val="167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41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 the registration statement filed with 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 jurisdiction where the offer or sale</w:t>
            </w:r>
          </w:p>
        </w:tc>
      </w:tr>
      <w:tr>
        <w:trPr>
          <w:trHeight w:val="263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These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nor does it seek an offer to</w:t>
            </w:r>
          </w:p>
        </w:tc>
      </w:tr>
      <w:tr>
        <w:trPr>
          <w:trHeight w:val="64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FC0014"/>
        </w:rPr>
        <w:t>Subject to Completion, dated March 19,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131445</wp:posOffset>
            </wp:positionV>
            <wp:extent cx="1688465"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355,831,184 Ordinary Shares</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(including Ordinary Shares in the Form of American Depositary Shares)</w:t>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Offered by the Selling Securityholders</w:t>
      </w:r>
    </w:p>
    <w:p>
      <w:pPr>
        <w:spacing w:after="0" w:line="121" w:lineRule="exact"/>
        <w:rPr>
          <w:sz w:val="20"/>
          <w:szCs w:val="20"/>
          <w:color w:val="auto"/>
        </w:rPr>
      </w:pPr>
    </w:p>
    <w:p>
      <w:pPr>
        <w:ind w:right="359" w:firstLine="360"/>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from time to time in one or more offerings by the selling securityholders named herein of up to an aggregate of 355,831,184 of our ordinary shares, nominal value £0.05 per share, of which 307,520,072 are in the form of American Depositary Shares, or ADSs, and 48,088,896 are ordinary shares that may be re-designated from our non-voting ordinary shares, nominal value £0.05 per share.</w:t>
      </w:r>
    </w:p>
    <w:p>
      <w:pPr>
        <w:spacing w:after="0" w:line="102" w:lineRule="exact"/>
        <w:rPr>
          <w:sz w:val="20"/>
          <w:szCs w:val="20"/>
          <w:color w:val="auto"/>
        </w:rPr>
      </w:pPr>
    </w:p>
    <w:p>
      <w:pPr>
        <w:ind w:right="99" w:firstLine="360"/>
        <w:spacing w:after="0" w:line="256" w:lineRule="auto"/>
        <w:rPr>
          <w:sz w:val="20"/>
          <w:szCs w:val="20"/>
          <w:color w:val="auto"/>
        </w:rPr>
      </w:pPr>
      <w:r>
        <w:rPr>
          <w:rFonts w:ascii="Times New Roman" w:cs="Times New Roman" w:eastAsia="Times New Roman" w:hAnsi="Times New Roman"/>
          <w:sz w:val="18"/>
          <w:szCs w:val="18"/>
          <w:color w:val="auto"/>
        </w:rPr>
        <w:t>The ordinary shares registered hereby may be offered and sold by the selling securityholders through one or more underwriters, broker-dealers, agents or directly to purchasers, or through a combination of these methods. If the ordinary shares are sold through underwriters or broker-dealers, the selling securityholders will be responsible for underwriting discounts or commissions or agent’s commissions. The ordinary shares may be sold in one or more transactions at fixed prices, at prevailing market prices at the time of sale, at varying prices determined at the time of sale, or at negotiated prices. See “Plan of Distribution.”</w:t>
      </w:r>
    </w:p>
    <w:p>
      <w:pPr>
        <w:spacing w:after="0" w:line="120" w:lineRule="exact"/>
        <w:rPr>
          <w:sz w:val="20"/>
          <w:szCs w:val="20"/>
          <w:color w:val="auto"/>
        </w:rPr>
      </w:pPr>
    </w:p>
    <w:p>
      <w:pPr>
        <w:ind w:right="739" w:firstLine="360"/>
        <w:spacing w:after="0" w:line="282" w:lineRule="auto"/>
        <w:rPr>
          <w:sz w:val="20"/>
          <w:szCs w:val="20"/>
          <w:color w:val="auto"/>
        </w:rPr>
      </w:pPr>
      <w:r>
        <w:rPr>
          <w:rFonts w:ascii="Times New Roman" w:cs="Times New Roman" w:eastAsia="Times New Roman" w:hAnsi="Times New Roman"/>
          <w:sz w:val="18"/>
          <w:szCs w:val="18"/>
          <w:color w:val="auto"/>
        </w:rPr>
        <w:t>We are not selling any ordinary shares under this prospectus, and we will not receive any of the proceeds from the offer and sale of ordinary shares by the selling securityholders.</w:t>
      </w:r>
    </w:p>
    <w:p>
      <w:pPr>
        <w:spacing w:after="0" w:line="94" w:lineRule="exact"/>
        <w:rPr>
          <w:sz w:val="20"/>
          <w:szCs w:val="20"/>
          <w:color w:val="auto"/>
        </w:rPr>
      </w:pPr>
    </w:p>
    <w:p>
      <w:pPr>
        <w:ind w:right="99" w:firstLine="360"/>
        <w:spacing w:after="0" w:line="282" w:lineRule="auto"/>
        <w:rPr>
          <w:sz w:val="20"/>
          <w:szCs w:val="20"/>
          <w:color w:val="auto"/>
        </w:rPr>
      </w:pPr>
      <w:r>
        <w:rPr>
          <w:rFonts w:ascii="Times New Roman" w:cs="Times New Roman" w:eastAsia="Times New Roman" w:hAnsi="Times New Roman"/>
          <w:sz w:val="18"/>
          <w:szCs w:val="18"/>
          <w:color w:val="auto"/>
        </w:rPr>
        <w:t>Our ADSs are listed on The Nasdaq Global Market under the symbol “VRNA.” On March 16, 2021, the last reported sale price of our ADSs on The Nasdaq Global Market was $8.60 per ADS.</w:t>
      </w:r>
    </w:p>
    <w:p>
      <w:pPr>
        <w:spacing w:after="0" w:line="77" w:lineRule="exact"/>
        <w:rPr>
          <w:sz w:val="20"/>
          <w:szCs w:val="20"/>
          <w:color w:val="auto"/>
        </w:rPr>
      </w:pPr>
    </w:p>
    <w:p>
      <w:pPr>
        <w:jc w:val="both"/>
        <w:ind w:right="119" w:firstLine="3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securities involves risks. See “Risk Factors” beginning on page </w:t>
      </w:r>
      <w:hyperlink w:anchor="page8">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of this prospectus and the document incorporated by reference in this prospectus concerning factors you should consider before investing in our securities.</w:t>
      </w:r>
    </w:p>
    <w:p>
      <w:pPr>
        <w:spacing w:after="0" w:line="107" w:lineRule="exact"/>
        <w:rPr>
          <w:sz w:val="20"/>
          <w:szCs w:val="20"/>
          <w:color w:val="auto"/>
        </w:rPr>
      </w:pPr>
    </w:p>
    <w:p>
      <w:pPr>
        <w:ind w:right="15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are eligible for reduced public company disclosure requirements.</w:t>
      </w:r>
    </w:p>
    <w:p>
      <w:pPr>
        <w:spacing w:after="0" w:line="90" w:lineRule="exact"/>
        <w:rPr>
          <w:sz w:val="20"/>
          <w:szCs w:val="20"/>
          <w:color w:val="auto"/>
        </w:rPr>
      </w:pPr>
    </w:p>
    <w:p>
      <w:pPr>
        <w:ind w:right="1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71" w:lineRule="exact"/>
        <w:rPr>
          <w:sz w:val="20"/>
          <w:szCs w:val="20"/>
          <w:color w:val="auto"/>
        </w:rPr>
      </w:pPr>
    </w:p>
    <w:tbl>
      <w:tblPr>
        <w:tblLayout w:type="fixed"/>
        <w:tblInd w:w="238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1783080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180" w:space="400"/>
            <w:col w:w="8299"/>
          </w:cols>
          <w:pgMar w:left="580" w:top="114"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4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r>
      <w:tr>
        <w:trPr>
          <w:trHeight w:val="176"/>
        </w:trPr>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7480" w:type="dxa"/>
            <w:vAlign w:val="bottom"/>
            <w:shd w:val="clear" w:color="auto" w:fill="CCEEFF"/>
          </w:tcPr>
          <w:p>
            <w:pPr>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w:t>
              </w:r>
            </w:hyperlink>
          </w:p>
        </w:tc>
        <w:tc>
          <w:tcPr>
            <w:tcW w:w="720" w:type="dxa"/>
            <w:vAlign w:val="bottom"/>
            <w:shd w:val="clear" w:color="auto" w:fill="CCEEFF"/>
          </w:tcPr>
          <w:p>
            <w:pPr>
              <w:jc w:val="right"/>
              <w:spacing w:after="0" w:line="189" w:lineRule="exact"/>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1</w:t>
              </w:r>
            </w:hyperlink>
          </w:p>
        </w:tc>
      </w:tr>
      <w:tr>
        <w:trPr>
          <w:trHeight w:val="257"/>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WHERE YOU CAN FIND MORE INFORMATION; INCORPORATION BY REFERENCE</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2</w:t>
              </w:r>
            </w:hyperlink>
          </w:p>
        </w:tc>
      </w:tr>
      <w:tr>
        <w:trPr>
          <w:trHeight w:val="270"/>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THE COMPANY</w:t>
              </w:r>
            </w:hyperlink>
          </w:p>
        </w:tc>
        <w:tc>
          <w:tcPr>
            <w:tcW w:w="7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4</w:t>
              </w:r>
            </w:hyperlink>
          </w:p>
        </w:tc>
      </w:tr>
      <w:tr>
        <w:trPr>
          <w:trHeight w:val="270"/>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5</w:t>
              </w:r>
            </w:hyperlink>
          </w:p>
        </w:tc>
      </w:tr>
      <w:tr>
        <w:trPr>
          <w:trHeight w:val="270"/>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USE OF PROCEEDS</w:t>
              </w:r>
            </w:hyperlink>
          </w:p>
        </w:tc>
        <w:tc>
          <w:tcPr>
            <w:tcW w:w="7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6</w:t>
              </w:r>
            </w:hyperlink>
          </w:p>
        </w:tc>
      </w:tr>
      <w:tr>
        <w:trPr>
          <w:trHeight w:val="270"/>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DESCRIPTION OF SHARE CAPITAL AND ARTICLES OF ASSOCIATION</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7</w:t>
              </w:r>
            </w:hyperlink>
          </w:p>
        </w:tc>
      </w:tr>
      <w:tr>
        <w:trPr>
          <w:trHeight w:val="270"/>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DESCRIPTION OF AMERICAN DEPOSITARY SHARES</w:t>
              </w:r>
            </w:hyperlink>
          </w:p>
        </w:tc>
        <w:tc>
          <w:tcPr>
            <w:tcW w:w="7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23</w:t>
              </w:r>
            </w:hyperlink>
          </w:p>
        </w:tc>
      </w:tr>
      <w:tr>
        <w:trPr>
          <w:trHeight w:val="270"/>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SELLING SECURITYHOLDERS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33</w:t>
              </w:r>
            </w:hyperlink>
          </w:p>
        </w:tc>
      </w:tr>
      <w:tr>
        <w:trPr>
          <w:trHeight w:val="270"/>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PLAN OF DISTRIBUTION</w:t>
              </w:r>
            </w:hyperlink>
          </w:p>
        </w:tc>
        <w:tc>
          <w:tcPr>
            <w:tcW w:w="7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40</w:t>
              </w:r>
            </w:hyperlink>
          </w:p>
        </w:tc>
      </w:tr>
      <w:tr>
        <w:trPr>
          <w:trHeight w:val="270"/>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LEGAL MATTERS</w:t>
              </w:r>
            </w:hyperlink>
          </w:p>
        </w:tc>
        <w:tc>
          <w:tcPr>
            <w:tcW w:w="720" w:type="dxa"/>
            <w:vAlign w:val="bottom"/>
          </w:tcPr>
          <w:p>
            <w:pPr>
              <w:jc w:val="right"/>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42</w:t>
              </w:r>
            </w:hyperlink>
          </w:p>
        </w:tc>
      </w:tr>
      <w:tr>
        <w:trPr>
          <w:trHeight w:val="270"/>
        </w:trPr>
        <w:tc>
          <w:tcPr>
            <w:tcW w:w="74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EXPERTS</w:t>
              </w:r>
            </w:hyperlink>
          </w:p>
        </w:tc>
        <w:tc>
          <w:tcPr>
            <w:tcW w:w="7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42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6069330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using a “shelf” registration process. By using a shelf registration statement, the selling securityholders named herein may, from time to time, sell up to 355,831,184 ordinary shares, including in the form of ADSs, as described in this prospectus. When the selling securityholders offer and sell securities, they may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3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00" w:lineRule="exact"/>
        <w:rPr>
          <w:sz w:val="20"/>
          <w:szCs w:val="20"/>
          <w:color w:val="auto"/>
        </w:rPr>
      </w:pPr>
    </w:p>
    <w:p>
      <w:pPr>
        <w:spacing w:after="0" w:line="371"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When we refer to “Verona,” “we,” “our,” “us” and the “Company” in this prospectus, we mean Verona Pharma plc and its consolidated subsidiaries, unless otherwise specified. When we refer to “you,” we mean the potential holders of the ordinary shares, including in the form of ADSs.</w:t>
      </w:r>
    </w:p>
    <w:p>
      <w:pPr>
        <w:spacing w:after="0" w:line="95"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Solely for convenience, any trademarks, service marks, logos and trade names referred to in this prospectus are without the ®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Our web site address is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93"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3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54" w:lineRule="exact"/>
        <w:rPr>
          <w:sz w:val="20"/>
          <w:szCs w:val="20"/>
          <w:color w:val="auto"/>
        </w:rPr>
      </w:pPr>
    </w:p>
    <w:p>
      <w:pPr>
        <w:ind w:left="1800" w:right="83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Our Annual Report on Form 10-K for the year ended December 31, 2020, filed with the SEC on</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February 25, 2021.</w:t>
        </w:r>
      </w:hyperlink>
    </w:p>
    <w:p>
      <w:pPr>
        <w:spacing w:after="0" w:line="53" w:lineRule="exact"/>
        <w:rPr>
          <w:rFonts w:ascii="Times New Roman" w:cs="Times New Roman" w:eastAsia="Times New Roman" w:hAnsi="Times New Roman"/>
          <w:sz w:val="18"/>
          <w:szCs w:val="18"/>
          <w:u w:val="single" w:color="auto"/>
          <w:color w:val="0000EE"/>
        </w:rPr>
      </w:pPr>
    </w:p>
    <w:p>
      <w:pPr>
        <w:ind w:left="1800" w:right="619" w:hanging="180"/>
        <w:spacing w:after="0" w:line="282"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The information specifically incorporated by reference into our Annual Report on Form 10-K from</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our Definitive Proxy Statement on Schedule 14A, filed with the SEC on March 19, 2021.</w:t>
        </w:r>
      </w:hyperlink>
    </w:p>
    <w:p>
      <w:pPr>
        <w:spacing w:after="0" w:line="53" w:lineRule="exact"/>
        <w:rPr>
          <w:rFonts w:ascii="Times New Roman" w:cs="Times New Roman" w:eastAsia="Times New Roman" w:hAnsi="Times New Roman"/>
          <w:sz w:val="18"/>
          <w:szCs w:val="18"/>
          <w:u w:val="single" w:color="auto"/>
          <w:color w:val="0000EE"/>
        </w:rPr>
      </w:pPr>
    </w:p>
    <w:p>
      <w:pPr>
        <w:ind w:left="1800" w:hanging="180"/>
        <w:spacing w:after="0"/>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Our Current Report on Form 8-K filed with the SEC on March 2, 2021.</w:t>
        </w:r>
      </w:hyperlink>
    </w:p>
    <w:p>
      <w:pPr>
        <w:spacing w:after="0" w:line="117" w:lineRule="exact"/>
        <w:rPr>
          <w:rFonts w:ascii="Times New Roman" w:cs="Times New Roman" w:eastAsia="Times New Roman" w:hAnsi="Times New Roman"/>
          <w:sz w:val="18"/>
          <w:szCs w:val="18"/>
          <w:u w:val="single" w:color="auto"/>
          <w:color w:val="0000EE"/>
        </w:rPr>
      </w:pPr>
    </w:p>
    <w:p>
      <w:pPr>
        <w:ind w:left="1800" w:right="459" w:hanging="180"/>
        <w:spacing w:after="0" w:line="266" w:lineRule="auto"/>
        <w:tabs>
          <w:tab w:leader="none" w:pos="1800" w:val="left"/>
        </w:tabs>
        <w:numPr>
          <w:ilvl w:val="0"/>
          <w:numId w:val="1"/>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The description of our ordinary shares and ADSs contained in the our registration statement on Form</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8-A filed with the SEC on April 19, 2017 and any amendment or report filed with the SEC for the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purpose of updating the description.</w:t>
        </w:r>
      </w:hyperlink>
    </w:p>
    <w:p>
      <w:pPr>
        <w:spacing w:after="0" w:line="108" w:lineRule="exact"/>
        <w:rPr>
          <w:rFonts w:ascii="Times New Roman" w:cs="Times New Roman" w:eastAsia="Times New Roman" w:hAnsi="Times New Roman"/>
          <w:sz w:val="18"/>
          <w:szCs w:val="18"/>
          <w:u w:val="single" w:color="auto"/>
          <w:color w:val="0000EE"/>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3" w:lineRule="exact"/>
        <w:rPr>
          <w:rFonts w:ascii="Times New Roman" w:cs="Times New Roman" w:eastAsia="Times New Roman" w:hAnsi="Times New Roman"/>
          <w:sz w:val="18"/>
          <w:szCs w:val="18"/>
          <w:u w:val="single" w:color="auto"/>
          <w:color w:val="0000EE"/>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+44 203 283 4200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info@veronapharma.com</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3 and PDE4 enzymes. We are developing ensifentrine in three formulations for the most widely used inhalation devices: nebulizer, dry powder inhaler and pressurized metered-dose inhaler. Initially, we are targeting chronic obstructive pulmonary disease (“COPD”), a common, chronic, progressive, and life-threatening respiratory disease without a cure. If successfully developed, ensifentrine would be the first therapeutic with a novel mode of action for COPD in a decade. In 2020, we commenced a Phase 3 clinical trial of ensifentrine for the treatment of COPD.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3 More London Riverside, London SE1 2RE, United Kingdom, and our telephone number is +(44) 203 283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ordinary shares being offered by any of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have been publicly filed with the Securities and Exchange Commission.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162"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a summary of relevant information concerning our share capital and material provisions of our Articles of Association, or the Articles, and applicable UK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Articles, the following summarizes the rights of holders of our voting ordinary shares:</w:t>
      </w:r>
    </w:p>
    <w:p>
      <w:pPr>
        <w:spacing w:after="0" w:line="54" w:lineRule="exact"/>
        <w:rPr>
          <w:sz w:val="20"/>
          <w:szCs w:val="20"/>
          <w:color w:val="auto"/>
        </w:rPr>
      </w:pPr>
    </w:p>
    <w:p>
      <w:pPr>
        <w:ind w:left="1800" w:right="4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our ordinary shares is entitled to one vote per ordinary share on all matters to be voted on by shareholders generally;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ordinary shares shall be entitled to receive notice of, attend, speak and vote at our general meetings; and</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ordinary shares are entitled to receive such dividends as are recommended by our directors and declared by our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Registered Shares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are required by the Companies Act 2006 to keep a register of our shareholders. Under English law, the ordinary shares are deemed to be issued when the name of the shareholder is entered in our share register. The share register therefore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336"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0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We, any of our shareholders or any other affected person may apply to the court for rectification of the share register if:</w:t>
      </w:r>
    </w:p>
    <w:p>
      <w:pPr>
        <w:spacing w:after="0" w:line="54" w:lineRule="exact"/>
        <w:rPr>
          <w:sz w:val="20"/>
          <w:szCs w:val="20"/>
          <w:color w:val="auto"/>
        </w:rPr>
      </w:pPr>
    </w:p>
    <w:p>
      <w:pPr>
        <w:ind w:left="1800" w:right="5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our register of members; or</w:t>
      </w:r>
    </w:p>
    <w:p>
      <w:pPr>
        <w:spacing w:after="0" w:line="53" w:lineRule="exact"/>
        <w:rPr>
          <w:rFonts w:ascii="Times New Roman" w:cs="Times New Roman" w:eastAsia="Times New Roman" w:hAnsi="Times New Roman"/>
          <w:sz w:val="18"/>
          <w:szCs w:val="18"/>
          <w:color w:val="auto"/>
        </w:rPr>
      </w:pPr>
    </w:p>
    <w:p>
      <w:pPr>
        <w:jc w:val="both"/>
        <w:ind w:left="1800" w:right="93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16, 2020, our shareholders approved the exclusion of preemptive rights up to an aggregate nominal amount of £21,065,327.60 which shall expire on June 1, 2021 unless renewed, revoked or varied sooner.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Shares and Rights Attaching to Them</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Objects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objects of our company are unrestricted.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 Rights</w:t>
      </w:r>
    </w:p>
    <w:p>
      <w:pPr>
        <w:spacing w:after="0" w:line="14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jc w:val="both"/>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68" w:lineRule="exact"/>
        <w:rPr>
          <w:sz w:val="20"/>
          <w:szCs w:val="20"/>
          <w:color w:val="auto"/>
        </w:rPr>
      </w:pPr>
    </w:p>
    <w:p>
      <w:pPr>
        <w:ind w:left="1800" w:right="6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every shareholder who (being an individual) is present in person and (being a corporation) is present by a duly authorized representative shall have one vote;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8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who is present in person or by proxy shall have one vote for each share of which he is the holder.</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68"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shareholders present in person or by proxy and entitled to vote;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81" w:lineRule="exact"/>
        <w:rPr>
          <w:rFonts w:ascii="Times New Roman" w:cs="Times New Roman" w:eastAsia="Times New Roman" w:hAnsi="Times New Roman"/>
          <w:sz w:val="18"/>
          <w:szCs w:val="18"/>
          <w:color w:val="auto"/>
        </w:rPr>
      </w:pPr>
    </w:p>
    <w:p>
      <w:pPr>
        <w:ind w:left="1800" w:right="559" w:hanging="180"/>
        <w:spacing w:after="0" w:line="263"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Restrictions on Voting</w:t>
      </w:r>
    </w:p>
    <w:p>
      <w:pPr>
        <w:spacing w:after="0" w:line="146"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32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10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No holders of non-voting ordinary shares shall be entitled to receive notice of, attend or vote at any general meeting.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20"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33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95"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0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No shareholder shall be entitled to receive any dividend or other distribution in respect of any share held by him unless all calls or other sums payable by him in respect of that share have been paid.</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46"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There is no specific provision in our articles of association that would have the effect of delaying, deferring or preventing a change of control.</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on Winding Up</w:t>
      </w:r>
    </w:p>
    <w:p>
      <w:pPr>
        <w:spacing w:after="0" w:line="160"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60" w:lineRule="exact"/>
        <w:rPr>
          <w:sz w:val="20"/>
          <w:szCs w:val="20"/>
          <w:color w:val="auto"/>
        </w:rPr>
      </w:pPr>
    </w:p>
    <w:p>
      <w:pPr>
        <w:ind w:left="1260" w:right="479" w:firstLine="360"/>
        <w:spacing w:after="0" w:line="239" w:lineRule="auto"/>
        <w:rPr>
          <w:sz w:val="20"/>
          <w:szCs w:val="20"/>
          <w:color w:val="auto"/>
        </w:rPr>
      </w:pPr>
      <w:r>
        <w:rPr>
          <w:rFonts w:ascii="Times New Roman" w:cs="Times New Roman" w:eastAsia="Times New Roman" w:hAnsi="Times New Roman"/>
          <w:sz w:val="18"/>
          <w:szCs w:val="18"/>
          <w:color w:val="auto"/>
        </w:rPr>
        <w:t>All or any of the rights and restrictions attached to any class of shares issued may be altered, added to or revoked with the consent in writing of the holders of not less than three- 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Alteration to Share Capital</w:t>
      </w:r>
    </w:p>
    <w:p>
      <w:pPr>
        <w:spacing w:after="0" w:line="146"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 Other U.K. Law Considerations — Purchase of Own Shares.”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Preemption Rights</w:t>
      </w:r>
    </w:p>
    <w:p>
      <w:pPr>
        <w:spacing w:after="0" w:line="16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10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may decline to register any transfer of any share:</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which is not a fully paid share;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5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known to be a minor, bankrupt or person who is mentally disordered or a patient for the purpose of any statute relating to mental health;</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entity which is not a natural or legal person;</w:t>
      </w:r>
    </w:p>
    <w:p>
      <w:pPr>
        <w:spacing w:after="0" w:line="103"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54"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in respect of more than one class of share; and</w:t>
      </w:r>
    </w:p>
    <w:p>
      <w:pPr>
        <w:spacing w:after="0" w:line="10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exceeds four.</w:t>
      </w:r>
    </w:p>
    <w:p>
      <w:pPr>
        <w:spacing w:after="0" w:line="81" w:lineRule="exact"/>
        <w:rPr>
          <w:sz w:val="20"/>
          <w:szCs w:val="20"/>
          <w:color w:val="auto"/>
        </w:rPr>
      </w:pPr>
    </w:p>
    <w:p>
      <w:pPr>
        <w:jc w:val="both"/>
        <w:ind w:left="1260" w:right="999" w:firstLine="360"/>
        <w:spacing w:after="0" w:line="250" w:lineRule="auto"/>
        <w:rPr>
          <w:sz w:val="20"/>
          <w:szCs w:val="20"/>
          <w:color w:val="auto"/>
        </w:rPr>
      </w:pPr>
      <w:r>
        <w:rPr>
          <w:rFonts w:ascii="Times New Roman" w:cs="Times New Roman" w:eastAsia="Times New Roman" w:hAnsi="Times New Roman"/>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160" w:lineRule="exact"/>
        <w:rPr>
          <w:sz w:val="20"/>
          <w:szCs w:val="20"/>
          <w:color w:val="auto"/>
        </w:rPr>
      </w:pPr>
    </w:p>
    <w:p>
      <w:pPr>
        <w:ind w:left="1260" w:right="619" w:firstLine="360"/>
        <w:spacing w:after="0" w:line="241" w:lineRule="auto"/>
        <w:rPr>
          <w:sz w:val="20"/>
          <w:szCs w:val="20"/>
          <w:color w:val="auto"/>
        </w:rPr>
      </w:pPr>
      <w:r>
        <w:rPr>
          <w:rFonts w:ascii="Times New Roman" w:cs="Times New Roman" w:eastAsia="Times New Roman" w:hAnsi="Times New Roman"/>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32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arrangements for the calling of general meetings are described in “— Differences in Corporate Law — Notice of General Meetings”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Quorum of General Meetings</w:t>
      </w:r>
    </w:p>
    <w:p>
      <w:pPr>
        <w:spacing w:after="0" w:line="146"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is present. At least two shareholders present in person or by proxy and entitled to vote, holding or representing at least 33 1/3% of the issued and outstanding shares of the Company’s ordinary voting shares present at such general meeting in person or by proxy, shall be a quorum for all purposes.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Meetings</w:t>
      </w:r>
    </w:p>
    <w:p>
      <w:pPr>
        <w:spacing w:after="0" w:line="160"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provisions in the Articles of Association relating to general meetings apply to every separate general meeting of the holders of a class of shares except that:</w:t>
      </w:r>
    </w:p>
    <w:p>
      <w:pPr>
        <w:spacing w:after="0" w:line="54" w:lineRule="exact"/>
        <w:rPr>
          <w:sz w:val="20"/>
          <w:szCs w:val="20"/>
          <w:color w:val="auto"/>
        </w:rPr>
      </w:pPr>
    </w:p>
    <w:p>
      <w:pPr>
        <w:ind w:left="1800" w:right="639" w:hanging="180"/>
        <w:spacing w:after="0" w:line="275"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such class meeting shall be two holders in person or by proxy representing not less than 33 1/3% in nominal value of the issued shares of the class (excluding any shares held in treasury);</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class meeting, a holder of shares of the class present in person or by proxy may demand a poll and shall on a poll be entitled to one vote for every share of the class held by him; and</w:t>
      </w:r>
    </w:p>
    <w:p>
      <w:pPr>
        <w:spacing w:after="0" w:line="26"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adjourned meeting of such holders a quorum is not present at the meeting, one holder of shares of the class present in person or by proxy at an adjourned meeting constitutes a quorum.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Number of Directors</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may not have less than two directors on the board of directors. We may, by ordinary resolution of the shareholders, vary the minimum and maximum number of directors from time to time.</w:t>
      </w:r>
    </w:p>
    <w:p>
      <w:pPr>
        <w:sectPr>
          <w:pgSz w:w="11900" w:h="16838" w:orient="portrait"/>
          <w:cols w:equalWidth="0" w:num="1">
            <w:col w:w="9879"/>
          </w:cols>
          <w:pgMar w:left="580" w:top="114" w:right="1440" w:bottom="1440" w:gutter="0" w:footer="0" w:header="0"/>
        </w:sectPr>
      </w:pPr>
    </w:p>
    <w:p>
      <w:pPr>
        <w:spacing w:after="0" w:line="33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14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Subject to the provisions of the Articles of Association,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33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11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Rotation of Directors</w:t>
      </w:r>
    </w:p>
    <w:p>
      <w:pPr>
        <w:spacing w:after="0" w:line="14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At every annual general meeting, one-third of the directors or, if their number is not a multiple of three, then the number nearest to and not exceeding one-third, shall retire from office.</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director who retires at the annual general meeting shall be eligible for re-election.</w:t>
      </w:r>
    </w:p>
    <w:p>
      <w:pPr>
        <w:spacing w:after="0" w:line="14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Interests</w:t>
      </w:r>
    </w:p>
    <w:p>
      <w:pPr>
        <w:spacing w:after="0" w:line="16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2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9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309" w:lineRule="exact"/>
        <w:rPr>
          <w:sz w:val="20"/>
          <w:szCs w:val="20"/>
          <w:color w:val="auto"/>
        </w:rPr>
      </w:pPr>
    </w:p>
    <w:p>
      <w:pPr>
        <w:jc w:val="both"/>
        <w:ind w:left="1800" w:right="5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39" w:hanging="180"/>
        <w:spacing w:after="0" w:line="263"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318"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12"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102"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08"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02"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33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 director shall not be counted in the quorum present at a meeting in relation to a resolution on which he is not entitled to vote.</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Fees and Remuneration</w:t>
      </w:r>
    </w:p>
    <w:p>
      <w:pPr>
        <w:spacing w:after="0" w:line="146"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20"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An executive director shall receive such remuneration as the board may determine, and either in addition to or in lieu of his remuneration as a director as detailed above.</w:t>
      </w:r>
    </w:p>
    <w:p>
      <w:pPr>
        <w:sectPr>
          <w:pgSz w:w="11900" w:h="16838" w:orient="portrait"/>
          <w:cols w:equalWidth="0" w:num="1">
            <w:col w:w="9879"/>
          </w:cols>
          <w:pgMar w:left="58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Borrowing Powers</w:t>
      </w:r>
    </w:p>
    <w:p>
      <w:pPr>
        <w:spacing w:after="0" w:line="14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Indemnity</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U.K. Law Considerations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60"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46"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Disclosure of Interest in Shares</w:t>
      </w:r>
    </w:p>
    <w:p>
      <w:pPr>
        <w:spacing w:after="0" w:line="16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17"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39"/>
        <w:spacing w:after="0" w:line="250" w:lineRule="auto"/>
        <w:tabs>
          <w:tab w:leader="none" w:pos="1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95" w:lineRule="exact"/>
        <w:rPr>
          <w:rFonts w:ascii="Times New Roman" w:cs="Times New Roman" w:eastAsia="Times New Roman" w:hAnsi="Times New Roman"/>
          <w:sz w:val="18"/>
          <w:szCs w:val="18"/>
          <w:color w:val="auto"/>
        </w:rPr>
      </w:pPr>
    </w:p>
    <w:p>
      <w:pPr>
        <w:ind w:left="1620" w:right="619"/>
        <w:spacing w:after="0" w:line="246" w:lineRule="auto"/>
        <w:tabs>
          <w:tab w:leader="none" w:pos="1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(a) any dividend or other money payable in respect of the default shares shall be retained by us without liability to pay interest, and/or</w:t>
      </w:r>
    </w:p>
    <w:p>
      <w:pPr>
        <w:ind w:left="1620" w:right="73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17" w:lineRule="exact"/>
        <w:rPr>
          <w:rFonts w:ascii="Times New Roman" w:cs="Times New Roman" w:eastAsia="Times New Roman" w:hAnsi="Times New Roman"/>
          <w:sz w:val="18"/>
          <w:szCs w:val="18"/>
          <w:color w:val="auto"/>
        </w:rPr>
      </w:pPr>
    </w:p>
    <w:p>
      <w:pPr>
        <w:ind w:left="1620" w:right="579"/>
        <w:spacing w:after="0" w:line="241" w:lineRule="auto"/>
        <w:tabs>
          <w:tab w:leader="none" w:pos="1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31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69"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0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81" w:lineRule="exact"/>
        <w:rPr>
          <w:sz w:val="20"/>
          <w:szCs w:val="20"/>
          <w:color w:val="auto"/>
        </w:rPr>
      </w:pPr>
    </w:p>
    <w:p>
      <w:pPr>
        <w:ind w:left="1260" w:right="639" w:firstLine="360"/>
        <w:spacing w:after="0" w:line="241" w:lineRule="auto"/>
        <w:rPr>
          <w:sz w:val="20"/>
          <w:szCs w:val="20"/>
          <w:color w:val="auto"/>
        </w:rPr>
      </w:pPr>
      <w:r>
        <w:rPr>
          <w:rFonts w:ascii="Times New Roman" w:cs="Times New Roman" w:eastAsia="Times New Roman" w:hAnsi="Times New Roman"/>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 and Dividends</w:t>
      </w:r>
    </w:p>
    <w:p>
      <w:pPr>
        <w:spacing w:after="0" w:line="16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17"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82" w:lineRule="exact"/>
        <w:rPr>
          <w:sz w:val="20"/>
          <w:szCs w:val="20"/>
          <w:color w:val="auto"/>
        </w:rPr>
      </w:pPr>
    </w:p>
    <w:p>
      <w:pPr>
        <w:ind w:left="1800" w:right="7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Takeovers and Mergers</w:t>
      </w:r>
    </w:p>
    <w:p>
      <w:pPr>
        <w:spacing w:after="0" w:line="14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9879"/>
          </w:cols>
          <w:pgMar w:left="580" w:top="114" w:right="1440" w:bottom="1440" w:gutter="0" w:footer="0" w:header="0"/>
        </w:sectPr>
      </w:pP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3"/>
        </w:trPr>
        <w:tc>
          <w:tcPr>
            <w:tcW w:w="23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public limited company must have at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least two directors and the number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may be fixed by or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manner provided in a company’s</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association.</w:t>
            </w:r>
          </w:p>
        </w:tc>
      </w:tr>
      <w:tr>
        <w:trPr>
          <w:trHeight w:val="22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may remove a director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without cause by an ordinary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resolution (which is passed by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simple majority of those voting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person or by proxy at a general</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meeting) irrespective of any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provisions of any service contract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director has with the company,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provided 28 clear days’ notice of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resolution has been given to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its shareholders. 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receipt of notice of an intended</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resolution to remove a director,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 must forthwith send a copy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of the notice to the director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concerned. Certain other procedural</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under the Companies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Act 2006 must also be followed such</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as allowing the director to make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representations against his or her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removal either at the meeting or in</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writing.</w:t>
            </w:r>
          </w:p>
        </w:tc>
      </w:tr>
      <w:tr>
        <w:trPr>
          <w:trHeight w:val="44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Vacancies on the Board of</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English law, the procedure by</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which directors, other than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company’s initial directors, are</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appointed is generally set out in a</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579"/>
        <w:spacing w:after="0" w:line="258" w:lineRule="auto"/>
        <w:rPr>
          <w:sz w:val="20"/>
          <w:szCs w:val="20"/>
          <w:color w:val="auto"/>
        </w:rPr>
      </w:pPr>
      <w:r>
        <w:rPr>
          <w:rFonts w:ascii="Times New Roman" w:cs="Times New Roman" w:eastAsia="Times New Roman" w:hAnsi="Times New Roman"/>
          <w:sz w:val="18"/>
          <w:szCs w:val="18"/>
          <w:color w:val="auto"/>
        </w:rPr>
        <w:t>Under Delaware law, a corporation must have at least one director and the number of directors shall be fixed by or in the manner provided in the bylaws.</w:t>
      </w:r>
    </w:p>
    <w:p>
      <w:pPr>
        <w:spacing w:after="0" w:line="210"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Under Delaware law, any director or the entire board of directors may be removed, with or without cause, by the holders of a majority of the shares then entitled to vote at an election of directors, except</w:t>
      </w:r>
    </w:p>
    <w:p>
      <w:pPr>
        <w:spacing w:after="0" w:line="5" w:lineRule="exact"/>
        <w:rPr>
          <w:sz w:val="20"/>
          <w:szCs w:val="20"/>
          <w:color w:val="auto"/>
        </w:rPr>
      </w:pPr>
    </w:p>
    <w:p>
      <w:pPr>
        <w:ind w:right="479"/>
        <w:spacing w:after="0" w:line="251"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16" w:lineRule="exact"/>
        <w:rPr>
          <w:rFonts w:ascii="Times New Roman" w:cs="Times New Roman" w:eastAsia="Times New Roman" w:hAnsi="Times New Roman"/>
          <w:sz w:val="18"/>
          <w:szCs w:val="18"/>
          <w:color w:val="auto"/>
        </w:rPr>
      </w:pPr>
    </w:p>
    <w:p>
      <w:pPr>
        <w:ind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Delaware law, vacancies and newly created directorships may be filled by a majority of the directors then in office (even though less than</w:t>
      </w:r>
    </w:p>
    <w:p>
      <w:pPr>
        <w:spacing w:after="0" w:line="200" w:lineRule="exact"/>
        <w:rPr>
          <w:sz w:val="20"/>
          <w:szCs w:val="20"/>
          <w:color w:val="auto"/>
        </w:rPr>
      </w:pPr>
    </w:p>
    <w:p>
      <w:pPr>
        <w:sectPr>
          <w:pgSz w:w="11900" w:h="16838" w:orient="portrait"/>
          <w:cols w:equalWidth="0" w:num="2">
            <w:col w:w="6440" w:space="220"/>
            <w:col w:w="3219"/>
          </w:cols>
          <w:pgMar w:left="580" w:top="114" w:right="1440" w:bottom="1440" w:gutter="0" w:footer="0" w:header="0"/>
          <w:type w:val="continuous"/>
        </w:sectPr>
      </w:pPr>
    </w:p>
    <w:p>
      <w:pPr>
        <w:spacing w:after="0" w:line="1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33655</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company’s articles of association,</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provided that where two or more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persons are appointed as directors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 public limited company by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resolution of the shareholders,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resolutions appointing each director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Annual General Meeting</w:t>
      </w:r>
      <w:r>
        <w:rPr>
          <w:sz w:val="20"/>
          <w:szCs w:val="20"/>
          <w:color w:val="auto"/>
        </w:rPr>
        <w:tab/>
      </w:r>
      <w:r>
        <w:rPr>
          <w:rFonts w:ascii="Times New Roman" w:cs="Times New Roman" w:eastAsia="Times New Roman" w:hAnsi="Times New Roman"/>
          <w:sz w:val="18"/>
          <w:szCs w:val="18"/>
          <w:color w:val="auto"/>
        </w:rPr>
        <w:t>Under the Companies Act 2006, a</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public limited company must hold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 annual general meeting in each</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six-month period following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company’s annual accounting</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reference date.</w:t>
      </w:r>
    </w:p>
    <w:p>
      <w:pPr>
        <w:spacing w:after="0" w:line="200" w:lineRule="exact"/>
        <w:rPr>
          <w:sz w:val="20"/>
          <w:szCs w:val="20"/>
          <w:color w:val="auto"/>
        </w:rPr>
      </w:pPr>
    </w:p>
    <w:p>
      <w:pPr>
        <w:spacing w:after="0" w:line="250"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General Meeting</w:t>
      </w:r>
      <w:r>
        <w:rPr>
          <w:sz w:val="20"/>
          <w:szCs w:val="20"/>
          <w:color w:val="auto"/>
        </w:rPr>
        <w:tab/>
      </w:r>
      <w:r>
        <w:rPr>
          <w:rFonts w:ascii="Times New Roman" w:cs="Times New Roman" w:eastAsia="Times New Roman" w:hAnsi="Times New Roman"/>
          <w:sz w:val="18"/>
          <w:szCs w:val="18"/>
          <w:color w:val="auto"/>
        </w:rPr>
        <w:t>Under the Companies Act 2006, a</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general meeting of the shareholders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of a public limited company may be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called by the directors.</w:t>
      </w:r>
    </w:p>
    <w:p>
      <w:pPr>
        <w:spacing w:after="0" w:line="200" w:lineRule="exact"/>
        <w:rPr>
          <w:sz w:val="20"/>
          <w:szCs w:val="20"/>
          <w:color w:val="auto"/>
        </w:rPr>
      </w:pPr>
    </w:p>
    <w:p>
      <w:pPr>
        <w:spacing w:after="0" w:line="2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Shareholders holding at least 5% of</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paid-up capital of the company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carrying voting rights at general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meetings (excluding nay paid up</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capital held as treasury shares) can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require the directors to call a general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meeting and, if the directors fail to</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do so within a certain period, may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themselves convene a general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meeting.</w:t>
      </w:r>
    </w:p>
    <w:p>
      <w:pPr>
        <w:spacing w:after="0" w:line="18"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Notice of General Meetings</w:t>
        <w:tab/>
        <w:t>Under the Companies Act 2006, 21</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clear days’ notice must be given for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 annual general meeting and 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resolutions to be proposed at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meeting. Subject to a company’s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articles of association providing for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 longer period, at least 14 clear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days’ notice is required for any other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general meeting. In addition, certain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matters, such as the removal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directors or auditors, require special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notice, which is 28 clear days’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notice. The shareholders of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may in all cases consent to</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 shorter notice period,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proportion of shareholders’ consent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required being</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419"/>
        <w:spacing w:after="0" w:line="253" w:lineRule="auto"/>
        <w:rPr>
          <w:sz w:val="20"/>
          <w:szCs w:val="20"/>
          <w:color w:val="auto"/>
        </w:rPr>
      </w:pPr>
      <w:r>
        <w:rPr>
          <w:rFonts w:ascii="Times New Roman" w:cs="Times New Roman" w:eastAsia="Times New Roman" w:hAnsi="Times New Roman"/>
          <w:sz w:val="18"/>
          <w:szCs w:val="18"/>
          <w:color w:val="auto"/>
        </w:rPr>
        <w:t>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19"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16"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99"/>
        <w:spacing w:after="0" w:line="253" w:lineRule="auto"/>
        <w:rPr>
          <w:sz w:val="20"/>
          <w:szCs w:val="20"/>
          <w:color w:val="auto"/>
        </w:rPr>
      </w:pPr>
      <w:r>
        <w:rPr>
          <w:rFonts w:ascii="Times New Roman" w:cs="Times New Roman" w:eastAsia="Times New Roman" w:hAnsi="Times New Roman"/>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420" w:space="240"/>
            <w:col w:w="3219"/>
          </w:cols>
          <w:pgMar w:left="58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3"/>
        </w:trPr>
        <w:tc>
          <w:tcPr>
            <w:tcW w:w="23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 of those entitled to attend and</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vote in the case of an annual general</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meeting and, in the case of any other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 a majority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number of the members having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 to attend and vote at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meeting, being a majority who</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together hold not less than 95%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nominal value of the shares giving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 to attend and vote at the</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r>
      <w:tr>
        <w:trPr>
          <w:trHeight w:val="22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 at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any meeting of shareholders,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may designate another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person to attend, speak and vote at</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meeting on their behalf by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Pre-emptive Rights</w:t>
      </w:r>
      <w:r>
        <w:rPr>
          <w:sz w:val="20"/>
          <w:szCs w:val="20"/>
          <w:color w:val="auto"/>
        </w:rPr>
        <w:tab/>
      </w:r>
      <w:r>
        <w:rPr>
          <w:rFonts w:ascii="Times New Roman" w:cs="Times New Roman" w:eastAsia="Times New Roman" w:hAnsi="Times New Roman"/>
          <w:sz w:val="18"/>
          <w:szCs w:val="18"/>
          <w:color w:val="auto"/>
        </w:rPr>
        <w:t>Under the Companies Act 2006,</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“equity securities”, being (i) shares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 the company other than shares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that, with respect to dividends and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capital, carry a right to participate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only up to a specified amount in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distribution (“ordinary shares”) 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(ii) rights to subscribe for, or to</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convert securities into, ordinary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shares, proposed to be allotted for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cash must be offered first to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existing equity shareholders in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in proportion to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respective nominal value of their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holdings, unless an exception applies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or a special resolution to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contrary has been passed by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shareholders in a general meeting 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articles of association provide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otherwise in each case in accordance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with the provisions of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Companies Act 2006.</w:t>
      </w:r>
    </w:p>
    <w:p>
      <w:pPr>
        <w:spacing w:after="0" w:line="18"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Authority to Allot</w:t>
      </w:r>
      <w:r>
        <w:rPr>
          <w:sz w:val="20"/>
          <w:szCs w:val="20"/>
          <w:color w:val="auto"/>
        </w:rPr>
        <w:tab/>
      </w:r>
      <w:r>
        <w:rPr>
          <w:rFonts w:ascii="Times New Roman" w:cs="Times New Roman" w:eastAsia="Times New Roman" w:hAnsi="Times New Roman"/>
          <w:sz w:val="18"/>
          <w:szCs w:val="18"/>
          <w:color w:val="auto"/>
        </w:rPr>
        <w:t>Under the Companies Act 2006, the</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directors of a company must not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allot shares or grant of rights to</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subscribe for or to convert 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security into shares unless an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exception applies or an ordinary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resolution to the contrary has been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passed by shareholders in a general</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3"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39"/>
        <w:spacing w:after="0" w:line="254" w:lineRule="auto"/>
        <w:rPr>
          <w:sz w:val="20"/>
          <w:szCs w:val="20"/>
          <w:color w:val="auto"/>
        </w:rPr>
      </w:pPr>
      <w:r>
        <w:rPr>
          <w:rFonts w:ascii="Times New Roman" w:cs="Times New Roman" w:eastAsia="Times New Roman" w:hAnsi="Times New Roman"/>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w:t>
      </w:r>
    </w:p>
    <w:p>
      <w:pPr>
        <w:sectPr>
          <w:pgSz w:w="11900" w:h="16838" w:orient="portrait"/>
          <w:cols w:equalWidth="0" w:num="2">
            <w:col w:w="6440" w:space="220"/>
            <w:col w:w="3219"/>
          </w:cols>
          <w:pgMar w:left="58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33655</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meeting or the articles of association</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provide otherwise in each case 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accordance with the provisions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Liability of Directors and</w:t>
      </w:r>
      <w:r>
        <w:rPr>
          <w:sz w:val="20"/>
          <w:szCs w:val="20"/>
          <w:color w:val="auto"/>
        </w:rPr>
        <w:tab/>
      </w:r>
      <w:r>
        <w:rPr>
          <w:rFonts w:ascii="Times New Roman" w:cs="Times New Roman" w:eastAsia="Times New Roman" w:hAnsi="Times New Roman"/>
          <w:sz w:val="18"/>
          <w:szCs w:val="18"/>
          <w:color w:val="auto"/>
        </w:rPr>
        <w:t>Under the Companies Act 2006, any</w:t>
      </w:r>
    </w:p>
    <w:p>
      <w:pPr>
        <w:spacing w:after="0" w:line="27"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Officers</w:t>
      </w:r>
      <w:r>
        <w:rPr>
          <w:sz w:val="20"/>
          <w:szCs w:val="20"/>
          <w:color w:val="auto"/>
        </w:rPr>
        <w:tab/>
      </w:r>
      <w:r>
        <w:rPr>
          <w:rFonts w:ascii="Times New Roman" w:cs="Times New Roman" w:eastAsia="Times New Roman" w:hAnsi="Times New Roman"/>
          <w:sz w:val="18"/>
          <w:szCs w:val="18"/>
          <w:color w:val="auto"/>
        </w:rPr>
        <w:t>provision, whether contained in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company’s articles of association or</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any contract or otherwise, that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purports to exempt a director of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to any extent, from 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liability that would otherwise attach</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to him in connection with 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negligence, default, breach of duty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or breach of trust in relation to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is void.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Any provision by which a company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directly or indirectly provides an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indemnity, to any extent, for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director of the company or of an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associated company against 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liability attaching to him 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connection with any negligence,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default, breach of duty or breach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trust in relation to the company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which he is a director is also void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except as permitted by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Companies Act 2006, which</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provides exceptions for the company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to (a) purchase and maintain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insurance against such liability;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 provide a “qualifying third party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indemnity” (being an indemnity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against liability incurred by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director to a person other than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or an associated company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or criminal proceedings in which 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is convicted); and (c) provide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“qualifying pension scheme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indemnity” (being an indemnity</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against liability incurred 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connection with the company’s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activities as trustee of an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occupational pension plan).</w:t>
      </w:r>
    </w:p>
    <w:p>
      <w:pPr>
        <w:spacing w:after="0" w:line="58"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Under English law, unless a poll is</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demanded by the shareholders of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or is required by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chairman of the meeting or the</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19"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00" w:lineRule="exact"/>
        <w:rPr>
          <w:sz w:val="20"/>
          <w:szCs w:val="20"/>
          <w:color w:val="auto"/>
        </w:rPr>
      </w:pPr>
    </w:p>
    <w:p>
      <w:pPr>
        <w:spacing w:after="0" w:line="204" w:lineRule="exact"/>
        <w:rPr>
          <w:sz w:val="20"/>
          <w:szCs w:val="20"/>
          <w:color w:val="auto"/>
        </w:rPr>
      </w:pPr>
    </w:p>
    <w:p>
      <w:pPr>
        <w:ind w:left="220" w:right="439"/>
        <w:spacing w:after="0" w:line="266" w:lineRule="auto"/>
        <w:rPr>
          <w:sz w:val="20"/>
          <w:szCs w:val="20"/>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68" w:lineRule="exact"/>
        <w:rPr>
          <w:sz w:val="20"/>
          <w:szCs w:val="20"/>
          <w:color w:val="auto"/>
        </w:rPr>
      </w:pPr>
    </w:p>
    <w:p>
      <w:pPr>
        <w:ind w:left="220" w:right="639"/>
        <w:spacing w:after="0" w:line="261" w:lineRule="auto"/>
        <w:rPr>
          <w:sz w:val="20"/>
          <w:szCs w:val="20"/>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72" w:lineRule="exact"/>
        <w:rPr>
          <w:sz w:val="20"/>
          <w:szCs w:val="20"/>
          <w:color w:val="auto"/>
        </w:rPr>
      </w:pPr>
    </w:p>
    <w:p>
      <w:pPr>
        <w:ind w:left="220" w:right="539"/>
        <w:spacing w:after="0" w:line="266" w:lineRule="auto"/>
        <w:rPr>
          <w:sz w:val="20"/>
          <w:szCs w:val="20"/>
          <w:color w:val="auto"/>
        </w:rPr>
      </w:pPr>
      <w:r>
        <w:rPr>
          <w:rFonts w:ascii="Times New Roman" w:cs="Times New Roman" w:eastAsia="Times New Roman" w:hAnsi="Times New Roman"/>
          <w:sz w:val="18"/>
          <w:szCs w:val="18"/>
          <w:color w:val="auto"/>
        </w:rPr>
        <w:t>intentional or negligent payment of unlawful dividends or stock purchases or redemptions; or</w:t>
      </w:r>
    </w:p>
    <w:p>
      <w:pPr>
        <w:spacing w:after="0" w:line="68" w:lineRule="exact"/>
        <w:rPr>
          <w:sz w:val="20"/>
          <w:szCs w:val="20"/>
          <w:color w:val="auto"/>
        </w:rPr>
      </w:pPr>
    </w:p>
    <w:p>
      <w:pPr>
        <w:ind w:left="220" w:right="659"/>
        <w:spacing w:after="0" w:line="266" w:lineRule="auto"/>
        <w:rPr>
          <w:sz w:val="20"/>
          <w:szCs w:val="20"/>
          <w:color w:val="auto"/>
        </w:rPr>
      </w:pPr>
      <w:r>
        <w:rPr>
          <w:rFonts w:ascii="Times New Roman" w:cs="Times New Roman" w:eastAsia="Times New Roman" w:hAnsi="Times New Roman"/>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8"/>
          <w:szCs w:val="18"/>
          <w:color w:val="auto"/>
        </w:rPr>
        <w:t>Delaware law provides that, unless otherwise provided in the certificate of incorporation, each stockholder is entitled to one vote for each share</w:t>
      </w:r>
    </w:p>
    <w:p>
      <w:pPr>
        <w:sectPr>
          <w:pgSz w:w="11900" w:h="16838" w:orient="portrait"/>
          <w:cols w:equalWidth="0" w:num="2">
            <w:col w:w="6420" w:space="240"/>
            <w:col w:w="3219"/>
          </w:cols>
          <w:pgMar w:left="58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3"/>
        </w:trPr>
        <w:tc>
          <w:tcPr>
            <w:tcW w:w="23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company’s articles of association,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shall vote on all</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on a show of hands.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the Companies Act 2006,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poll may be demanded by (a) not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fewer than five shareholders having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right to vote on the resolution;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 any shareholder(s) representing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not less than 10% of the total voting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rights of all the shareholders having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right to vote on the resolution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(excluding any voting rights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attaching to treasury shares); or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 any shareholder(s) holding shares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 the company conferring a right to</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vote on the resolution (excluding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any voting rights attaching to</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being shares 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which an aggregate sum has been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paid up equal to not less than 10% of</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total sum paid up on all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shares conferring that right.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company’s articles of association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may provide more extensive rights</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for shareholders to call a poll.</w:t>
            </w:r>
          </w:p>
        </w:tc>
      </w:tr>
      <w:tr>
        <w:trPr>
          <w:trHeight w:val="225"/>
        </w:trPr>
        <w:tc>
          <w:tcPr>
            <w:tcW w:w="23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English law, an ordinary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resolution is passed on a show of</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hands if it is approved by a simple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majority (more than 50%) of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votes cast by shareholders present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by proxy) and entitled</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vote. If a poll is demanded, an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ordinary resolution is passed if it is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approved by holders representing a</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simple majority of the total voting</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rights of shareholders present, in</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person or by proxy,</w:t>
            </w:r>
          </w:p>
        </w:tc>
      </w:tr>
      <w:tr>
        <w:trPr>
          <w:trHeight w:val="225"/>
        </w:trPr>
        <w:tc>
          <w:tcPr>
            <w:tcW w:w="238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who, being entitled to vote, vote on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resolution. Special resolutions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require the affirmative vote of not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less than 75% of the votes cast by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present, in person or by</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proxy, at the meeting.</w:t>
            </w:r>
          </w:p>
        </w:tc>
      </w:tr>
      <w:tr>
        <w:trPr>
          <w:trHeight w:val="22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on Certain</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Companies Act 2006 provides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for schemes of arrangement, which</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are arrangements or compromises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between a company and any class of</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or creditors and used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certain types of reconstructions,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amalgamations, capital</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reorganizations or takeovers. These</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arrangements require:</w:t>
            </w:r>
          </w:p>
        </w:tc>
      </w:tr>
      <w:tr>
        <w:trPr>
          <w:trHeight w:val="608"/>
        </w:trPr>
        <w:tc>
          <w:tcPr>
            <w:tcW w:w="2380" w:type="dxa"/>
            <w:vAlign w:val="bottom"/>
          </w:tcPr>
          <w:p>
            <w:pPr>
              <w:spacing w:after="0"/>
              <w:rPr>
                <w:sz w:val="24"/>
                <w:szCs w:val="24"/>
                <w:color w:val="auto"/>
              </w:rPr>
            </w:pPr>
          </w:p>
        </w:tc>
        <w:tc>
          <w:tcPr>
            <w:tcW w:w="2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1059"/>
        <w:spacing w:after="0" w:line="282" w:lineRule="auto"/>
        <w:rPr>
          <w:sz w:val="20"/>
          <w:szCs w:val="20"/>
          <w:color w:val="auto"/>
        </w:rPr>
      </w:pPr>
      <w:r>
        <w:rPr>
          <w:rFonts w:ascii="Times New Roman" w:cs="Times New Roman" w:eastAsia="Times New Roman" w:hAnsi="Times New Roman"/>
          <w:sz w:val="18"/>
          <w:szCs w:val="18"/>
          <w:color w:val="auto"/>
        </w:rPr>
        <w:t>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579"/>
        <w:spacing w:after="0" w:line="254" w:lineRule="auto"/>
        <w:rPr>
          <w:sz w:val="20"/>
          <w:szCs w:val="20"/>
          <w:color w:val="auto"/>
        </w:rPr>
      </w:pPr>
      <w:r>
        <w:rPr>
          <w:rFonts w:ascii="Times New Roman" w:cs="Times New Roman" w:eastAsia="Times New Roman" w:hAnsi="Times New Roman"/>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ectPr>
          <w:pgSz w:w="11900" w:h="16838" w:orient="portrait"/>
          <w:cols w:equalWidth="0" w:num="2">
            <w:col w:w="6440" w:space="220"/>
            <w:col w:w="3219"/>
          </w:cols>
          <w:pgMar w:left="580" w:top="114"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England and Wales</w:t>
            </w:r>
          </w:p>
        </w:tc>
      </w:tr>
      <w:tr>
        <w:trPr>
          <w:trHeight w:val="23"/>
        </w:trPr>
        <w:tc>
          <w:tcPr>
            <w:tcW w:w="23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approval at a shareholders’ or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creditors’ meeting convened by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order of the court, of a majority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shareholders or creditors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representing 75% in value of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capital held by, or debt owed to,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class of shareholders or creditors, or</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class thereof present and voting,</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either in person or by proxy; and</w:t>
            </w:r>
          </w:p>
        </w:tc>
      </w:tr>
      <w:tr>
        <w:trPr>
          <w:trHeight w:val="324"/>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the approval of the court.</w:t>
            </w:r>
          </w:p>
        </w:tc>
      </w:tr>
      <w:tr>
        <w:trPr>
          <w:trHeight w:val="48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Standard of Conduct for</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Under English law, a director owes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various statutory and fiduciary</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duties to the company, including:</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act in the way he considers,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good faith, would be most likely to</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promote the success of the company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for the benefit of its members as a</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whole;</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avoid a situation in which he has,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or can have, a direct or indirect</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interest that conflicts, or possibly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conflicts, with the interests of the</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act in accordance with the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company’s constitution and only</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his powers for the purposes</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for which they are conferred;</w:t>
            </w:r>
          </w:p>
        </w:tc>
      </w:tr>
      <w:tr>
        <w:trPr>
          <w:trHeight w:val="324"/>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exercise independent judgment;</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 exercise reasonable care, skill and</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diligence;</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not to accept benefits from a third</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party conferred by reason of his</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being a director or doing, or not</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doing, anything as a director; and</w:t>
            </w:r>
          </w:p>
        </w:tc>
      </w:tr>
      <w:tr>
        <w:trPr>
          <w:trHeight w:val="306"/>
        </w:trPr>
        <w:tc>
          <w:tcPr>
            <w:tcW w:w="23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duty to declare any interest that he</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has, whether directly or indirectly, in</w:t>
            </w:r>
          </w:p>
        </w:tc>
      </w:tr>
      <w:tr>
        <w:trPr>
          <w:trHeight w:val="216"/>
        </w:trPr>
        <w:tc>
          <w:tcPr>
            <w:tcW w:w="23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 proposed or existing transaction or</w:t>
            </w:r>
          </w:p>
        </w:tc>
      </w:tr>
      <w:tr>
        <w:trPr>
          <w:trHeight w:val="234"/>
        </w:trPr>
        <w:tc>
          <w:tcPr>
            <w:tcW w:w="23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left="220" w:right="899"/>
        <w:spacing w:after="0" w:line="282" w:lineRule="auto"/>
        <w:rPr>
          <w:sz w:val="20"/>
          <w:szCs w:val="20"/>
          <w:color w:val="auto"/>
        </w:rPr>
      </w:pPr>
      <w:r>
        <w:rPr>
          <w:rFonts w:ascii="Times New Roman" w:cs="Times New Roman" w:eastAsia="Times New Roman" w:hAnsi="Times New Roman"/>
          <w:sz w:val="18"/>
          <w:szCs w:val="18"/>
          <w:color w:val="auto"/>
        </w:rPr>
        <w:t>the approval of the board of directors; and</w:t>
      </w:r>
    </w:p>
    <w:p>
      <w:pPr>
        <w:spacing w:after="0" w:line="54" w:lineRule="exact"/>
        <w:rPr>
          <w:sz w:val="20"/>
          <w:szCs w:val="20"/>
          <w:color w:val="auto"/>
        </w:rPr>
      </w:pPr>
    </w:p>
    <w:p>
      <w:pPr>
        <w:ind w:left="220" w:right="419"/>
        <w:spacing w:after="0" w:line="254" w:lineRule="auto"/>
        <w:rPr>
          <w:sz w:val="20"/>
          <w:szCs w:val="20"/>
          <w:color w:val="auto"/>
        </w:rPr>
      </w:pPr>
      <w:r>
        <w:rPr>
          <w:rFonts w:ascii="Times New Roman" w:cs="Times New Roman" w:eastAsia="Times New Roman" w:hAnsi="Times New Roman"/>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59"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84" w:lineRule="exact"/>
        <w:rPr>
          <w:sz w:val="20"/>
          <w:szCs w:val="20"/>
          <w:color w:val="auto"/>
        </w:rPr>
      </w:pPr>
    </w:p>
    <w:p>
      <w:pPr>
        <w:ind w:right="439"/>
        <w:spacing w:after="0" w:line="251" w:lineRule="auto"/>
        <w:rPr>
          <w:sz w:val="20"/>
          <w:szCs w:val="20"/>
          <w:color w:val="auto"/>
        </w:rPr>
      </w:pPr>
      <w:r>
        <w:rPr>
          <w:rFonts w:ascii="Times New Roman" w:cs="Times New Roman" w:eastAsia="Times New Roman" w:hAnsi="Times New Roman"/>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w:t>
      </w:r>
    </w:p>
    <w:p>
      <w:pPr>
        <w:sectPr>
          <w:pgSz w:w="11900" w:h="16838" w:orient="portrait"/>
          <w:cols w:equalWidth="0" w:num="2">
            <w:col w:w="6440" w:space="220"/>
            <w:col w:w="3219"/>
          </w:cols>
          <w:pgMar w:left="58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33655</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tabs>
          <w:tab w:leader="none" w:pos="3620" w:val="left"/>
        </w:tabs>
        <w:rPr>
          <w:sz w:val="20"/>
          <w:szCs w:val="20"/>
          <w:color w:val="auto"/>
        </w:rPr>
      </w:pPr>
      <w:r>
        <w:rPr>
          <w:rFonts w:ascii="Times New Roman" w:cs="Times New Roman" w:eastAsia="Times New Roman" w:hAnsi="Times New Roman"/>
          <w:sz w:val="18"/>
          <w:szCs w:val="18"/>
          <w:color w:val="auto"/>
        </w:rPr>
        <w:t>Stockholder Suits</w:t>
      </w:r>
      <w:r>
        <w:rPr>
          <w:sz w:val="20"/>
          <w:szCs w:val="20"/>
          <w:color w:val="auto"/>
        </w:rPr>
        <w:tab/>
      </w:r>
      <w:r>
        <w:rPr>
          <w:rFonts w:ascii="Times New Roman" w:cs="Times New Roman" w:eastAsia="Times New Roman" w:hAnsi="Times New Roman"/>
          <w:sz w:val="18"/>
          <w:szCs w:val="18"/>
          <w:color w:val="auto"/>
        </w:rPr>
        <w:t>Under English law, generally, the</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 rather than its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shareholders, is the proper claimant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 an action in respect of a wrong</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done to the company or where there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is an irregularity in the company’s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internal management.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Notwithstanding this general</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position, the Companies Act 2006</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provides that (i) a court may allow a</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shareholder to bring a derivative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claim (that is, an action in respect of</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and on behalf of the company) in</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respect of a cause of action arising</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from a director’s negligence, default,</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breach of duty or breach of trust and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(ii) a shareholder may bring a claim</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for a court order where the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company’s affairs have been or are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being conducted in a manner that is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unfairly prejudicial to some of its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5" w:lineRule="exact"/>
        <w:rPr>
          <w:sz w:val="20"/>
          <w:szCs w:val="20"/>
          <w:color w:val="auto"/>
        </w:rPr>
      </w:pPr>
    </w:p>
    <w:p>
      <w:pPr>
        <w:ind w:right="519"/>
        <w:spacing w:after="0" w:line="256" w:lineRule="auto"/>
        <w:rPr>
          <w:sz w:val="20"/>
          <w:szCs w:val="20"/>
          <w:color w:val="auto"/>
        </w:rPr>
      </w:pPr>
      <w:r>
        <w:rPr>
          <w:rFonts w:ascii="Times New Roman" w:cs="Times New Roman" w:eastAsia="Times New Roman" w:hAnsi="Times New Roman"/>
          <w:sz w:val="18"/>
          <w:szCs w:val="18"/>
          <w:color w:val="auto"/>
        </w:rPr>
        <w:t>have also imposed a heightened standard of conduct upon directors of a Delaware corporation who take any action designed to defeat a threatened change in control of the corporation.</w:t>
      </w:r>
    </w:p>
    <w:p>
      <w:pPr>
        <w:spacing w:after="0" w:line="12"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6"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Under Delaware law, a stockholder may initiate a derivative action to enforce a right of a corporation if the corporation fails to enforce the right itself. The complaint must:</w:t>
      </w:r>
    </w:p>
    <w:p>
      <w:pPr>
        <w:spacing w:after="0" w:line="102" w:lineRule="exact"/>
        <w:rPr>
          <w:sz w:val="20"/>
          <w:szCs w:val="20"/>
          <w:color w:val="auto"/>
        </w:rPr>
      </w:pPr>
    </w:p>
    <w:p>
      <w:pPr>
        <w:ind w:left="220" w:right="499"/>
        <w:spacing w:after="0" w:line="256" w:lineRule="auto"/>
        <w:rPr>
          <w:sz w:val="20"/>
          <w:szCs w:val="20"/>
          <w:color w:val="auto"/>
        </w:rPr>
      </w:pPr>
      <w:r>
        <w:rPr>
          <w:rFonts w:ascii="Times New Roman" w:cs="Times New Roman" w:eastAsia="Times New Roman" w:hAnsi="Times New Roman"/>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20" w:lineRule="exact"/>
        <w:rPr>
          <w:sz w:val="20"/>
          <w:szCs w:val="20"/>
          <w:color w:val="auto"/>
        </w:rPr>
      </w:pPr>
    </w:p>
    <w:p>
      <w:pPr>
        <w:ind w:left="220" w:right="479"/>
        <w:spacing w:after="0" w:line="256" w:lineRule="auto"/>
        <w:rPr>
          <w:sz w:val="20"/>
          <w:szCs w:val="20"/>
          <w:color w:val="auto"/>
        </w:rPr>
      </w:pPr>
      <w:r>
        <w:rPr>
          <w:rFonts w:ascii="Times New Roman" w:cs="Times New Roman" w:eastAsia="Times New Roman" w:hAnsi="Times New Roman"/>
          <w:sz w:val="18"/>
          <w:szCs w:val="18"/>
          <w:color w:val="auto"/>
        </w:rPr>
        <w:t>allege with particularity the efforts made by the plaintiff to obtain the action the plaintiff desires from the directors and the reasons for the plaintiff’s failure to obtain the action; or</w:t>
      </w:r>
    </w:p>
    <w:p>
      <w:pPr>
        <w:spacing w:after="0" w:line="120" w:lineRule="exact"/>
        <w:rPr>
          <w:sz w:val="20"/>
          <w:szCs w:val="20"/>
          <w:color w:val="auto"/>
        </w:rPr>
      </w:pPr>
    </w:p>
    <w:p>
      <w:pPr>
        <w:ind w:left="220" w:right="599"/>
        <w:spacing w:after="0" w:line="282" w:lineRule="auto"/>
        <w:rPr>
          <w:sz w:val="20"/>
          <w:szCs w:val="20"/>
          <w:color w:val="auto"/>
        </w:rPr>
      </w:pPr>
      <w:r>
        <w:rPr>
          <w:rFonts w:ascii="Times New Roman" w:cs="Times New Roman" w:eastAsia="Times New Roman" w:hAnsi="Times New Roman"/>
          <w:sz w:val="18"/>
          <w:szCs w:val="18"/>
          <w:color w:val="auto"/>
        </w:rPr>
        <w:t>state the reasons for not making the effort.</w:t>
      </w:r>
    </w:p>
    <w:p>
      <w:pPr>
        <w:spacing w:after="0" w:line="229" w:lineRule="exact"/>
        <w:rPr>
          <w:sz w:val="20"/>
          <w:szCs w:val="20"/>
          <w:color w:val="auto"/>
        </w:rPr>
      </w:pPr>
    </w:p>
    <w:p>
      <w:pPr>
        <w:ind w:right="539"/>
        <w:spacing w:after="0" w:line="256" w:lineRule="auto"/>
        <w:rPr>
          <w:sz w:val="20"/>
          <w:szCs w:val="20"/>
          <w:color w:val="auto"/>
        </w:rPr>
      </w:pPr>
      <w:r>
        <w:rPr>
          <w:rFonts w:ascii="Times New Roman" w:cs="Times New Roman" w:eastAsia="Times New Roman" w:hAnsi="Times New Roman"/>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440" w:space="220"/>
            <w:col w:w="3219"/>
          </w:cols>
          <w:pgMar w:left="58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48" w:lineRule="exact"/>
        <w:rPr>
          <w:sz w:val="20"/>
          <w:szCs w:val="20"/>
          <w:color w:val="auto"/>
        </w:rPr>
      </w:pPr>
    </w:p>
    <w:p>
      <w:pPr>
        <w:ind w:left="1260" w:right="559" w:firstLine="360"/>
        <w:spacing w:after="0" w:line="241" w:lineRule="auto"/>
        <w:rPr>
          <w:sz w:val="20"/>
          <w:szCs w:val="20"/>
          <w:color w:val="auto"/>
        </w:rPr>
      </w:pPr>
      <w:r>
        <w:rPr>
          <w:rFonts w:ascii="Times New Roman" w:cs="Times New Roman" w:eastAsia="Times New Roman" w:hAnsi="Times New Roman"/>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(Reg. No. 333-217353), or the F-6 Registration Statement.</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16"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have appointed Citibank as depositary pursuant to a deposit agreement. A copy of the deposit agreement is on file with the SEC under cover of the F-6 Registration Statement. You may obtain a copy of the deposit agreement from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Please refer to registration number 333-217353 when retrieving such copy.</w:t>
      </w:r>
    </w:p>
    <w:p>
      <w:pPr>
        <w:spacing w:after="0" w:line="100" w:lineRule="exact"/>
        <w:rPr>
          <w:sz w:val="20"/>
          <w:szCs w:val="20"/>
          <w:color w:val="auto"/>
        </w:rPr>
      </w:pPr>
    </w:p>
    <w:p>
      <w:pPr>
        <w:ind w:left="1260" w:right="479" w:firstLine="360"/>
        <w:spacing w:after="0" w:line="236"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3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23"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deposit agreement. To exercise any shareholder rights not contemplated in the deposit agreement you will, as an ADS owner, need to arrange for the cancellation of your ADSs and become a direct shareholder.</w:t>
      </w:r>
    </w:p>
    <w:p>
      <w:pPr>
        <w:spacing w:after="0" w:line="81"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79"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Cash</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1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33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Shares</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Whenever we make a free distribution of ordinary shares for the ordinary shares on deposit with the custodian, we will deposit the applicable number of ordinary shares with the custodian. Upon receipt of</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0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1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of Rights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9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800" w:right="8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timely request that the rights be distributed to you or we request that the rights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1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Elective Distributions</w:t>
      </w:r>
    </w:p>
    <w:p>
      <w:pPr>
        <w:spacing w:after="0" w:line="148"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Distributions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3"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19" w:lineRule="exact"/>
        <w:rPr>
          <w:sz w:val="20"/>
          <w:szCs w:val="20"/>
          <w:color w:val="auto"/>
        </w:rPr>
      </w:pPr>
    </w:p>
    <w:p>
      <w:pPr>
        <w:ind w:left="1800" w:right="10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request that the property be distributed to you or if we ask that the property not be distributed to you;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deliver satisfactory documents to the depositary;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62"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96" w:lineRule="exact"/>
        <w:rPr>
          <w:sz w:val="20"/>
          <w:szCs w:val="20"/>
          <w:color w:val="auto"/>
        </w:rPr>
      </w:pPr>
    </w:p>
    <w:p>
      <w:pPr>
        <w:ind w:left="1260" w:right="619" w:firstLine="360"/>
        <w:spacing w:after="0"/>
        <w:rPr>
          <w:sz w:val="20"/>
          <w:szCs w:val="20"/>
          <w:color w:val="auto"/>
        </w:rPr>
      </w:pPr>
      <w:r>
        <w:rPr>
          <w:rFonts w:ascii="Times New Roman" w:cs="Times New Roman" w:eastAsia="Times New Roman" w:hAnsi="Times New Roman"/>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Changes Affecting Ordinary Shares</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322"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ADSs upon Deposit of Ordinary Shares</w:t>
      </w:r>
    </w:p>
    <w:p>
      <w:pPr>
        <w:spacing w:after="0" w:line="148"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ectPr>
          <w:pgSz w:w="11900" w:h="16838" w:orient="portrait"/>
          <w:cols w:equalWidth="0" w:num="1">
            <w:col w:w="9879"/>
          </w:cols>
          <w:pgMar w:left="580" w:top="114"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9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When you make a deposit of ordinary shares, you will be responsible for transferring good and valid title to the depositary. As such, you will be deemed to represent and warrant that:</w:t>
      </w:r>
    </w:p>
    <w:p>
      <w:pPr>
        <w:spacing w:after="0" w:line="67" w:lineRule="exact"/>
        <w:rPr>
          <w:sz w:val="20"/>
          <w:szCs w:val="20"/>
          <w:color w:val="auto"/>
        </w:rPr>
      </w:pPr>
    </w:p>
    <w:p>
      <w:pPr>
        <w:ind w:left="1800" w:right="10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are duly authorized, validly issued, fully paid, non-assessable and legally obtained;</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ordinary shares have been validly waived or exercised;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ordinary shares;</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presented for deposit have not been stripped of any rights or entitlements.</w:t>
      </w:r>
    </w:p>
    <w:p>
      <w:pPr>
        <w:spacing w:after="0" w:line="158"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Combination and Split Up of ADRs</w:t>
      </w:r>
    </w:p>
    <w:p>
      <w:pPr>
        <w:spacing w:after="0" w:line="162"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8"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94" w:lineRule="exact"/>
        <w:rPr>
          <w:sz w:val="20"/>
          <w:szCs w:val="20"/>
          <w:color w:val="auto"/>
        </w:rPr>
      </w:pPr>
    </w:p>
    <w:p>
      <w:pPr>
        <w:jc w:val="both"/>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Ordinary Shares Upon Cancellation of ADSs</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as a result of:</w:t>
      </w:r>
    </w:p>
    <w:p>
      <w:pPr>
        <w:spacing w:after="0" w:line="67" w:lineRule="exact"/>
        <w:rPr>
          <w:sz w:val="20"/>
          <w:szCs w:val="20"/>
          <w:color w:val="auto"/>
        </w:rPr>
      </w:pPr>
    </w:p>
    <w:p>
      <w:pPr>
        <w:ind w:left="1800" w:right="419" w:hanging="180"/>
        <w:spacing w:after="0" w:line="275"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30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 and/or</w:t>
      </w:r>
    </w:p>
    <w:p>
      <w:pPr>
        <w:spacing w:after="0" w:line="130"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pacing w:after="0" w:line="9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0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it will endeavor to vote the securities (in person or by proxy) represented by the holder’s ADSs as follows:</w:t>
      </w:r>
    </w:p>
    <w:p>
      <w:pPr>
        <w:spacing w:after="0" w:line="79" w:lineRule="exact"/>
        <w:rPr>
          <w:sz w:val="20"/>
          <w:szCs w:val="20"/>
          <w:color w:val="auto"/>
        </w:rPr>
      </w:pPr>
    </w:p>
    <w:p>
      <w:pPr>
        <w:ind w:left="1800" w:right="599" w:hanging="180"/>
        <w:spacing w:after="0" w:line="267"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show of hands</w:t>
      </w:r>
      <w:r>
        <w:rPr>
          <w:rFonts w:ascii="Times New Roman" w:cs="Times New Roman" w:eastAsia="Times New Roman" w:hAnsi="Times New Roman"/>
          <w:sz w:val="18"/>
          <w:szCs w:val="18"/>
          <w:color w:val="auto"/>
        </w:rPr>
        <w:t>, the depositary will vote (or cause the custodian to vote)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held on deposit at that time in accordance with the voting instructions received from a majority of holders of ADSs who provide timely voting instructions.</w:t>
      </w:r>
    </w:p>
    <w:p>
      <w:pPr>
        <w:spacing w:after="0" w:line="78" w:lineRule="exact"/>
        <w:rPr>
          <w:rFonts w:ascii="Times New Roman" w:cs="Times New Roman" w:eastAsia="Times New Roman" w:hAnsi="Times New Roman"/>
          <w:sz w:val="18"/>
          <w:szCs w:val="18"/>
          <w:color w:val="auto"/>
        </w:rPr>
      </w:pPr>
    </w:p>
    <w:p>
      <w:pPr>
        <w:ind w:left="1800" w:right="459" w:hanging="180"/>
        <w:spacing w:after="0" w:line="284"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the event of voting by poll</w:t>
      </w:r>
      <w:r>
        <w:rPr>
          <w:rFonts w:ascii="Times New Roman" w:cs="Times New Roman" w:eastAsia="Times New Roman" w:hAnsi="Times New Roman"/>
          <w:sz w:val="18"/>
          <w:szCs w:val="18"/>
          <w:color w:val="auto"/>
        </w:rPr>
        <w:t>, the depositary will vote (or cause the custodian to vote)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held on deposit in accordance with the voting instructions received from the holders of ADSs.</w:t>
      </w:r>
    </w:p>
    <w:p>
      <w:pPr>
        <w:spacing w:after="0" w:line="9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Charges</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2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5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23"/>
        </w:trPr>
        <w:tc>
          <w:tcPr>
            <w:tcW w:w="5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ADSs (e.g., an issuance of ADS upon a deposit of ordinary</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issued</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or upon a change in the ADS(s)-to-ordinary shares ratio),</w:t>
            </w:r>
          </w:p>
        </w:tc>
        <w:tc>
          <w:tcPr>
            <w:tcW w:w="2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excluding ADS issuances as a result of distributions of ordinary shares</w:t>
            </w:r>
          </w:p>
        </w:tc>
        <w:tc>
          <w:tcPr>
            <w:tcW w:w="258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cancelled</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deposited property or upon a change in the ADS(s)-to-ordinary shares</w:t>
            </w:r>
          </w:p>
        </w:tc>
        <w:tc>
          <w:tcPr>
            <w:tcW w:w="2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w:t>
            </w:r>
          </w:p>
        </w:tc>
        <w:tc>
          <w:tcPr>
            <w:tcW w:w="258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58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 stock</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258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580" w:type="dxa"/>
            <w:vAlign w:val="bottom"/>
          </w:tcPr>
          <w:p>
            <w:pPr>
              <w:spacing w:after="0"/>
              <w:rPr>
                <w:sz w:val="20"/>
                <w:szCs w:val="20"/>
                <w:color w:val="auto"/>
              </w:rPr>
            </w:pPr>
          </w:p>
        </w:tc>
      </w:tr>
      <w:tr>
        <w:trPr>
          <w:trHeight w:val="30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 Services</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Up to $0.05 per ADS held on the</w:t>
            </w: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applicable record date(s)</w:t>
            </w:r>
          </w:p>
        </w:tc>
      </w:tr>
      <w:tr>
        <w:trPr>
          <w:trHeight w:val="234"/>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established by the depositary</w:t>
            </w:r>
          </w:p>
        </w:tc>
      </w:tr>
    </w:tbl>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103" w:lineRule="exact"/>
        <w:rPr>
          <w:rFonts w:ascii="Times New Roman" w:cs="Times New Roman" w:eastAsia="Times New Roman" w:hAnsi="Times New Roman"/>
          <w:sz w:val="18"/>
          <w:szCs w:val="18"/>
          <w:color w:val="auto"/>
        </w:rPr>
      </w:pPr>
    </w:p>
    <w:p>
      <w:pPr>
        <w:jc w:val="both"/>
        <w:ind w:left="1800" w:right="9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94"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31" w:lineRule="exact"/>
        <w:rPr>
          <w:sz w:val="20"/>
          <w:szCs w:val="20"/>
          <w:color w:val="auto"/>
        </w:rPr>
      </w:pPr>
    </w:p>
    <w:p>
      <w:pPr>
        <w:ind w:left="1260" w:right="759" w:firstLine="360"/>
        <w:spacing w:after="0" w:line="275"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4" w:lineRule="exact"/>
        <w:rPr>
          <w:sz w:val="20"/>
          <w:szCs w:val="20"/>
          <w:color w:val="auto"/>
        </w:rPr>
      </w:pPr>
    </w:p>
    <w:p>
      <w:pPr>
        <w:ind w:left="1260" w:right="719" w:firstLine="360"/>
        <w:spacing w:after="0" w:line="263"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20"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9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ectPr>
          <w:pgSz w:w="11900" w:h="16838" w:orient="portrait"/>
          <w:cols w:equalWidth="0" w:num="1">
            <w:col w:w="9879"/>
          </w:cols>
          <w:pgMar w:left="58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Transmission of Notices, Reports and Proxy Soliciting Material</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Liabilities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limits our obligations and the depositary’s obligations to you. Please note the following:</w:t>
      </w:r>
    </w:p>
    <w:p>
      <w:pPr>
        <w:spacing w:after="0" w:line="54" w:lineRule="exact"/>
        <w:rPr>
          <w:sz w:val="20"/>
          <w:szCs w:val="20"/>
          <w:color w:val="auto"/>
        </w:rPr>
      </w:pPr>
    </w:p>
    <w:p>
      <w:pPr>
        <w:ind w:left="1800" w:right="10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are obligated only to take the actions specifically stated in the deposit agreement without negligence or bad faith.</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295"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will not be obligated to perform any act that is inconsistent with the terms of the deposit agreement.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may rely without any liability upon any written notice, request or other document believed to be genuine and to have been signed or presented by the proper parties.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depositary also disclaim liability for any consequential or punitive damages for any breach of the terms of the deposit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Pre-Release Transactions</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deposit agreement, the depositary may issue to broker/ dealers ADSs before receiving a deposit of ordinary shares or release ordinary shares to broker/dealers</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6" w:lineRule="auto"/>
        <w:rPr>
          <w:sz w:val="20"/>
          <w:szCs w:val="20"/>
          <w:color w:val="auto"/>
        </w:rPr>
      </w:pPr>
      <w:r>
        <w:rPr>
          <w:rFonts w:ascii="Times New Roman" w:cs="Times New Roman" w:eastAsia="Times New Roman" w:hAnsi="Times New Roman"/>
          <w:sz w:val="18"/>
          <w:szCs w:val="18"/>
          <w:color w:val="auto"/>
        </w:rPr>
        <w:t>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Currency Conversion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9"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1800" w:right="5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holders for whom the conversion and distribution is lawful and practical.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holders for whom the distribution is lawful and practical.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Law/Waiver of Jury Trial</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4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July 17, 2020, we entered into a Securities Purchase Agreement, or the Purchase Agreement, with the selling securityholders. Pursuant to the Purchase Agreement, we agreed to sell an aggregate of 38,440,009 ADSs, each representing eight ordinary shares, and 48,088,896 non-voting ordinary shares, at a purchase price equal to $4.50 per ADS and $0.5625 per non-voting ordinary share, or the 2020 Private Placement. The closing of the 2020 Private Placement occurred on July 22, 2020. We received aggregate gross proceeds from the 2020 Private Placement of approximately $200 million. Additionally, on July 14, 2020, we entered into a subscription agreement with David Ebsworth, a director, pursuant to which</w:t>
      </w:r>
    </w:p>
    <w:p>
      <w:pPr>
        <w:spacing w:after="0" w:line="3"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color w:val="auto"/>
        </w:rPr>
        <w:t>Dr. Ebsworth purchased 222,216 ordinary shares at a purchase price per share of £0.45 concurrently with, and contingent upon, the 2020 Private Placement, or the Concurrent Placement.</w:t>
      </w:r>
    </w:p>
    <w:p>
      <w:pPr>
        <w:spacing w:after="0" w:line="11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2020 Private Placement, we entered into a Registration Rights Agreement with the selling securityholders. Pursuant to the Registration Rights Agreement, we agreed to prepare and file a registration statement with the SEC no later than 30 days following the closing date for purposes of registering the resale of the ordinary shares underlying the ADSs and the ordinary shares into which the non-voting ordinary shares may be re-designated. We also agreed to use our commercially reasonable efforts to cause the registration statement to be declared effective by the SEC. On August 17, 2020, we filed a registration statement on Form F-1 to register the resale by the selling securityholders of the ordinary shares purchased in the 2020 PIPE and the Concurrent Placement, including ordinary shares in the form of ADSs, which became effective on August 27, 2020. As of such date, we were a foreign private issuer within the meaning of the Securities Act of 1933, as amended. We determined that, effective as of January 1, 2021, we were no longer a foreign private issuer, and as a result we are subject to the registration requirements applicable to a United States domestic registrant. As a result, we filed a registration statement on Form S-3 to register the resale by the selling securityholders of the ordinary shares purchased in the 2020 PIPE and Concurrent Placement of which this prospectus forms a part.</w:t>
      </w:r>
    </w:p>
    <w:p>
      <w:pPr>
        <w:spacing w:after="0" w:line="34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ordinary shares that may be offered from time to time by each selling securityholder. The number of ordinary shares beneficially owned by each selling securityholder is determined under rules issued by the SEC. Under these rules, beneficial ownership includes any shares as to which the individual or entity has sole or shared voting power or investment power. Percentage ownership is based on 440,215,550 ordinary shares outstanding as of March 1, 2021, including ordinary shares in the form of ADSs. In computing the number of shares beneficially owned by an individual or entity and the percentage ownership of that person, ordinary shares subject to options, restricted share units or other rights held by such person that are currently exercisable or will become exercisable within 60 days of March 1, 2021 are considered outstanding, although these shares are not considered outstanding for purposes of computing the percentage ownership of any other person. Unless noted otherwise, the address of all listed selling securityholders is c/o Verona Pharma plc, 3 More London Riverside, London SE1 2RE, United Kingdom. Each of the selling securityholders listed has sole voting and investment power with respect to the shares beneficially owned by the selling securityholder unless noted otherwise, subject to community property laws where applicable.</w:t>
      </w:r>
    </w:p>
    <w:p>
      <w:pPr>
        <w:spacing w:after="0" w:line="116"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provided by or on behalf of the selling securityholders concerning the ordinary shares that may be offered from time to time by each selling securityholder pursuant to this prospectus.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A selling securityholder may sell all, some or none of such securities in this offering. See “Plan of Distribution.”</w:t>
      </w:r>
    </w:p>
    <w:p>
      <w:pPr>
        <w:spacing w:after="0" w:line="34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selling securityholders have held a position or office, or had another material relationship, with us within the prior three years: David Zaccardelli is our Chief Executive Officer, Mark Hahn is our Chief Financial Officer, and David Ebsworth, Anders Ullman and Martin Edwards are members of our Board of Directors.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2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Shares Beneficially Owned</w:t>
            </w:r>
          </w:p>
        </w:tc>
        <w:tc>
          <w:tcPr>
            <w:tcW w:w="740" w:type="dxa"/>
            <w:vAlign w:val="bottom"/>
          </w:tcPr>
          <w:p>
            <w:pPr>
              <w:spacing w:after="0"/>
              <w:rPr>
                <w:sz w:val="14"/>
                <w:szCs w:val="14"/>
                <w:color w:val="auto"/>
              </w:rPr>
            </w:pPr>
          </w:p>
        </w:tc>
        <w:tc>
          <w:tcPr>
            <w:tcW w:w="21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194"/>
        </w:trPr>
        <w:tc>
          <w:tcPr>
            <w:tcW w:w="3060" w:type="dxa"/>
            <w:vAlign w:val="bottom"/>
          </w:tcPr>
          <w:p>
            <w:pPr>
              <w:spacing w:after="0"/>
              <w:rPr>
                <w:sz w:val="16"/>
                <w:szCs w:val="16"/>
                <w:color w:val="auto"/>
              </w:rPr>
            </w:pP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to Offering</w:t>
            </w:r>
          </w:p>
        </w:tc>
        <w:tc>
          <w:tcPr>
            <w:tcW w:w="740" w:type="dxa"/>
            <w:vAlign w:val="bottom"/>
          </w:tcPr>
          <w:p>
            <w:pPr>
              <w:spacing w:after="0"/>
              <w:rPr>
                <w:sz w:val="16"/>
                <w:szCs w:val="16"/>
                <w:color w:val="auto"/>
              </w:rPr>
            </w:pPr>
          </w:p>
        </w:tc>
        <w:tc>
          <w:tcPr>
            <w:tcW w:w="1520" w:type="dxa"/>
            <w:vAlign w:val="bottom"/>
            <w:gridSpan w:val="2"/>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9"/>
              </w:rPr>
              <w:t>After Offering</w:t>
            </w:r>
          </w:p>
        </w:tc>
        <w:tc>
          <w:tcPr>
            <w:tcW w:w="660" w:type="dxa"/>
            <w:vAlign w:val="bottom"/>
          </w:tcPr>
          <w:p>
            <w:pPr>
              <w:spacing w:after="0"/>
              <w:rPr>
                <w:sz w:val="16"/>
                <w:szCs w:val="16"/>
                <w:color w:val="auto"/>
              </w:rPr>
            </w:pPr>
          </w:p>
        </w:tc>
      </w:tr>
      <w:tr>
        <w:trPr>
          <w:trHeight w:val="164"/>
        </w:trPr>
        <w:tc>
          <w:tcPr>
            <w:tcW w:w="30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Borders>
              <w:top w:val="single" w:sz="8" w:color="auto"/>
            </w:tcBorders>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60" w:type="dxa"/>
            <w:vAlign w:val="bottom"/>
            <w:tcBorders>
              <w:top w:val="single" w:sz="8" w:color="auto"/>
            </w:tcBorders>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72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Non-Voting</w:t>
            </w:r>
          </w:p>
        </w:tc>
        <w:tc>
          <w:tcPr>
            <w:tcW w:w="66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72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Being</w:t>
            </w: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660" w:type="dxa"/>
            <w:vAlign w:val="bottom"/>
          </w:tcPr>
          <w:p>
            <w:pPr>
              <w:spacing w:after="0"/>
              <w:rPr>
                <w:sz w:val="14"/>
                <w:szCs w:val="14"/>
                <w:color w:val="auto"/>
              </w:rPr>
            </w:pPr>
          </w:p>
        </w:tc>
      </w:tr>
      <w:tr>
        <w:trPr>
          <w:trHeight w:val="195"/>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20"/>
        </w:trPr>
        <w:tc>
          <w:tcPr>
            <w:tcW w:w="306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3060" w:type="dxa"/>
            <w:vAlign w:val="bottom"/>
            <w:tcBorders>
              <w:right w:val="single" w:sz="8" w:color="CCEEFF"/>
            </w:tcBorders>
            <w:shd w:val="clear" w:color="auto" w:fill="CCEEFF"/>
          </w:tcPr>
          <w:p>
            <w:pPr>
              <w:spacing w:after="0" w:line="228" w:lineRule="exact"/>
              <w:rPr>
                <w:sz w:val="20"/>
                <w:szCs w:val="20"/>
                <w:color w:val="auto"/>
              </w:rPr>
            </w:pPr>
            <w:r>
              <w:rPr>
                <w:rFonts w:ascii="Times New Roman" w:cs="Times New Roman" w:eastAsia="Times New Roman" w:hAnsi="Times New Roman"/>
                <w:sz w:val="14"/>
                <w:szCs w:val="14"/>
                <w:color w:val="auto"/>
              </w:rPr>
              <w:t>Abingworth Bioventures VI, LP</w:t>
            </w:r>
            <w:r>
              <w:rPr>
                <w:rFonts w:ascii="Times New Roman" w:cs="Times New Roman" w:eastAsia="Times New Roman" w:hAnsi="Times New Roman"/>
                <w:sz w:val="21"/>
                <w:szCs w:val="21"/>
                <w:color w:val="auto"/>
                <w:vertAlign w:val="superscript"/>
              </w:rPr>
              <w:t>(1)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21,064,222</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8,619,774</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Acorn Bioventures VI L.P.</w:t>
            </w:r>
            <w:r>
              <w:rPr>
                <w:rFonts w:ascii="Times New Roman" w:cs="Times New Roman" w:eastAsia="Times New Roman" w:hAnsi="Times New Roman"/>
                <w:sz w:val="21"/>
                <w:szCs w:val="21"/>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AI Biotechnology LLC</w:t>
            </w:r>
            <w:r>
              <w:rPr>
                <w:rFonts w:ascii="Times New Roman" w:cs="Times New Roman" w:eastAsia="Times New Roman" w:hAnsi="Times New Roman"/>
                <w:sz w:val="21"/>
                <w:szCs w:val="21"/>
                <w:color w:val="auto"/>
                <w:vertAlign w:val="superscript"/>
              </w:rPr>
              <w:t>(3)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44,444,448</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44,444,448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Aisling Capital IV, LP</w:t>
            </w:r>
            <w:r>
              <w:rPr>
                <w:rFonts w:ascii="Times New Roman" w:cs="Times New Roman" w:eastAsia="Times New Roman" w:hAnsi="Times New Roman"/>
                <w:sz w:val="21"/>
                <w:szCs w:val="21"/>
                <w:color w:val="auto"/>
                <w:vertAlign w:val="superscript"/>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11,839,630</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4,138,643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Altium Growth Fund, L.P.</w:t>
            </w:r>
            <w:r>
              <w:rPr>
                <w:rFonts w:ascii="Times New Roman" w:cs="Times New Roman" w:eastAsia="Times New Roman" w:hAnsi="Times New Roman"/>
                <w:sz w:val="21"/>
                <w:szCs w:val="21"/>
                <w:color w:val="auto"/>
                <w:vertAlign w:val="superscript"/>
              </w:rPr>
              <w:t>(5)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1,777,784</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1,777,784</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Anders Ullman, Ph.D.</w:t>
            </w:r>
            <w:r>
              <w:rPr>
                <w:rFonts w:ascii="Times New Roman" w:cs="Times New Roman" w:eastAsia="Times New Roman" w:hAnsi="Times New Roman"/>
                <w:sz w:val="21"/>
                <w:szCs w:val="21"/>
                <w:color w:val="auto"/>
                <w:vertAlign w:val="superscript"/>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336,112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69,448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CVI Investments, Inc.</w:t>
            </w:r>
            <w:r>
              <w:rPr>
                <w:rFonts w:ascii="Times New Roman" w:cs="Times New Roman" w:eastAsia="Times New Roman" w:hAnsi="Times New Roman"/>
                <w:sz w:val="21"/>
                <w:szCs w:val="21"/>
                <w:color w:val="auto"/>
                <w:vertAlign w:val="superscript"/>
              </w:rPr>
              <w:t>(7)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3,555,560</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3,555,560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DAFNA affiliates</w:t>
            </w:r>
            <w:r>
              <w:rPr>
                <w:rFonts w:ascii="Times New Roman" w:cs="Times New Roman" w:eastAsia="Times New Roman" w:hAnsi="Times New Roman"/>
                <w:sz w:val="21"/>
                <w:szCs w:val="21"/>
                <w:color w:val="auto"/>
                <w:vertAlign w:val="superscript"/>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1,777,776</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1,777,776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David Ebsworth, Ph.D.</w:t>
            </w:r>
            <w:r>
              <w:rPr>
                <w:rFonts w:ascii="Times New Roman" w:cs="Times New Roman" w:eastAsia="Times New Roman" w:hAnsi="Times New Roman"/>
                <w:sz w:val="21"/>
                <w:szCs w:val="21"/>
                <w:color w:val="auto"/>
                <w:vertAlign w:val="superscript"/>
              </w:rPr>
              <w:t>(9)</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671,747</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222,216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449,531</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David Zaccardelli, Pharm.D.</w:t>
            </w:r>
            <w:r>
              <w:rPr>
                <w:rFonts w:ascii="Times New Roman" w:cs="Times New Roman" w:eastAsia="Times New Roman" w:hAnsi="Times New Roman"/>
                <w:sz w:val="21"/>
                <w:szCs w:val="21"/>
                <w:color w:val="auto"/>
                <w:vertAlign w:val="superscript"/>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1,027,056</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582,616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Fairmount affiliates</w:t>
            </w:r>
            <w:r>
              <w:rPr>
                <w:rFonts w:ascii="Times New Roman" w:cs="Times New Roman" w:eastAsia="Times New Roman" w:hAnsi="Times New Roman"/>
                <w:sz w:val="21"/>
                <w:szCs w:val="21"/>
                <w:color w:val="auto"/>
                <w:vertAlign w:val="superscript"/>
              </w:rPr>
              <w:t>(11)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Foresite Capital Fund III, L.P.</w:t>
            </w:r>
            <w:r>
              <w:rPr>
                <w:rFonts w:ascii="Times New Roman" w:cs="Times New Roman" w:eastAsia="Times New Roman" w:hAnsi="Times New Roman"/>
                <w:sz w:val="21"/>
                <w:szCs w:val="21"/>
                <w:color w:val="auto"/>
                <w:vertAlign w:val="superscript"/>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8,888,896</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8,888,896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Ghost Tree Master Fund, LP</w:t>
            </w:r>
            <w:r>
              <w:rPr>
                <w:rFonts w:ascii="Times New Roman" w:cs="Times New Roman" w:eastAsia="Times New Roman" w:hAnsi="Times New Roman"/>
                <w:sz w:val="21"/>
                <w:szCs w:val="21"/>
                <w:color w:val="auto"/>
                <w:vertAlign w:val="superscript"/>
              </w:rPr>
              <w:t>(13)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4,444,448</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4,444,448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Inshan Sinha 2019 Trust</w:t>
            </w:r>
            <w:r>
              <w:rPr>
                <w:rFonts w:ascii="Times New Roman" w:cs="Times New Roman" w:eastAsia="Times New Roman" w:hAnsi="Times New Roman"/>
                <w:sz w:val="21"/>
                <w:szCs w:val="21"/>
                <w:color w:val="auto"/>
                <w:vertAlign w:val="superscript"/>
              </w:rPr>
              <w:t>(14)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355,552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John A. Stalfort III</w:t>
            </w:r>
            <w:r>
              <w:rPr>
                <w:rFonts w:ascii="Times New Roman" w:cs="Times New Roman" w:eastAsia="Times New Roman" w:hAnsi="Times New Roman"/>
                <w:sz w:val="21"/>
                <w:szCs w:val="21"/>
                <w:color w:val="auto"/>
                <w:vertAlign w:val="superscript"/>
              </w:rPr>
              <w:t>(15)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888,896</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888,896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Logos Global Master Fund, L.P.</w:t>
            </w:r>
            <w:r>
              <w:rPr>
                <w:rFonts w:ascii="Times New Roman" w:cs="Times New Roman" w:eastAsia="Times New Roman" w:hAnsi="Times New Roman"/>
                <w:sz w:val="21"/>
                <w:szCs w:val="21"/>
                <w:color w:val="auto"/>
                <w:vertAlign w:val="superscript"/>
              </w:rPr>
              <w:t>(16)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2,666,672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2,666,672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spacing w:after="0"/>
              <w:rPr>
                <w:sz w:val="19"/>
                <w:szCs w:val="19"/>
                <w:color w:val="auto"/>
              </w:rPr>
            </w:pPr>
          </w:p>
        </w:tc>
      </w:tr>
      <w:tr>
        <w:trPr>
          <w:trHeight w:val="230"/>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Mark W. Hahn</w:t>
            </w:r>
            <w:r>
              <w:rPr>
                <w:rFonts w:ascii="Times New Roman" w:cs="Times New Roman" w:eastAsia="Times New Roman" w:hAnsi="Times New Roman"/>
                <w:sz w:val="21"/>
                <w:szCs w:val="21"/>
                <w:color w:val="auto"/>
                <w:vertAlign w:val="superscript"/>
              </w:rPr>
              <w:t>(17)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453,992</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177,784</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276,208</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Martin Edwards</w:t>
            </w:r>
            <w:r>
              <w:rPr>
                <w:rFonts w:ascii="Times New Roman" w:cs="Times New Roman" w:eastAsia="Times New Roman" w:hAnsi="Times New Roman"/>
                <w:sz w:val="21"/>
                <w:szCs w:val="21"/>
                <w:color w:val="auto"/>
                <w:vertAlign w:val="superscript"/>
              </w:rPr>
              <w:t>(18)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94,088</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New Enterprise Associates affiliates</w:t>
            </w:r>
            <w:r>
              <w:rPr>
                <w:rFonts w:ascii="Times New Roman" w:cs="Times New Roman" w:eastAsia="Times New Roman" w:hAnsi="Times New Roman"/>
                <w:sz w:val="21"/>
                <w:szCs w:val="21"/>
                <w:color w:val="auto"/>
                <w:vertAlign w:val="superscript"/>
              </w:rPr>
              <w:t>(19)</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42,638,131</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31,111,112</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11,527,019</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Natasha Sinha 2019 Trust</w:t>
            </w:r>
            <w:r>
              <w:rPr>
                <w:rFonts w:ascii="Times New Roman" w:cs="Times New Roman" w:eastAsia="Times New Roman" w:hAnsi="Times New Roman"/>
                <w:sz w:val="21"/>
                <w:szCs w:val="21"/>
                <w:color w:val="auto"/>
                <w:vertAlign w:val="superscript"/>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355,552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266,664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Novo A/S</w:t>
            </w:r>
            <w:r>
              <w:rPr>
                <w:rFonts w:ascii="Times New Roman" w:cs="Times New Roman" w:eastAsia="Times New Roman" w:hAnsi="Times New Roman"/>
                <w:sz w:val="21"/>
                <w:szCs w:val="21"/>
                <w:color w:val="auto"/>
                <w:vertAlign w:val="superscript"/>
              </w:rPr>
              <w:t>(21)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12,893,250</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8,888,888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4,004,362</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OrbiMed affiliates</w:t>
            </w:r>
            <w:r>
              <w:rPr>
                <w:rFonts w:ascii="Times New Roman" w:cs="Times New Roman" w:eastAsia="Times New Roman" w:hAnsi="Times New Roman"/>
                <w:sz w:val="21"/>
                <w:szCs w:val="21"/>
                <w:color w:val="auto"/>
                <w:vertAlign w:val="superscript"/>
              </w:rPr>
              <w:t>(22)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42,093,330</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35,555,560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6,537,770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r>
      <w:tr>
        <w:trPr>
          <w:trHeight w:val="230"/>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Entities affiliated with Paul B. Manning</w:t>
            </w:r>
            <w:r>
              <w:rPr>
                <w:rFonts w:ascii="Times New Roman" w:cs="Times New Roman" w:eastAsia="Times New Roman" w:hAnsi="Times New Roman"/>
                <w:sz w:val="21"/>
                <w:szCs w:val="21"/>
                <w:color w:val="auto"/>
                <w:vertAlign w:val="superscript"/>
              </w:rPr>
              <w:t>(23)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Perceptive Life Sciences Master Fund, Ltd.</w:t>
            </w:r>
            <w:r>
              <w:rPr>
                <w:rFonts w:ascii="Times New Roman" w:cs="Times New Roman" w:eastAsia="Times New Roman" w:hAnsi="Times New Roman"/>
                <w:sz w:val="21"/>
                <w:szCs w:val="21"/>
                <w:color w:val="auto"/>
                <w:vertAlign w:val="superscript"/>
              </w:rPr>
              <w:t>(24)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23,111,112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23,111,112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3060" w:type="dxa"/>
            <w:vAlign w:val="bottom"/>
            <w:tcBorders>
              <w:righ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Parallax Biomedical Fund, LP</w:t>
            </w:r>
            <w:r>
              <w:rPr>
                <w:rFonts w:ascii="Times New Roman" w:cs="Times New Roman" w:eastAsia="Times New Roman" w:hAnsi="Times New Roman"/>
                <w:sz w:val="21"/>
                <w:szCs w:val="21"/>
                <w:color w:val="auto"/>
                <w:vertAlign w:val="superscript"/>
              </w:rPr>
              <w:t>(25)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355,560</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355,560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3060" w:type="dxa"/>
            <w:vAlign w:val="bottom"/>
          </w:tcPr>
          <w:p>
            <w:pPr>
              <w:spacing w:after="0" w:line="230" w:lineRule="exact"/>
              <w:rPr>
                <w:sz w:val="20"/>
                <w:szCs w:val="20"/>
                <w:color w:val="auto"/>
              </w:rPr>
            </w:pPr>
            <w:r>
              <w:rPr>
                <w:rFonts w:ascii="Times New Roman" w:cs="Times New Roman" w:eastAsia="Times New Roman" w:hAnsi="Times New Roman"/>
                <w:sz w:val="14"/>
                <w:szCs w:val="14"/>
                <w:color w:val="auto"/>
              </w:rPr>
              <w:t>Polar Capital Holdings plc</w:t>
            </w:r>
            <w:r>
              <w:rPr>
                <w:rFonts w:ascii="Times New Roman" w:cs="Times New Roman" w:eastAsia="Times New Roman" w:hAnsi="Times New Roman"/>
                <w:sz w:val="21"/>
                <w:szCs w:val="21"/>
                <w:color w:val="auto"/>
                <w:vertAlign w:val="superscript"/>
              </w:rPr>
              <w:t>(26)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11,679,931</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4,568,819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r>
      <w:tr>
        <w:trPr>
          <w:trHeight w:val="243"/>
        </w:trPr>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 Capital Management affiliates</w:t>
            </w:r>
            <w:r>
              <w:rPr>
                <w:rFonts w:ascii="Times New Roman" w:cs="Times New Roman" w:eastAsia="Times New Roman" w:hAnsi="Times New Roman"/>
                <w:sz w:val="21"/>
                <w:szCs w:val="21"/>
                <w:color w:val="auto"/>
                <w:vertAlign w:val="superscript"/>
              </w:rPr>
              <w:t>(27)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43,581,339</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48,088,896</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88,888,896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Revach Fund LP</w:t>
            </w:r>
            <w:r>
              <w:rPr>
                <w:rFonts w:ascii="Times New Roman" w:cs="Times New Roman" w:eastAsia="Times New Roman" w:hAnsi="Times New Roman"/>
                <w:sz w:val="21"/>
                <w:szCs w:val="21"/>
                <w:color w:val="auto"/>
                <w:vertAlign w:val="superscript"/>
              </w:rPr>
              <w:t>(28)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444,448</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Samsara BioCapital, L.P.</w:t>
            </w:r>
            <w:r>
              <w:rPr>
                <w:rFonts w:ascii="Times New Roman" w:cs="Times New Roman" w:eastAsia="Times New Roman" w:hAnsi="Times New Roman"/>
                <w:sz w:val="21"/>
                <w:szCs w:val="21"/>
                <w:color w:val="auto"/>
                <w:vertAlign w:val="superscript"/>
              </w:rPr>
              <w:t>(29)</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8,888,896</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8,888,896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Soleus Capital Master Fund, L.P.</w:t>
            </w:r>
            <w:r>
              <w:rPr>
                <w:rFonts w:ascii="Times New Roman" w:cs="Times New Roman" w:eastAsia="Times New Roman" w:hAnsi="Times New Roman"/>
                <w:sz w:val="21"/>
                <w:szCs w:val="21"/>
                <w:color w:val="auto"/>
                <w:vertAlign w:val="superscript"/>
              </w:rPr>
              <w:t>(30)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7,111,112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Sphera affiliates</w:t>
            </w:r>
            <w:r>
              <w:rPr>
                <w:rFonts w:ascii="Times New Roman" w:cs="Times New Roman" w:eastAsia="Times New Roman" w:hAnsi="Times New Roman"/>
                <w:sz w:val="21"/>
                <w:szCs w:val="21"/>
                <w:color w:val="auto"/>
                <w:vertAlign w:val="superscript"/>
              </w:rPr>
              <w:t>(31)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Steven M. Goldman</w:t>
            </w:r>
            <w:r>
              <w:rPr>
                <w:rFonts w:ascii="Times New Roman" w:cs="Times New Roman" w:eastAsia="Times New Roman" w:hAnsi="Times New Roman"/>
                <w:sz w:val="21"/>
                <w:szCs w:val="21"/>
                <w:color w:val="auto"/>
                <w:vertAlign w:val="superscript"/>
              </w:rPr>
              <w:t>(32)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444,448</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444,448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Tekla Capital affiliates</w:t>
            </w:r>
            <w:r>
              <w:rPr>
                <w:rFonts w:ascii="Times New Roman" w:cs="Times New Roman" w:eastAsia="Times New Roman" w:hAnsi="Times New Roman"/>
                <w:sz w:val="21"/>
                <w:szCs w:val="21"/>
                <w:color w:val="auto"/>
                <w:vertAlign w:val="superscript"/>
              </w:rPr>
              <w:t>(33)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7,784,875</w:t>
            </w:r>
          </w:p>
        </w:tc>
        <w:tc>
          <w:tcPr>
            <w:tcW w:w="7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1,777,784</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5,122,277</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r>
      <w:tr>
        <w:trPr>
          <w:trHeight w:val="285"/>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Vivo Capital affiliates</w:t>
            </w:r>
            <w:r>
              <w:rPr>
                <w:rFonts w:ascii="Times New Roman" w:cs="Times New Roman" w:eastAsia="Times New Roman" w:hAnsi="Times New Roman"/>
                <w:sz w:val="21"/>
                <w:szCs w:val="21"/>
                <w:color w:val="auto"/>
                <w:vertAlign w:val="superscript"/>
              </w:rPr>
              <w:t>(34)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26,256,032</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12,444,448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13,811,584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-5057775</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-5057775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-5057775</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-5057775</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-5057775</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-5057775</wp:posOffset>
            </wp:positionV>
            <wp:extent cx="342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2703195</wp:posOffset>
            </wp:positionH>
            <wp:positionV relativeFrom="paragraph">
              <wp:posOffset>-5057775</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2" w:lineRule="exact"/>
        <w:rPr>
          <w:sz w:val="20"/>
          <w:szCs w:val="20"/>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17" w:lineRule="exact"/>
        <w:rPr>
          <w:sz w:val="20"/>
          <w:szCs w:val="20"/>
          <w:color w:val="auto"/>
        </w:rPr>
      </w:pPr>
    </w:p>
    <w:p>
      <w:pPr>
        <w:ind w:left="1620" w:right="439" w:hanging="360"/>
        <w:spacing w:after="0" w:line="253"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 ordinary share held directly by Abingworth Bioventures VI, LP, or Abingworth VI, and 19,660,000 ordinary shares held in the form of ADSs, and (b) warrants to purchase 1,404,221 ordinary shares held directly by Abingworth VI. Abingworth Bioventures VI GP LP, or Abingworth GP VI, serves as general partner of Abingworth VI. Abingworth General Partner VI LLP, or Abingworth General Partner VI, serves as general partner of Abingworth GP VI. Abingworth General Partner VI has delegated to Abingworth LLP, all investment and dispositive power over the securities held by Abingworth VI. An Abingworth LLP investment committee comprised of Timothy Haines, Kurt von Emster, Genghis Lloyd-Harris, Shelley Chu, Brian Gallagher and Bali Muralidhar approves investment and voting decisions of Abingworth VI by a majority vote, and no individual member has the sole control or voting power over the securities held by Abingworth VI. Abingworth GP VI, Abingworth</w:t>
      </w:r>
    </w:p>
    <w:p>
      <w:pPr>
        <w:sectPr>
          <w:pgSz w:w="11900" w:h="16838" w:orient="portrait"/>
          <w:cols w:equalWidth="0" w:num="1">
            <w:col w:w="9879"/>
          </w:cols>
          <w:pgMar w:left="580" w:top="114"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79"/>
        <w:spacing w:after="0"/>
        <w:rPr>
          <w:sz w:val="20"/>
          <w:szCs w:val="20"/>
          <w:color w:val="auto"/>
        </w:rPr>
      </w:pPr>
      <w:r>
        <w:rPr>
          <w:rFonts w:ascii="Times New Roman" w:cs="Times New Roman" w:eastAsia="Times New Roman" w:hAnsi="Times New Roman"/>
          <w:sz w:val="18"/>
          <w:szCs w:val="18"/>
          <w:color w:val="auto"/>
        </w:rPr>
        <w:t>General Partner VI, Abingworth LLP and each of Timothy Haines, Kurt von Emster, Genghis Lloyd-Harris, Shelley Chu, Brian Gallagher and Bali Muralidhar disclaim beneficial ownership of securities held by Abingworth VI, except to the extent, if any of their pecuniary interest therein. Andrew Sinclair is a Partner and Portfolio Manager at Abingworth LLP and a member of our board of directors.</w:t>
      </w:r>
    </w:p>
    <w:p>
      <w:pPr>
        <w:spacing w:after="0" w:line="2" w:lineRule="exact"/>
        <w:rPr>
          <w:sz w:val="20"/>
          <w:szCs w:val="20"/>
          <w:color w:val="auto"/>
        </w:rPr>
      </w:pPr>
    </w:p>
    <w:p>
      <w:pPr>
        <w:jc w:val="both"/>
        <w:ind w:left="1620" w:right="639"/>
        <w:spacing w:after="0" w:line="239" w:lineRule="auto"/>
        <w:rPr>
          <w:sz w:val="20"/>
          <w:szCs w:val="20"/>
          <w:color w:val="auto"/>
        </w:rPr>
      </w:pPr>
      <w:r>
        <w:rPr>
          <w:rFonts w:ascii="Times New Roman" w:cs="Times New Roman" w:eastAsia="Times New Roman" w:hAnsi="Times New Roman"/>
          <w:sz w:val="18"/>
          <w:szCs w:val="18"/>
          <w:color w:val="auto"/>
        </w:rPr>
        <w:t>Dr. Sinclair does not have voting or dispositive power over any of the securities held by Abingworth Vl. Beneficial ownership information is based on information known to us. Abingworth VI’s mailing address is 38 Jermyn Street, London SW1Y 6DN, United Kingdom.</w:t>
      </w:r>
    </w:p>
    <w:p>
      <w:pPr>
        <w:spacing w:after="0" w:line="37" w:lineRule="exact"/>
        <w:rPr>
          <w:sz w:val="20"/>
          <w:szCs w:val="20"/>
          <w:color w:val="auto"/>
        </w:rPr>
      </w:pPr>
    </w:p>
    <w:p>
      <w:pPr>
        <w:ind w:left="1620" w:right="55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12,444,448 ordinary shares held directly by Acorn Bioventures, L.P., all of which are held in the form of ADSs. Beneficial ownership information is based on information known to us.</w:t>
      </w:r>
    </w:p>
    <w:p>
      <w:pPr>
        <w:spacing w:after="0" w:line="13" w:lineRule="exact"/>
        <w:rPr>
          <w:rFonts w:ascii="Times New Roman" w:cs="Times New Roman" w:eastAsia="Times New Roman" w:hAnsi="Times New Roman"/>
          <w:sz w:val="18"/>
          <w:szCs w:val="18"/>
          <w:color w:val="auto"/>
        </w:rPr>
      </w:pPr>
    </w:p>
    <w:p>
      <w:pPr>
        <w:ind w:left="1620" w:right="499" w:hanging="360"/>
        <w:spacing w:after="0" w:line="253"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44,444,448 ordinary shares held directly by AI Biotechnology LLC, or AI, all of which are held in the form of ADSs. AI is a subsidiary in a multi-tier corporate structure of which Access Industries Holdings LLC, or Access Holdings, is the parent holding company and is ultimately managed by Access Industries Management, LLC, or Access Industries, and controlled by Mr. Len Blavatnik. Each of Access Holdings, Access Industries and Mr. Blavatnik disclaims beneficial ownership of all shares held by AI except to the extent of their actual pecuniary interest therein. Beneficial ownership information is based on information known to us and a Schedule 13G filed with the SEC on July 24, 2020. The mailing address of AI, Access Holdings, Access Industries and</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Blavatnik is 40 West 57th Street, 28th Floor, New York, NY 10019.</w:t>
      </w:r>
    </w:p>
    <w:p>
      <w:pPr>
        <w:spacing w:after="0" w:line="58" w:lineRule="exact"/>
        <w:rPr>
          <w:rFonts w:ascii="Times New Roman" w:cs="Times New Roman" w:eastAsia="Times New Roman" w:hAnsi="Times New Roman"/>
          <w:sz w:val="18"/>
          <w:szCs w:val="18"/>
          <w:color w:val="auto"/>
        </w:rPr>
      </w:pPr>
    </w:p>
    <w:p>
      <w:pPr>
        <w:ind w:left="1620" w:right="439" w:hanging="360"/>
        <w:spacing w:after="0" w:line="25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10,659,880 ordinary shares held directly by Aisling Capital IV, L.P., or Aisling, all of which are held in the form of ADSs, and (b) warrants to purchase 589,875 ordinary shares held directly by Aisling. These shares are owned directly by Aisling and held indirectly by Aisling Capital Partners IV, LP, or Aisling GP, as general partner of Aisling, Aisling Capital Partners IV LLC, or Aisling Partners, as general partner of Aisling GP, and each of the individual managing members of Aisling Partners. The individual managing members, or Managers, of Aisling Partners are Dr. Andrew Schiff and Steve Elms. Aisling GP, Aisling Partners and the Managers share voting and dispositive power over the shares directly held by Aisling. Each of Aisling GP, Aisling Partners and the Managers may be deemed to be the beneficial owner of the securities listed above only to the extent of its pecuniary interest therein. The above information shall not be deemed an admission that any of Aisling GP, Aisling Partners or any of the Managers is the beneficial owner of any securities reported herein in excess of such amount. Beneficial ownership information is based on information known to us and a TR-1 provided to us on June 6, 2017. The address of the principal business offices of each of these entities and individuals is 888 Seventh Avenue, 12th Floor, New York, New York 10106.</w:t>
      </w:r>
    </w:p>
    <w:p>
      <w:pPr>
        <w:spacing w:after="0" w:line="48"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1,777,784 ordinary shares held directly by Altium Growth Fund, LP, all of which are held in the form of ADSs. Beneficial ownership information is based on information known to us. The address of the principal business office of Altium Growth Fund, LP is 152 West 57 Street, FL 20, New York, NY 10019.</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317,912 ordinary shares, all of which are held in the form of ADSs.</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3,555,560 ordinary shares held directly by CVI Investments, Inc., or CVI, all of which are held in the form of ADSs. Heights Capital Management, Inc., the authorized agent of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prospectus contained in the Registration Statement of ordinary shares (in the form of ADSs) purchased by CVI in this offering. CVI purchased the shares being registered hereunder in the ordinary course of business and at the time of purchase, had no agreements or understandings, directly or indirectly, with any other person to distribute such shares. Beneficial ownership information is based on information known to us. The principal business address of Heights Capital Management, Inc. is P.O. Box 309GT, Ugland House, South Church Street, George Town, Grand Cayman, Cayman Islands.</w:t>
      </w:r>
    </w:p>
    <w:p>
      <w:pPr>
        <w:spacing w:after="0" w:line="266" w:lineRule="exact"/>
        <w:rPr>
          <w:rFonts w:ascii="Times New Roman" w:cs="Times New Roman" w:eastAsia="Times New Roman" w:hAnsi="Times New Roman"/>
          <w:sz w:val="18"/>
          <w:szCs w:val="18"/>
          <w:color w:val="auto"/>
        </w:rPr>
      </w:pPr>
    </w:p>
    <w:p>
      <w:pPr>
        <w:ind w:left="1620" w:right="439" w:hanging="360"/>
        <w:spacing w:after="0" w:line="263"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1,306,672 ordinary shares held directly by DAFNA LifeScience LP, all of which are held in the form of ADSs and (b) 471,104 ordinary shares held directly by DAFNA LifeScience Select LP, all of which are held in the form of ADSs. DAFNA Capital Management LLC is the sole general partner of</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19"/>
        <w:spacing w:after="0"/>
        <w:rPr>
          <w:sz w:val="20"/>
          <w:szCs w:val="20"/>
          <w:color w:val="auto"/>
        </w:rPr>
      </w:pPr>
      <w:r>
        <w:rPr>
          <w:rFonts w:ascii="Times New Roman" w:cs="Times New Roman" w:eastAsia="Times New Roman" w:hAnsi="Times New Roman"/>
          <w:sz w:val="18"/>
          <w:szCs w:val="18"/>
          <w:color w:val="auto"/>
        </w:rPr>
        <w:t>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Fariba disclaim beneficial ownership of such shares, except to the extent of his or her pecuniary interest therein. Beneficial ownership information is based on information known to us. DAFNA Capital’s mailing address is 10990 Wilshire Blvd. #1400, Los Angeles, CA 90024.</w:t>
      </w:r>
    </w:p>
    <w:p>
      <w:pPr>
        <w:spacing w:after="0" w:line="36" w:lineRule="exact"/>
        <w:rPr>
          <w:sz w:val="20"/>
          <w:szCs w:val="20"/>
          <w:color w:val="auto"/>
        </w:rPr>
      </w:pPr>
    </w:p>
    <w:p>
      <w:pPr>
        <w:ind w:left="1620" w:right="57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666,824 ordinary shares in the form of ADSs, (b) 3 ordinary shares and (c) warrants to purchase 4,920 ordinary shares.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1,027,056 ordinary shares, all of which are held in the form of ADSs.</w:t>
      </w:r>
    </w:p>
    <w:p>
      <w:pPr>
        <w:spacing w:after="0" w:line="76" w:lineRule="exact"/>
        <w:rPr>
          <w:rFonts w:ascii="Times New Roman" w:cs="Times New Roman" w:eastAsia="Times New Roman" w:hAnsi="Times New Roman"/>
          <w:sz w:val="18"/>
          <w:szCs w:val="18"/>
          <w:color w:val="auto"/>
        </w:rPr>
      </w:pPr>
    </w:p>
    <w:p>
      <w:pPr>
        <w:ind w:left="1620" w:right="539" w:hanging="360"/>
        <w:spacing w:after="0" w:line="258"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5,980,760 ordinary shares held directly by Fairmount Healthcare Fund II LP, or Fairmount II, all of which are held in the form of ADSs and (b) 1,130,352 ordinary shares held directly by Fairmount Healthcare Fund LP, or Fairmount, all of which are held in the form of ADSs. Beneficial ownership information is based on information known to us. The mailing address of Fairmount and Fairmount II is 2001 Market Street, Suite 2500, Philadelphia, PA 19103.</w:t>
      </w:r>
    </w:p>
    <w:p>
      <w:pPr>
        <w:spacing w:after="0" w:line="34"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8,888,896 ordinary shares held directly by Foresite Capital Fund III, L.P., or FCF III, all of which are held in the form of ADSs. Foresite Capital Management III, LLC, or FCM III, is the general partner of FCF III, and Mr. James Tananbaum is the managing member of FCM III. Each of FCM III and Mr. Tananbaum disclaims beneficial ownership of all shares held by FCF III except to the extent of their actual pecuniary interest therein. Beneficial ownership information is based on information known to us. FCF III’s mailing address is 600 Montgomery Street, Suite 4500, San Francisco, CA 94111.</w:t>
      </w:r>
    </w:p>
    <w:p>
      <w:pPr>
        <w:spacing w:after="0" w:line="52" w:lineRule="exact"/>
        <w:rPr>
          <w:rFonts w:ascii="Times New Roman" w:cs="Times New Roman" w:eastAsia="Times New Roman" w:hAnsi="Times New Roman"/>
          <w:sz w:val="18"/>
          <w:szCs w:val="18"/>
          <w:color w:val="auto"/>
        </w:rPr>
      </w:pPr>
    </w:p>
    <w:p>
      <w:pPr>
        <w:jc w:val="both"/>
        <w:ind w:left="1620" w:right="679" w:hanging="360"/>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4,444,448 ordinary shares held directly by Ghost Tree Master Fund, LP, all of which are held in the form of ADSs. The mailing address of Ghost Tree Master Fund, LP is 200 Dorado Beach Drive, 3732 West Beach, Dorado, Puerto Rico, 00646. Beneficial ownership information is based on information known to us.</w:t>
      </w:r>
    </w:p>
    <w:p>
      <w:pPr>
        <w:spacing w:after="0" w:line="31"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355,552 ordinary shares held directly by Inshan Sinha 2019 Trust, all of which are held in the form of ADSs. Beneficial ownership information is based on information known to us.</w:t>
      </w:r>
    </w:p>
    <w:p>
      <w:pPr>
        <w:spacing w:after="0" w:line="13"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888,896 ordinary shares held directly by John A. Stalfort III, all of which are held in the form of ADSs. Beneficial ownership information is based on information known to us. The mailing address for Mr. Stalfort is 200 Garrett Street, Suite S, Charlottesville, VA 22902.</w:t>
      </w:r>
    </w:p>
    <w:p>
      <w:pPr>
        <w:spacing w:after="0" w:line="27" w:lineRule="exact"/>
        <w:rPr>
          <w:rFonts w:ascii="Times New Roman" w:cs="Times New Roman" w:eastAsia="Times New Roman" w:hAnsi="Times New Roman"/>
          <w:sz w:val="18"/>
          <w:szCs w:val="18"/>
          <w:color w:val="auto"/>
        </w:rPr>
      </w:pPr>
    </w:p>
    <w:p>
      <w:pPr>
        <w:jc w:val="both"/>
        <w:ind w:left="1620" w:right="479" w:hanging="360"/>
        <w:spacing w:after="0" w:line="261"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2,666,672 ordinary shares held directly by Logos Global Master Fund L.P., all of which are held in the form of ADSs. Beneficial ownership information is based on information known to us. The address of the principal business office of Logos Global Master Fund L.P. is 1 Letterman Dr., Bldg. D, Ste. D3-700, San Francisco, CA 94129.</w:t>
      </w:r>
    </w:p>
    <w:p>
      <w:pPr>
        <w:spacing w:after="0" w:line="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453,992 ordinary shares, all of which are held in the form of ADSs.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94,088 ordinary shares, all of which are held in the form of ADSs.</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9,757,393 ordinary shares held directly by Growth Equity Opportunities Fund IV, LLC, or GEO, of which 5,333,328 are held in the form of ADSs, (b) warrants to purchase 1,769,626 ordinary shares held directly by GEO, and (c) 31,111,112 ordinary shares held directly by Growth Equity Opportunities 17, LP, or GEO 17, all of which are held in the form of ADSs. New Enterprise Associates 15, L.P., or NEA 15, is the sole member of GEO. NEA Partners 15, L.P., NEA Partners 15, is the sole general partner of NEA 15. NEA 15 GP, LLC, or NEA 15 LLC, is the sole general partner of NEA Partners 15. Forest Baskett, Anthony Florence, Jr., Mohamad Makhzoumi, Scott D. Sandell, and Peter Sonsini are the managers of NEA 15 LLC. NEA 15, NEA Partners 15, NEA 15 LLC and the managers of NEA 15 LLC share voting and dispositive power with regard to the securities held by GEO. Each of NEA 15, NEA Partners 15 and NEA 15 LLC as well as each of the managers of NEA 15 LLC disclaims beneficial ownership of all shares held by GEO except to the extent of their actual pecuniary interest therein. New Enterprise Associates 17, L.P., or NEA 17, is the sole member of GEO 17. NEA Partners 17, L.P., or NEA Partners 17, is the sole general partner of NEA 17. NEA 17 GP, LLC, or NEA 17 LLC, is the sole general partner of NEA Partners 17. Forest Baskett, Ali Behbahani, Carmen Chang, Anthony Florence, Jr., Mohamad Makhzoumi, Joshua Makower, Edward Mathers, Scott</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D. Sandell, Paul Walker, Rick Yang, Liza Landsman, and Peter Sonsini, are the managers of NEA 17 LLC. NEA 17, NEA Partners 17, NEA 17 LLC and the managers of NEA 17 LLC share voting and dispositive power with regard to the securities held by GEO 17. Each of NEA 17, NEA Partners 17 and NEA 17 LLC as well as each of the managers of NEA 17 LLC disclaims beneficial ownership of all shares held by GEO 17 except to the extent of their actual pecuniary interest therein. Beneficial ownership information is based on information known to us and a Schedule 13D/A filed with the SEC on August 3, 2020. GEO’s and GEO 17’s mailing address is 1954 Greenspring Drive, Suite 600, Timonium, MD 21093-4135.</w:t>
      </w:r>
    </w:p>
    <w:p>
      <w:pPr>
        <w:spacing w:after="0" w:line="239" w:lineRule="exact"/>
        <w:rPr>
          <w:sz w:val="20"/>
          <w:szCs w:val="20"/>
          <w:color w:val="auto"/>
        </w:rPr>
      </w:pPr>
    </w:p>
    <w:p>
      <w:pPr>
        <w:ind w:left="1620" w:right="47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355,552 ordinary shares held directly by Natasha Sinha 2019 Trust, all of which are held in the form of ADSs. Beneficial ownership information is based on information known to us.</w:t>
      </w:r>
    </w:p>
    <w:p>
      <w:pPr>
        <w:spacing w:after="0" w:line="13"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11,123,624 ordinary shares in the form of ADSs held directly by Novo A/S, or Novo, and (b) warrants to purchase 1,769,626 ordinary shares. The board of directors of Novo A/S, or the Novo Board, has shared investment and voting control over the securities held by Novo and may exercise such control only with the support of a majority of the Novo Board. As such, no individual member of the Novo Board is deemed to hold any beneficial ownership or reportable pecuniary interest in the securities held by Novo. Beneficial ownership information is based on a Schedule 13G/A filed with the SEC on February 4, 2021. Novo’s mailing address is Tuborg Havnevej 19, Hellerup, G7 2900, Denmark.</w:t>
      </w:r>
    </w:p>
    <w:p>
      <w:pPr>
        <w:spacing w:after="0" w:line="242"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40,225,392 ordinary shares held directly by OrbiMed Private Investments VI, LP, or OPI VI, all of which are held in the form of ADSs and, (b) warrants to purchase 1,867,938 ordinary shares are held directly by OPI VI. OrbiMed Capital GP VI LLC, or OrbiMed GP VI, is the general partner of OPI VI. OrbiMed Advisors LLC, or OrbiMed Advisors, is the managing member of OrbiMed GP VI. By virtue of such relationships, OrbiMed GP VI and OrbiMed Advisors may be deemed to have voting and investment power over the securities held by OPI VI and as a result, may be deemed to have beneficial ownership over such securities. OrbiMed Advisors exercises this investment and voting power through a management committee comprised of Carl L. Gordon, Sven H. Borho, and Jonathan T. Silverstein, each of whom disclaims beneficial ownership of the ordinary shares held by OPI VI. Beneficial ownership information is based on information known to us and a Schedule 13 D/A filed with the SEC on January 26, 2018. The mailing address of OPI VI, OrbiMed GP VI, and OrbiMed Advisors is c/o OrbiMed Advisors LLC, 601 Lexington Avenue, 54th Floor, New York, NY 10022.</w:t>
      </w:r>
    </w:p>
    <w:p>
      <w:pPr>
        <w:spacing w:after="0" w:line="41"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6,222,224 ordinary shares held directly by BKB Growth Investments, LLC, or BKB Growth, all of which are held in the form of ADSs and (b) 6,222,224 ordinary shares held directly by PD Joint Holdings, LLC Series 2016-A, or PD Joint, all of which are held in the form of ADSs. Paul B. Manning and Bradford Manning are each managers of Tiger Lily Capital, LLC, the manager of BKB Growth and PD Joint. Beneficial ownership information is based on information known to us. The address for each of BKB Growth and PD Joint is c/o Tiger Lily Capital, LLC, 200 Garrett Street, Suite O, Charlottesville, VA 22902.</w:t>
      </w:r>
    </w:p>
    <w:p>
      <w:pPr>
        <w:spacing w:after="0" w:line="254"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23,111,112 ordinary shares held directly by Perceptive Life Sciences Master Fund, Ltd., all of which are held in the form of ADSs. Beneficial ownership information is based on information known to us. The mailing address of Perceptive Life Sciences Master Fund, Ltd. is 51 Astor Place, 10th Floor, New York, NY 10003.</w:t>
      </w:r>
    </w:p>
    <w:p>
      <w:pPr>
        <w:spacing w:after="0" w:line="31"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355,560 ordinary shares held directly by Parallax Biomedical Fund, LP, all of which are held in the form of ADSs. Beneficial ownership information is based on information known to us. The mailing address of Parallax Biomedical Fund, LP is c/o Vista Point Capital, P.O. Box 357, Walnut Creek, CA 94597.</w:t>
      </w:r>
    </w:p>
    <w:p>
      <w:pPr>
        <w:spacing w:after="0" w:line="31"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11,611,112 ordinary shares of which 4,500,000 ordinary shares are held directly by Polar Capital Funds plc, or PCF, and 7,111,112 ordinary shares are held by Polar Capital Partners LLP</w:t>
      </w:r>
    </w:p>
    <w:p>
      <w:pPr>
        <w:ind w:left="1620" w:right="6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Biotechnology Fund, or Polar Capital, in the form of ADSs and (b) warrants to purchase 68,819 ordinary shares held directly by PCF. PCF and Polar Capital are managed by Polar Capital Holdings plc, or PCH. Beneficial ownership information is based on information known to us. The mailing address for Polar Capital Biotechnology Fund is c/o Polar Capital PLC, 16 Palace Street, London, SW1E 5JD.</w:t>
      </w:r>
    </w:p>
    <w:p>
      <w:pPr>
        <w:spacing w:after="0" w:line="256"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36,770,504 ordinary shares held directly by RA Capital Healthcare Fund, L.P., or RA Capital, all of which are held in the form of ADSs, (b) 43,339,542 non-voting ordinary shares to be re-designated as ordinary shares, held directly by RA Capital, (c) 4,029,496 ordinary shares held directly</w:t>
      </w:r>
    </w:p>
    <w:p>
      <w:pPr>
        <w:sectPr>
          <w:pgSz w:w="11900" w:h="16838" w:orient="portrait"/>
          <w:cols w:equalWidth="0" w:num="1">
            <w:col w:w="9879"/>
          </w:cols>
          <w:pgMar w:left="58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by Blackwell Partners LLC — Series A, or Blackwell, all of which are held in the form of ADSs, and</w:t>
      </w:r>
    </w:p>
    <w:p>
      <w:pPr>
        <w:spacing w:after="0" w:line="16" w:lineRule="exact"/>
        <w:rPr>
          <w:sz w:val="20"/>
          <w:szCs w:val="20"/>
          <w:color w:val="auto"/>
        </w:rPr>
      </w:pPr>
    </w:p>
    <w:p>
      <w:pPr>
        <w:ind w:left="1620" w:right="439"/>
        <w:spacing w:after="0" w:line="235" w:lineRule="auto"/>
        <w:rPr>
          <w:sz w:val="20"/>
          <w:szCs w:val="20"/>
          <w:color w:val="auto"/>
        </w:rPr>
      </w:pPr>
      <w:r>
        <w:rPr>
          <w:rFonts w:ascii="Times New Roman" w:cs="Times New Roman" w:eastAsia="Times New Roman" w:hAnsi="Times New Roman"/>
          <w:sz w:val="18"/>
          <w:szCs w:val="18"/>
          <w:color w:val="auto"/>
        </w:rPr>
        <w:t>(d) 4,749,354 non-voting ordinary shares to be re-designated as ordinary shares, held directly by Blackwell. RA Capital and Blackwell may elect to have any portion of their non-voting ordinary shares re-designated as voting ordinary shares at any time, unless, immediately following such conversion, they would beneficially own more than 9.99% of the outstanding ordinary shares. If RA Capital or Blackwell would beneficially own more than 9.99% of the outstanding ordinary shares following such re-designation, then the re-designation would occur no earlier than 61 days following the election for such re-designation. RA Capital Management, L.P., or Adviser, is the investment manager for RA Capital and Blackwell. The general partner of the Adviser is RA Capital Management GP, LLC, or Adviser GP, of which Dr. Peter Kolchinsky and Mr. Rajeev Shah are the managing members. The Adviser, the Adviser GP, Dr. Kolchinsky, and Mr. Shah disclaim beneficial ownership of securities held by RA Capital and Blackwell except to the extent of their pecuniary interest therein. Beneficial ownership information is based on a Schedule 13G filed on February 16, 2021. RA Capital Management’s mailing address is 200 Berkeley Street, 18th Floor, Boston, MA 02116.</w:t>
      </w:r>
    </w:p>
    <w:p>
      <w:pPr>
        <w:spacing w:after="0" w:line="45" w:lineRule="exact"/>
        <w:rPr>
          <w:sz w:val="20"/>
          <w:szCs w:val="20"/>
          <w:color w:val="auto"/>
        </w:rPr>
      </w:pPr>
    </w:p>
    <w:p>
      <w:pPr>
        <w:jc w:val="both"/>
        <w:ind w:left="1620" w:right="49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444,448 ordinary shares held directly by Revach Fund LP, all of which are held in the form of ADSs. Beneficial ownership information is based on information known to us. The mailing address of Revach Fund LP is 80 Brainard Road, West Hartford, CT 06117.</w:t>
      </w:r>
    </w:p>
    <w:p>
      <w:pPr>
        <w:spacing w:after="0" w:line="27"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8,888,896 ordinary shares held directly by Samsara BioCapital, L.P., all of which are held in the form of ADSs. Beneficial ownership information is based on information known to us. The mailing address of Samsara BioCapital, L.P. is 628 Middlefield Road, Palo Alto, CA 94301.</w:t>
      </w:r>
    </w:p>
    <w:p>
      <w:pPr>
        <w:spacing w:after="0" w:line="27"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7,111,112 ordinary shares held directly by Soleus Capital Master Fund, L.P., all of which are held in the form of ADSs. Soleus Capital, LLC, or Soleus Capital, is the general partner of Soleus Master Fund. The managing member of Soleus Capital is Soleus Capital Group, LLC, or Soleus Capital Group, of which Mr. Guy Levy is the managing member. Soleus Capital, Soleus Capital Group and Mr. Levy disclaim beneficial ownership of securities held by Soleus Master Fund except to the extent of their pecuniary interest therein. Beneficial ownership information is based on information known to us. Soleus Master Fund’s and Soleus Capital’s mailing address is 104 Field Point Road, 2nd Floor, Greenwich, CT 06830.</w:t>
      </w:r>
    </w:p>
    <w:p>
      <w:pPr>
        <w:spacing w:after="0" w:line="256"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6,000,000 ordinary shares held directly by Sphera Global Healthcare Master Fund, or Sphera Healthcare, all of which are held in the form of ADSs and (b) 2,000,000 ordinary shares held directly by Sphera Biotech Master Fund, or Sphera Biotech, all of which are held in the form of ADSs. Beneficial ownership information is based on information known to us. The mailing address for Sphera Healthcare is 21 Ha’arbaa Street, 4th Floor, Tel Aviv, Israel.</w:t>
      </w:r>
    </w:p>
    <w:p>
      <w:pPr>
        <w:spacing w:after="0" w:line="34"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444,448 ordinary shares held directly by Steven M. Goldman, all of which are held in the form of ADSs. Beneficial ownership information is based on information known to us. The mailing address of Mr. Goldman is 390 West End Avenue, Apt. 6J, New York, NY 10024.</w:t>
      </w:r>
    </w:p>
    <w:p>
      <w:pPr>
        <w:spacing w:after="0" w:line="27" w:lineRule="exact"/>
        <w:rPr>
          <w:rFonts w:ascii="Times New Roman" w:cs="Times New Roman" w:eastAsia="Times New Roman" w:hAnsi="Times New Roman"/>
          <w:sz w:val="18"/>
          <w:szCs w:val="18"/>
          <w:color w:val="auto"/>
        </w:rPr>
      </w:pPr>
    </w:p>
    <w:p>
      <w:pPr>
        <w:ind w:left="1620" w:right="559" w:hanging="360"/>
        <w:spacing w:after="0" w:line="25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5,268,575 ordinary shares held directly by Tekla World Healthcare Fund, or Tekla World, of which 3,231,112 are held in the form of ADSs, (b) warrants to purchase 513,192 ordinary shares held directly by Tekla World, (c) 746,672 ordinary shares held directly by Tekla Life Sciences Investors, or Tekla Life, all of which are held in the form of ADSs, (d) warrants to purchase 371,622 ordinary shares held directly by Tekla Life. Tekla Capital Management LLC, or Tekla Capital, is an investment adviser registered pursuant to Section 203 of the Investment Advisers Act of 1940 and is the investment adviser of Tekla World and Tekla Life, each of which is a registered investment company pursuant to Section 8 of the Investment Company Act of 1940. Each of Tekla Capital and Daniel R. Omstead, through his control of Tekla Capital, has sole power to dispose of the shares beneficially owned by Tekla World and Tekla Life. Neither Tekla Capital nor Daniel R. Omstead has the sole power to vote or direct the vote of the shares beneficially owned by Tekla World and Tekla Life, which power resides in each fund’s Board of Trustees. Tekla Capital carries out the voting of the shares under written guidelines established by each fund’s Board of Trustees. Beneficial ownership information is based on information known to us and a Schedule 13G filed with the SEC on February 12, 2020. Tekla Capital’s mailing address is 100 Federal Street, 19th Floor, Boston, MA 02110.</w:t>
      </w:r>
    </w:p>
    <w:p>
      <w:pPr>
        <w:spacing w:after="0" w:line="263" w:lineRule="exact"/>
        <w:rPr>
          <w:rFonts w:ascii="Times New Roman" w:cs="Times New Roman" w:eastAsia="Times New Roman" w:hAnsi="Times New Roman"/>
          <w:sz w:val="18"/>
          <w:szCs w:val="18"/>
          <w:color w:val="auto"/>
        </w:rPr>
      </w:pPr>
    </w:p>
    <w:p>
      <w:pPr>
        <w:jc w:val="both"/>
        <w:ind w:left="1620" w:right="55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2,388,728 ordinary shares held directly by Vivo Ventures Fund VI, L.P., or Vivo VI, of which 1,126,760 are held in the form of ADSs, (b) warrants to purchase 370,871 ordinary shares held directly by Vivo VI, (c) warrants to purchase 2,717 ordinary shares held directly by Vivo Ventures VI</w:t>
      </w:r>
    </w:p>
    <w:p>
      <w:pPr>
        <w:sectPr>
          <w:pgSz w:w="11900" w:h="16838" w:orient="portrait"/>
          <w:cols w:equalWidth="0" w:num="1">
            <w:col w:w="9879"/>
          </w:cols>
          <w:pgMar w:left="58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619"/>
        <w:spacing w:after="0" w:line="254" w:lineRule="auto"/>
        <w:rPr>
          <w:sz w:val="20"/>
          <w:szCs w:val="20"/>
          <w:color w:val="auto"/>
        </w:rPr>
      </w:pPr>
      <w:r>
        <w:rPr>
          <w:rFonts w:ascii="Times New Roman" w:cs="Times New Roman" w:eastAsia="Times New Roman" w:hAnsi="Times New Roman"/>
          <w:sz w:val="18"/>
          <w:szCs w:val="18"/>
          <w:color w:val="auto"/>
        </w:rPr>
        <w:t>Affiliates Fund, L.P., or Vivo Affiliates VI, (d) 11,990,717 ordinary shares held directly by Vivo Ventures Fund VII L.P., or Vivo VII, of which 6,942,840 are held in the form of ADSs, (e) 53,088 ordinary shares held directly by Vivo Ventures VII Affiliates Fund, L.P., or Vivo Affiliates VII, all of which are held in the form of ADSs, (f) 9,955,560 ordinary shares held directly by Vivo Ventures Fund Cayman VII, L.P., or Vivo Ventures Cayman VII, all of which are held in the form of ADSs,</w:t>
      </w:r>
    </w:p>
    <w:p>
      <w:pPr>
        <w:spacing w:after="0" w:line="3" w:lineRule="exact"/>
        <w:rPr>
          <w:sz w:val="20"/>
          <w:szCs w:val="20"/>
          <w:color w:val="auto"/>
        </w:rPr>
      </w:pPr>
    </w:p>
    <w:p>
      <w:pPr>
        <w:ind w:left="1620" w:right="499"/>
        <w:spacing w:after="0" w:line="251" w:lineRule="auto"/>
        <w:tabs>
          <w:tab w:leader="none" w:pos="188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1,462,477 ordinary shares held directly by Vivo VII, (h) warrants to purchase 31,874 ordinary shares held directly by Vivo Affiliates VII. Vivo Ventures VI, LLC, or Vivo Ventures VI, is the sole general partner of Vivo VI and Vivo Affiliates VI. Vivo Ventures VII, LLC, or Vivo Ventures VII, is the sole general partner of Vivo VII, Vivo Affiliates VII and Vivo Ventures Cayman VII. Vivo Ventures VI and Vivo Ventures VII disclaim beneficial ownership of all shares held by Vivo VI, Vivo Affiliates VI, Vivo VII,Vivo Affiliates VII and Vivo Ventures Cayman VII, except to the extent of any pecuniary interest therein. The managing members of Vivo Ventures VI are Drs. Albert Cha, Edgar Engleman and Frank Kung, each of whom may be deemed to have shared voting and dispositive power of the shares held by Vivo VI and Vivo Affiliates VI. The managing members of Vivo Ventures VII are Drs. Albert Cha, Edgar Engleman, Frank Kung, and Mr. Shan Fu, each of whom may be deemed to have shared voting and dispositive power of the shares held by Vivo Vll and Vivo Affiliates Vll. Mahendra Shah, the Managing Director of Vivo Capital, is a member of our Board of Directors and disclaims beneficial ownership of these shares. Beneficial ownership information is based on information known to us and a Schedule 13G/A filed with the SEC on July 24, 2020. Vivo Ventures VI’s and Vivo Ventures VII’s mailing address is 192 Lytton Avenue, Palo Alto, CA, 94301.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color w:val="auto"/>
        </w:rPr>
        <w:t>The selling securityholders and any of their pledgees, donees, transferees, assignees or other successors-in-interest may, from time to time, sell, transfer or otherwise dispose of any or all of their ordinary shares in the form of ADSs or interests in such ADSs on any stock exchange, market or trading facility on which the ADSs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one or more of the following methods when disposing of the ADSs or interests therein:</w:t>
      </w:r>
    </w:p>
    <w:p>
      <w:pPr>
        <w:spacing w:after="0" w:line="77"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ADSs as agent but may position and resell a portion of the block as principal to facilitate the transaction;</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that may act solely as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ADSs at a stipulated price per ADS;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disposition;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selling securityholders may also sell ADSs under Rule 144 or Rule 904 under the Securities Act of 1933, as amended, or Securities Act, if available, or Section 4(a)(1) under the Securities Act, rather than under this prospectus.</w:t>
      </w:r>
    </w:p>
    <w:p>
      <w:pPr>
        <w:spacing w:after="0" w:line="109"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broker-dealers to participate in sales. Broker-dealers may receive commissions or discounts from the selling securityholders (or, if any broker-dealer acts as agent for the purchaser of ADSs, from the purchaser) in amounts to be negotiated. The selling securityholders do not expect these commissions and discounts to exceed what is customary in the types of transactions involved.</w:t>
      </w:r>
    </w:p>
    <w:p>
      <w:pPr>
        <w:spacing w:after="0" w:line="104"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ADSs owned by them and, if they default in the performance of their secured obligations, the pledgees or secured parties may offer and sell the ADSs from time to time under this prospectus, or under a supplement or amendment to this prospectus under Rule 424(b)(3) or other applicable provision of the Securities Act amending the list of selling securityholders to include the pledgee, transferee or other successors in interest as selling securityholders under this prospectus.</w:t>
      </w:r>
    </w:p>
    <w:p>
      <w:pPr>
        <w:spacing w:after="0" w:line="116" w:lineRule="exact"/>
        <w:rPr>
          <w:sz w:val="20"/>
          <w:szCs w:val="20"/>
          <w:color w:val="auto"/>
        </w:rPr>
      </w:pPr>
    </w:p>
    <w:p>
      <w:pPr>
        <w:ind w:left="1260" w:right="619" w:firstLine="360"/>
        <w:spacing w:after="0" w:line="239" w:lineRule="auto"/>
        <w:rPr>
          <w:sz w:val="20"/>
          <w:szCs w:val="20"/>
          <w:color w:val="auto"/>
        </w:rPr>
      </w:pPr>
      <w:r>
        <w:rPr>
          <w:rFonts w:ascii="Times New Roman" w:cs="Times New Roman" w:eastAsia="Times New Roman" w:hAnsi="Times New Roman"/>
          <w:sz w:val="18"/>
          <w:szCs w:val="18"/>
          <w:color w:val="auto"/>
        </w:rPr>
        <w:t>Upon being notified in writing by a selling securityholder that any material arrangement has been entered into with a broker-dealer for the sale of ADSs through a block trade, special offering, exchange distribution or secondary distribution or a purchase by a broker or dealer, we will file a supplement to this prospectus, if required, pursuant to Rule 424(b) under the Securities Act, disclosing (i) the name of each such selling securityholder and of the participating broker-dealer(s), (ii) the number of ADSs involved,</w:t>
      </w:r>
    </w:p>
    <w:p>
      <w:pPr>
        <w:spacing w:after="0" w:line="2" w:lineRule="exact"/>
        <w:rPr>
          <w:sz w:val="20"/>
          <w:szCs w:val="20"/>
          <w:color w:val="auto"/>
        </w:rPr>
      </w:pPr>
    </w:p>
    <w:p>
      <w:pPr>
        <w:ind w:left="1260" w:right="439"/>
        <w:spacing w:after="0" w:line="238" w:lineRule="auto"/>
        <w:tabs>
          <w:tab w:leader="none" w:pos="15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ADSs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also may transfer ADSs in other circumstances, in which case the transferees, pledgees or other successors in interest will be the selling beneficial owners for purposes of this prospectus.</w:t>
      </w:r>
    </w:p>
    <w:p>
      <w:pPr>
        <w:sectPr>
          <w:pgSz w:w="11900" w:h="16838" w:orient="portrait"/>
          <w:cols w:equalWidth="0" w:num="1">
            <w:col w:w="9879"/>
          </w:cols>
          <w:pgMar w:left="580" w:top="114"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ADSs or interests in the ADSs, the selling securityholders may enter into hedging transactions after the effective date of the registration statement of which this prospectus is a part with broker-dealers or other financial institutions, which may in turn engage in short sales of the ADSs in the course of hedging the positions they assume. The selling securityholders may also sell ADSs short after the effective date of the registration statement of which this prospectus is a part and deliver these ADSs to close out their short positions, or loan or pledge the ADSs to broker-dealers that in turn may sell these ADSs. The selling securityholders may also enter into options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ADSs offered by this prospectus, which ADSs such broker-dealer or other financial institution may resell pursuant to this prospectus (as supplemented or amended to reflect such transaction).</w:t>
      </w:r>
    </w:p>
    <w:p>
      <w:pPr>
        <w:spacing w:after="0" w:line="32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ADSs may be deemed to be “underwriters” within the meaning of the Securities Act in connection with such sales. In such event, any commissions received by such broker-dealers or agents and any profit on the resale of the ADSs purchased by them may be deemed to be underwriting commissions or discounts under the Securities Act. The maximum commission or discount to be received by any member of the Financial Industry Regulatory Authority or independent broker-dealer will not be greater than 8% of the initial gross proceeds from the sale of any security being sold.</w:t>
      </w:r>
    </w:p>
    <w:p>
      <w:pPr>
        <w:spacing w:after="0" w:line="121"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have advised the selling securityholders that they are required to comply with Regulation M promulgated under the Securities Exchange Act of 1934, as amended, during such time as they may be engaged in a distribution of the ADSs. The foregoing may affect the marketability of the ADSs.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the ADSs offered by them will be the purchase price of the ADSs less discounts or commissions, if any. Each of the selling securityholders reserves the right to accept and, together with their agents from time to time, to reject, in whole or in part, any proposed purchase of ADSs to be made directly or through agents. We will not receive any of the proceeds from this offering.</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ADSs. We have agreed to indemnify the selling securityholders against certain losses, claims, damages and liabilities, including liabilities under the Securities Act or otherwise.</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agreed with the selling securityholders to keep the registration statement of which this prospectus constitutes a part effective until the earlier of (a) such time as all of the ordinary shares (including in the form of ADSs) covered by this prospectus have been disposed of pursuant to and in accordance with the registration statement, (b) such time as all of the ordinary shares (including in the form of ADSs) covered by this prospectus have been previously sold or transferred in accordance with Rule 144 of the Securities Act, (c) such time as the ordinary shares (including in the form of ADSs) becoming eligible for resale by the holder without volume or manner-of-sale restrictions and without current public information requirements pursuant to Rule 144 of the Securities Act, and (d) the fifth anniversary of the closing of the 2020 Private Placement, which is July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Verona Pharma plc. Additional legal matters may be passed upon for the selling securityholders or any underwriters, dealers or agents, by counsel that we will name in the applicable prospectus supplement.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10-</w:t>
        </w:r>
      </w:hyperlink>
      <w:hyperlink r:id="rId21">
        <w:r>
          <w:rPr>
            <w:rFonts w:ascii="Times New Roman" w:cs="Times New Roman" w:eastAsia="Times New Roman" w:hAnsi="Times New Roman"/>
            <w:sz w:val="18"/>
            <w:szCs w:val="18"/>
            <w:u w:val="single" w:color="auto"/>
            <w:color w:val="0000EE"/>
          </w:rPr>
          <w:t>K for the year ended December 31,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PricewaterhouseCoopers LLP, an independent registered public accounting firm, given on the authority of said firm as experts in auditing and accounting.</w:t>
      </w:r>
    </w:p>
    <w:p>
      <w:pPr>
        <w:spacing w:after="0" w:line="11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following is an estimate of the expenses, other than with respect to the SEC registration fee, (all of which are to be paid by the registrant) that we may incur in connection with the securities being registered hereby.</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36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89"/>
        </w:trPr>
        <w:tc>
          <w:tcPr>
            <w:tcW w:w="360" w:type="dxa"/>
            <w:vAlign w:val="bottom"/>
            <w:vMerge w:val="continue"/>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 registration fee</w:t>
            </w:r>
          </w:p>
        </w:tc>
        <w:tc>
          <w:tcPr>
            <w:tcW w:w="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$45,725.02</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0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FINRA filing fee</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82"/>
        </w:trPr>
        <w:tc>
          <w:tcPr>
            <w:tcW w:w="7020" w:type="dxa"/>
            <w:vAlign w:val="bottom"/>
            <w:gridSpan w:val="4"/>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4"/>
                <w:szCs w:val="14"/>
                <w:color w:val="auto"/>
              </w:rPr>
            </w:pPr>
          </w:p>
        </w:tc>
        <w:tc>
          <w:tcPr>
            <w:tcW w:w="6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660" w:type="dxa"/>
            <w:vAlign w:val="bottom"/>
            <w:gridSpan w:val="3"/>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2"/>
        </w:trPr>
        <w:tc>
          <w:tcPr>
            <w:tcW w:w="70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Legal fees and expenses</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20" w:type="dxa"/>
            <w:vAlign w:val="bottom"/>
            <w:gridSpan w:val="4"/>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660" w:type="dxa"/>
            <w:vAlign w:val="bottom"/>
            <w:gridSpan w:val="3"/>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2"/>
        </w:trPr>
        <w:tc>
          <w:tcPr>
            <w:tcW w:w="70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20" w:type="dxa"/>
            <w:vAlign w:val="bottom"/>
            <w:gridSpan w:val="4"/>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660" w:type="dxa"/>
            <w:vAlign w:val="bottom"/>
            <w:gridSpan w:val="3"/>
            <w:vMerge w:val="continue"/>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1"/>
        </w:trPr>
        <w:tc>
          <w:tcPr>
            <w:tcW w:w="70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Depositary fees and expenses</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20" w:type="dxa"/>
            <w:vAlign w:val="bottom"/>
            <w:gridSpan w:val="4"/>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4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644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02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08"/>
        </w:trPr>
        <w:tc>
          <w:tcPr>
            <w:tcW w:w="7020" w:type="dxa"/>
            <w:vAlign w:val="bottom"/>
            <w:gridSpan w:val="4"/>
            <w:vMerge w:val="continue"/>
          </w:tcPr>
          <w:p>
            <w:pPr>
              <w:spacing w:after="0"/>
              <w:rPr>
                <w:sz w:val="9"/>
                <w:szCs w:val="9"/>
                <w:color w:val="auto"/>
              </w:rPr>
            </w:pPr>
          </w:p>
        </w:tc>
        <w:tc>
          <w:tcPr>
            <w:tcW w:w="46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73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registration fee was previously paid upon the filing by the Registration of the Registration Statement on Form F-1 on August 17, 2020 (Registration No. 333-247928).</w:t>
      </w:r>
    </w:p>
    <w:p>
      <w:pPr>
        <w:spacing w:after="0" w:line="13" w:lineRule="exact"/>
        <w:rPr>
          <w:sz w:val="20"/>
          <w:szCs w:val="20"/>
          <w:color w:val="auto"/>
        </w:rPr>
      </w:pPr>
    </w:p>
    <w:p>
      <w:pPr>
        <w:ind w:left="1620" w:right="57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Members of the registrant’s board of directors and its officers have the benefit of the following indemnification provisions in the registrant’s articles of association:</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and former members of the registrant’s board of directors or officers shall be reimbursed for:</w:t>
      </w:r>
    </w:p>
    <w:p>
      <w:pPr>
        <w:spacing w:after="0" w:line="158" w:lineRule="exact"/>
        <w:rPr>
          <w:sz w:val="20"/>
          <w:szCs w:val="20"/>
          <w:color w:val="auto"/>
        </w:rPr>
      </w:pPr>
    </w:p>
    <w:p>
      <w:pPr>
        <w:ind w:left="1620" w:right="499" w:firstLine="360"/>
        <w:spacing w:after="0" w:line="250" w:lineRule="auto"/>
        <w:tabs>
          <w:tab w:leader="none" w:pos="22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41" w:lineRule="auto"/>
        <w:tabs>
          <w:tab w:leader="none" w:pos="22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03"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Furthermore, Section 40 of the Articles of Association, adopted by Special Resolution on December 18, 2020 and filed as Exhibit 1 to the Company’s Form 6-K filed on December 30, 2020, provides that the Company may, from time to time and at its discretion, indemnify every director or other officer for any loss, cost, expense or liability incurred in connection with any negligence, default, breach of duty or breach of trust by such person in relation to the Company or such person’s execution of Company duties. This provision also allows the Company to indemnify a director or officer for any liability incurred as the result of defending any actual or threatened criminal, regulatory, or civil proceeding (except, however, that indemnity shall not apply if liability is incurred).</w:t>
      </w:r>
    </w:p>
    <w:p>
      <w:pPr>
        <w:spacing w:after="0" w:line="12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20"/>
        <w:spacing w:after="0" w:line="241" w:lineRule="auto"/>
        <w:rPr>
          <w:sz w:val="20"/>
          <w:szCs w:val="20"/>
          <w:color w:val="auto"/>
        </w:rPr>
      </w:pPr>
      <w:r>
        <w:rPr>
          <w:rFonts w:ascii="Times New Roman" w:cs="Times New Roman" w:eastAsia="Times New Roman" w:hAnsi="Times New Roman"/>
          <w:sz w:val="18"/>
          <w:szCs w:val="18"/>
          <w:color w:val="auto"/>
        </w:rPr>
        <w:t>a regulatory authority for non- compliance with any requirement of a regulatory nature, (iii) the defense of 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311" w:lineRule="exact"/>
        <w:rPr>
          <w:sz w:val="20"/>
          <w:szCs w:val="20"/>
          <w:color w:val="auto"/>
        </w:rPr>
      </w:pPr>
    </w:p>
    <w:p>
      <w:pPr>
        <w:ind w:left="1260" w:right="600" w:firstLine="360"/>
        <w:spacing w:after="0" w:line="245" w:lineRule="auto"/>
        <w:rPr>
          <w:sz w:val="20"/>
          <w:szCs w:val="20"/>
          <w:color w:val="auto"/>
        </w:rPr>
      </w:pPr>
      <w:r>
        <w:rPr>
          <w:rFonts w:ascii="Times New Roman" w:cs="Times New Roman" w:eastAsia="Times New Roman" w:hAnsi="Times New Roman"/>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13" w:lineRule="exact"/>
        <w:rPr>
          <w:sz w:val="20"/>
          <w:szCs w:val="20"/>
          <w:color w:val="auto"/>
        </w:rPr>
      </w:pPr>
    </w:p>
    <w:p>
      <w:pPr>
        <w:ind w:left="1260" w:right="500" w:firstLine="360"/>
        <w:spacing w:after="0"/>
        <w:rPr>
          <w:sz w:val="20"/>
          <w:szCs w:val="20"/>
          <w:color w:val="auto"/>
        </w:rPr>
      </w:pPr>
      <w:r>
        <w:rPr>
          <w:rFonts w:ascii="Times New Roman" w:cs="Times New Roman" w:eastAsia="Times New Roman" w:hAnsi="Times New Roman"/>
          <w:sz w:val="18"/>
          <w:szCs w:val="18"/>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 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796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31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60" w:type="dxa"/>
            <w:vAlign w:val="bottom"/>
          </w:tcPr>
          <w:p>
            <w:pPr>
              <w:spacing w:after="0"/>
              <w:rPr>
                <w:sz w:val="16"/>
                <w:szCs w:val="16"/>
                <w:color w:val="auto"/>
              </w:rPr>
            </w:pPr>
          </w:p>
        </w:tc>
        <w:tc>
          <w:tcPr>
            <w:tcW w:w="4800" w:type="dxa"/>
            <w:vAlign w:val="bottom"/>
            <w:gridSpan w:val="10"/>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0"/>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7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03"/>
        </w:trPr>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17"/>
                <w:szCs w:val="17"/>
                <w:color w:val="auto"/>
              </w:rPr>
            </w:pPr>
          </w:p>
        </w:tc>
        <w:tc>
          <w:tcPr>
            <w:tcW w:w="7880" w:type="dxa"/>
            <w:vAlign w:val="bottom"/>
            <w:tcBorders>
              <w:bottom w:val="single" w:sz="8" w:color="0000EE"/>
            </w:tcBorders>
            <w:gridSpan w:val="9"/>
          </w:tcPr>
          <w:p>
            <w:pPr>
              <w:spacing w:after="0" w:line="202"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Articles of Association of Verona Pharma plc, as amended (incorporated by reference to Exhibit 1 to the</w:t>
              </w:r>
            </w:hyperlink>
          </w:p>
        </w:tc>
        <w:tc>
          <w:tcPr>
            <w:tcW w:w="8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60" w:type="dxa"/>
            <w:vAlign w:val="bottom"/>
            <w:gridSpan w:val="11"/>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Company’s Report on Form 6-K filed on December 30, 2020) (File No. 001-38067).</w:t>
              </w:r>
            </w:hyperlink>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0"/>
                <w:szCs w:val="20"/>
                <w:color w:val="auto"/>
              </w:rPr>
            </w:pPr>
          </w:p>
        </w:tc>
        <w:tc>
          <w:tcPr>
            <w:tcW w:w="7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Deposit Agreement, dated as of May 2, 2017, by and among Verona Pharma plc, Citibank N.A., as</w:t>
              </w:r>
            </w:hyperlink>
          </w:p>
        </w:tc>
        <w:tc>
          <w:tcPr>
            <w:tcW w:w="520" w:type="dxa"/>
            <w:vAlign w:val="bottom"/>
            <w:gridSpan w:val="6"/>
          </w:tcPr>
          <w:p>
            <w:pPr>
              <w:spacing w:after="0"/>
              <w:rPr>
                <w:sz w:val="20"/>
                <w:szCs w:val="20"/>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depositary, and all holders and beneficial owners of American Depositary Shares issued thereunder</w:t>
              </w:r>
            </w:hyperlink>
          </w:p>
        </w:tc>
        <w:tc>
          <w:tcPr>
            <w:tcW w:w="480" w:type="dxa"/>
            <w:vAlign w:val="bottom"/>
            <w:gridSpan w:val="5"/>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60" w:type="dxa"/>
            <w:vAlign w:val="bottom"/>
            <w:gridSpan w:val="1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to Exhibit 2.1 to the Company’s Annual Report on Form 20-F filed on</w:t>
              </w:r>
            </w:hyperlink>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February 27, 2018) (File No. 001-38067).</w:t>
              </w:r>
            </w:hyperlink>
          </w:p>
        </w:tc>
        <w:tc>
          <w:tcPr>
            <w:tcW w:w="4180" w:type="dxa"/>
            <w:vAlign w:val="bottom"/>
            <w:tcBorders>
              <w:top w:val="single" w:sz="8" w:color="0000EE"/>
            </w:tcBorders>
            <w:gridSpan w:val="3"/>
          </w:tcPr>
          <w:p>
            <w:pPr>
              <w:spacing w:after="0"/>
              <w:rPr>
                <w:sz w:val="17"/>
                <w:szCs w:val="17"/>
                <w:color w:val="auto"/>
              </w:rPr>
            </w:pPr>
          </w:p>
        </w:tc>
        <w:tc>
          <w:tcPr>
            <w:tcW w:w="620" w:type="dxa"/>
            <w:vAlign w:val="bottom"/>
            <w:gridSpan w:val="7"/>
          </w:tcPr>
          <w:p>
            <w:pPr>
              <w:spacing w:after="0"/>
              <w:rPr>
                <w:sz w:val="17"/>
                <w:szCs w:val="17"/>
                <w:color w:val="auto"/>
              </w:rPr>
            </w:pPr>
          </w:p>
        </w:tc>
      </w:tr>
      <w:tr>
        <w:trPr>
          <w:trHeight w:val="291"/>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0" w:type="dxa"/>
            <w:vAlign w:val="bottom"/>
          </w:tcPr>
          <w:p>
            <w:pPr>
              <w:spacing w:after="0"/>
              <w:rPr>
                <w:sz w:val="24"/>
                <w:szCs w:val="24"/>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r:id="rId86">
              <w:r>
                <w:rPr>
                  <w:rFonts w:ascii="Times New Roman" w:cs="Times New Roman" w:eastAsia="Times New Roman" w:hAnsi="Times New Roman"/>
                  <w:sz w:val="18"/>
                  <w:szCs w:val="18"/>
                  <w:u w:val="single" w:color="auto"/>
                  <w:color w:val="0000EE"/>
                </w:rPr>
                <w:t>Form of American Depositary Receipt (included in Exhibit 4.1)</w:t>
              </w:r>
            </w:hyperlink>
          </w:p>
        </w:tc>
      </w:tr>
      <w:tr>
        <w:trPr>
          <w:trHeight w:val="202"/>
        </w:trPr>
        <w:tc>
          <w:tcPr>
            <w:tcW w:w="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tcPr>
          <w:p>
            <w:pPr>
              <w:spacing w:after="0"/>
              <w:rPr>
                <w:sz w:val="17"/>
                <w:szCs w:val="17"/>
                <w:color w:val="auto"/>
              </w:rPr>
            </w:pPr>
          </w:p>
        </w:tc>
        <w:tc>
          <w:tcPr>
            <w:tcW w:w="7960" w:type="dxa"/>
            <w:vAlign w:val="bottom"/>
            <w:gridSpan w:val="11"/>
          </w:tcPr>
          <w:p>
            <w:pPr>
              <w:spacing w:after="0" w:line="202"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Registration Rights Agreement, dated as of July 29, 2016, by and between Verona Pharma plc and the</w:t>
              </w:r>
            </w:hyperlink>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investors set forth therein (incorporated by reference to Exhibit 10.1 of the Company’s Registration</w:t>
              </w:r>
            </w:hyperlink>
          </w:p>
        </w:tc>
        <w:tc>
          <w:tcPr>
            <w:tcW w:w="160" w:type="dxa"/>
            <w:vAlign w:val="bottom"/>
            <w:tcBorders>
              <w:top w:val="single" w:sz="8" w:color="0000EE"/>
            </w:tcBorders>
          </w:tcPr>
          <w:p>
            <w:pPr>
              <w:spacing w:after="0"/>
              <w:rPr>
                <w:sz w:val="17"/>
                <w:szCs w:val="17"/>
                <w:color w:val="auto"/>
              </w:rPr>
            </w:pPr>
          </w:p>
        </w:tc>
        <w:tc>
          <w:tcPr>
            <w:tcW w:w="280" w:type="dxa"/>
            <w:vAlign w:val="bottom"/>
            <w:gridSpan w:val="3"/>
          </w:tcPr>
          <w:p>
            <w:pPr>
              <w:spacing w:after="0"/>
              <w:rPr>
                <w:sz w:val="17"/>
                <w:szCs w:val="17"/>
                <w:color w:val="auto"/>
              </w:rPr>
            </w:pPr>
          </w:p>
        </w:tc>
      </w:tr>
      <w:tr>
        <w:trPr>
          <w:trHeight w:val="237"/>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Statement on Form F-1 (File No. 333-217124), filed with the SEC on April 3, 2017).</w:t>
              </w:r>
            </w:hyperlink>
          </w:p>
        </w:tc>
      </w:tr>
      <w:tr>
        <w:trPr>
          <w:trHeight w:val="229"/>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00" w:type="dxa"/>
            <w:vAlign w:val="bottom"/>
          </w:tcPr>
          <w:p>
            <w:pPr>
              <w:spacing w:after="0"/>
              <w:rPr>
                <w:sz w:val="19"/>
                <w:szCs w:val="19"/>
                <w:color w:val="auto"/>
              </w:rPr>
            </w:pPr>
          </w:p>
        </w:tc>
        <w:tc>
          <w:tcPr>
            <w:tcW w:w="7960" w:type="dxa"/>
            <w:vAlign w:val="bottom"/>
            <w:gridSpan w:val="11"/>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Registration Rights Agreement, dated as of July 16, 2020, by and between Verona Pharma plc and the</w:t>
              </w:r>
            </w:hyperlink>
          </w:p>
        </w:tc>
      </w:tr>
      <w:tr>
        <w:trPr>
          <w:trHeight w:val="20"/>
        </w:trPr>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gridSpan w:val="2"/>
            <w:shd w:val="clear" w:color="auto" w:fill="0000EE"/>
          </w:tcPr>
          <w:p>
            <w:pPr>
              <w:spacing w:after="0" w:line="20" w:lineRule="exact"/>
              <w:rPr>
                <w:sz w:val="1"/>
                <w:szCs w:val="1"/>
                <w:color w:val="auto"/>
              </w:rPr>
            </w:pPr>
          </w:p>
        </w:tc>
        <w:tc>
          <w:tcPr>
            <w:tcW w:w="3160" w:type="dxa"/>
            <w:vAlign w:val="bottom"/>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investors set forth therein (incorporated by reference to Exhibit 2 of the Company’s Report on Form 6-K</w:t>
              </w:r>
            </w:hyperlink>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(File No. 001-38067), filed with the SEC on July 22, 2020).</w:t>
              </w:r>
            </w:hyperlink>
          </w:p>
        </w:tc>
        <w:tc>
          <w:tcPr>
            <w:tcW w:w="3440" w:type="dxa"/>
            <w:vAlign w:val="bottom"/>
            <w:gridSpan w:val="9"/>
          </w:tcPr>
          <w:p>
            <w:pPr>
              <w:spacing w:after="0"/>
              <w:rPr>
                <w:sz w:val="17"/>
                <w:szCs w:val="17"/>
                <w:color w:val="auto"/>
              </w:rPr>
            </w:pPr>
          </w:p>
        </w:tc>
      </w:tr>
      <w:tr>
        <w:trPr>
          <w:trHeight w:val="30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200" w:type="dxa"/>
            <w:vAlign w:val="bottom"/>
          </w:tcPr>
          <w:p>
            <w:pPr>
              <w:spacing w:after="0"/>
              <w:rPr>
                <w:sz w:val="24"/>
                <w:szCs w:val="24"/>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Opinion of Latham &amp; Watkins LLP.</w:t>
              </w:r>
            </w:hyperlink>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3"/>
                <w:szCs w:val="23"/>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Consent of Latham &amp; Watkins LLP (included in Exhibit 5.1).</w:t>
              </w:r>
            </w:hyperlink>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23"/>
                <w:szCs w:val="23"/>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Consent of PricewaterhouseCoopers LLP, independent registered public accounting firm.</w:t>
              </w:r>
            </w:hyperlink>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3"/>
                <w:szCs w:val="23"/>
                <w:color w:val="auto"/>
              </w:rPr>
            </w:pPr>
          </w:p>
        </w:tc>
        <w:tc>
          <w:tcPr>
            <w:tcW w:w="7960" w:type="dxa"/>
            <w:vAlign w:val="bottom"/>
            <w:gridSpan w:val="11"/>
          </w:tcPr>
          <w:p>
            <w:pPr>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Powers of Attorney (incorporated by reference to the signature page hereto).</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62" w:lineRule="exact"/>
        <w:rPr>
          <w:sz w:val="20"/>
          <w:szCs w:val="20"/>
          <w:color w:val="auto"/>
        </w:rPr>
      </w:pPr>
    </w:p>
    <w:p>
      <w:pPr>
        <w:ind w:left="1980" w:hanging="360"/>
        <w:spacing w:after="0"/>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rFonts w:ascii="Times New Roman" w:cs="Times New Roman" w:eastAsia="Times New Roman" w:hAnsi="Times New Roman"/>
          <w:sz w:val="18"/>
          <w:szCs w:val="18"/>
          <w:color w:val="auto"/>
        </w:rPr>
      </w:pPr>
    </w:p>
    <w:p>
      <w:pPr>
        <w:ind w:left="1620" w:right="1380" w:firstLine="360"/>
        <w:spacing w:after="0" w:line="266" w:lineRule="auto"/>
        <w:tabs>
          <w:tab w:leader="none" w:pos="234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1980" w:right="680" w:firstLine="360"/>
        <w:spacing w:after="0" w:line="266" w:lineRule="auto"/>
        <w:tabs>
          <w:tab w:leader="none" w:pos="2717"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w:t>
      </w:r>
    </w:p>
    <w:p>
      <w:pPr>
        <w:sectPr>
          <w:pgSz w:w="11900" w:h="16838" w:orient="portrait"/>
          <w:cols w:equalWidth="0" w:num="1">
            <w:col w:w="9920"/>
          </w:cols>
          <w:pgMar w:left="580" w:top="114" w:right="1399" w:bottom="1440" w:gutter="0" w:footer="0" w:header="0"/>
        </w:sectPr>
      </w:pP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920"/>
          </w:cols>
          <w:pgMar w:left="580" w:top="114" w:right="139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59"/>
        <w:spacing w:after="0"/>
        <w:rPr>
          <w:sz w:val="20"/>
          <w:szCs w:val="20"/>
          <w:color w:val="auto"/>
        </w:rPr>
      </w:pPr>
      <w:r>
        <w:rPr>
          <w:rFonts w:ascii="Times New Roman" w:cs="Times New Roman" w:eastAsia="Times New Roman" w:hAnsi="Times New Roman"/>
          <w:sz w:val="18"/>
          <w:szCs w:val="18"/>
          <w:color w:val="auto"/>
        </w:rPr>
        <w:t>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06" w:lineRule="exact"/>
        <w:rPr>
          <w:sz w:val="20"/>
          <w:szCs w:val="20"/>
          <w:color w:val="auto"/>
        </w:rPr>
      </w:pPr>
    </w:p>
    <w:p>
      <w:pPr>
        <w:ind w:left="1980" w:right="419" w:firstLine="360"/>
        <w:spacing w:after="0" w:line="250" w:lineRule="auto"/>
        <w:tabs>
          <w:tab w:leader="none" w:pos="27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15" w:lineRule="exact"/>
        <w:rPr>
          <w:sz w:val="20"/>
          <w:szCs w:val="20"/>
          <w:color w:val="auto"/>
        </w:rPr>
      </w:pPr>
    </w:p>
    <w:p>
      <w:pPr>
        <w:ind w:left="1620" w:right="499" w:firstLine="360"/>
        <w:spacing w:after="0" w:line="245" w:lineRule="auto"/>
        <w:tabs>
          <w:tab w:leader="none" w:pos="2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9"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3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5" w:lineRule="exact"/>
        <w:rPr>
          <w:sz w:val="20"/>
          <w:szCs w:val="20"/>
          <w:color w:val="auto"/>
        </w:rPr>
      </w:pPr>
    </w:p>
    <w:p>
      <w:pPr>
        <w:ind w:left="1620" w:right="1139" w:firstLine="360"/>
        <w:spacing w:after="0" w:line="266" w:lineRule="auto"/>
        <w:tabs>
          <w:tab w:leader="none" w:pos="2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94" w:lineRule="exact"/>
        <w:rPr>
          <w:rFonts w:ascii="Times New Roman" w:cs="Times New Roman" w:eastAsia="Times New Roman" w:hAnsi="Times New Roman"/>
          <w:sz w:val="18"/>
          <w:szCs w:val="18"/>
          <w:color w:val="auto"/>
        </w:rPr>
      </w:pPr>
    </w:p>
    <w:p>
      <w:pPr>
        <w:ind w:left="1980" w:right="479" w:firstLine="360"/>
        <w:spacing w:after="0" w:line="250" w:lineRule="auto"/>
        <w:tabs>
          <w:tab w:leader="none" w:pos="27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5" w:lineRule="exact"/>
        <w:rPr>
          <w:rFonts w:ascii="Times New Roman" w:cs="Times New Roman" w:eastAsia="Times New Roman" w:hAnsi="Times New Roman"/>
          <w:sz w:val="18"/>
          <w:szCs w:val="18"/>
          <w:color w:val="auto"/>
        </w:rPr>
      </w:pPr>
    </w:p>
    <w:p>
      <w:pPr>
        <w:ind w:left="1980" w:right="419" w:firstLine="360"/>
        <w:spacing w:after="0" w:line="237" w:lineRule="auto"/>
        <w:tabs>
          <w:tab w:leader="none" w:pos="27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statement made in a registration statement or prospectus that is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to any purchaser in the initial distribution of the securities:</w:t>
      </w:r>
    </w:p>
    <w:p>
      <w:pPr>
        <w:spacing w:after="0" w:line="124"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39" w:firstLine="360"/>
        <w:spacing w:after="0" w:line="282" w:lineRule="auto"/>
        <w:tabs>
          <w:tab w:leader="none" w:pos="265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980" w:right="919" w:firstLine="360"/>
        <w:spacing w:after="0" w:line="282" w:lineRule="auto"/>
        <w:tabs>
          <w:tab w:leader="none" w:pos="27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980" w:right="559" w:firstLine="360"/>
        <w:spacing w:after="0" w:line="266" w:lineRule="auto"/>
        <w:tabs>
          <w:tab w:leader="none" w:pos="277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1980" w:right="879" w:firstLine="360"/>
        <w:spacing w:after="0" w:line="282" w:lineRule="auto"/>
        <w:tabs>
          <w:tab w:leader="none" w:pos="27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communications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55" w:lineRule="auto"/>
        <w:tabs>
          <w:tab w:leader="none" w:pos="23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1" w:lineRule="exact"/>
        <w:rPr>
          <w:sz w:val="20"/>
          <w:szCs w:val="20"/>
          <w:color w:val="auto"/>
        </w:rPr>
      </w:pPr>
    </w:p>
    <w:p>
      <w:pPr>
        <w:ind w:left="1620" w:right="419" w:firstLine="360"/>
        <w:spacing w:after="0" w:line="253" w:lineRule="auto"/>
        <w:tabs>
          <w:tab w:leader="none" w:pos="23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266065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jc w:val="both"/>
        <w:ind w:left="1260" w:right="1440" w:firstLine="360"/>
        <w:spacing w:after="0" w:line="24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Sarasota, Florida, on March 19, 2021.</w:t>
      </w:r>
    </w:p>
    <w:p>
      <w:pPr>
        <w:spacing w:after="0" w:line="1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89" w:lineRule="exact"/>
        <w:rPr>
          <w:sz w:val="20"/>
          <w:szCs w:val="20"/>
          <w:color w:val="auto"/>
        </w:rPr>
      </w:pPr>
    </w:p>
    <w:p>
      <w:pPr>
        <w:ind w:left="5220"/>
        <w:spacing w:after="0"/>
        <w:tabs>
          <w:tab w:leader="none" w:pos="6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51435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David Zaccardelli, Pharm. D.</w:t>
      </w:r>
    </w:p>
    <w:p>
      <w:pPr>
        <w:spacing w:after="0" w:line="3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1260" w:right="1280" w:firstLine="360"/>
        <w:spacing w:after="0"/>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David Zaccardelli and Mark Hahn, and each of them singly (with full power to each of them to act alone), as his or her true and lawful attorneys -in-fact and agents, with full power of substitution and resubstitution in each of them, for him or her and in his or her name, place and stead, and in any and all capacities, to file and sign any and all amendments, including post -effective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 -in-fact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79" w:lineRule="exact"/>
        <w:rPr>
          <w:sz w:val="20"/>
          <w:szCs w:val="20"/>
          <w:color w:val="auto"/>
        </w:rPr>
      </w:pPr>
    </w:p>
    <w:p>
      <w:pPr>
        <w:ind w:left="1260" w:right="1380" w:firstLine="36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SIGNATURE</w:t>
            </w:r>
          </w:p>
        </w:tc>
        <w:tc>
          <w:tcPr>
            <w:tcW w:w="220" w:type="dxa"/>
            <w:vAlign w:val="bottom"/>
          </w:tcPr>
          <w:p>
            <w:pPr>
              <w:spacing w:after="0"/>
              <w:rPr>
                <w:sz w:val="16"/>
                <w:szCs w:val="16"/>
                <w:color w:val="auto"/>
              </w:rPr>
            </w:pPr>
          </w:p>
        </w:tc>
        <w:tc>
          <w:tcPr>
            <w:tcW w:w="390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7"/>
        </w:trPr>
        <w:tc>
          <w:tcPr>
            <w:tcW w:w="12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Zaccardelli</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David Zaccardelli, Pharm. D.</w:t>
            </w:r>
          </w:p>
        </w:tc>
        <w:tc>
          <w:tcPr>
            <w:tcW w:w="220" w:type="dxa"/>
            <w:vAlign w:val="bottom"/>
          </w:tcPr>
          <w:p>
            <w:pPr>
              <w:spacing w:after="0"/>
              <w:rPr>
                <w:sz w:val="7"/>
                <w:szCs w:val="7"/>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12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Hahn</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Mark Hahn</w:t>
            </w:r>
          </w:p>
        </w:tc>
        <w:tc>
          <w:tcPr>
            <w:tcW w:w="220" w:type="dxa"/>
            <w:vAlign w:val="bottom"/>
          </w:tcPr>
          <w:p>
            <w:pPr>
              <w:spacing w:after="0"/>
              <w:rPr>
                <w:sz w:val="7"/>
                <w:szCs w:val="7"/>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12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Ebsworth</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David Ebsworth,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12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Ken Cunningham</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Ken Cunningham, M.D.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12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Lisa Deschamps</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Lisa Deschamps</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126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Martin Edwards</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26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Martin Edwards, M.D.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2"/>
        </w:trPr>
        <w:tc>
          <w:tcPr>
            <w:tcW w:w="1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-7620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14" w:right="599"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SIGNATURE</w:t>
            </w:r>
          </w:p>
        </w:tc>
        <w:tc>
          <w:tcPr>
            <w:tcW w:w="220" w:type="dxa"/>
            <w:vAlign w:val="bottom"/>
          </w:tcPr>
          <w:p>
            <w:pPr>
              <w:spacing w:after="0"/>
              <w:rPr>
                <w:sz w:val="16"/>
                <w:szCs w:val="16"/>
                <w:color w:val="auto"/>
              </w:rPr>
            </w:pPr>
          </w:p>
        </w:tc>
        <w:tc>
          <w:tcPr>
            <w:tcW w:w="390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23"/>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Rishi Gupta</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0" w:type="dxa"/>
            <w:vAlign w:val="bottom"/>
          </w:tcPr>
          <w:p>
            <w:pPr>
              <w:spacing w:after="0"/>
              <w:rPr>
                <w:sz w:val="1"/>
                <w:szCs w:val="1"/>
                <w:color w:val="auto"/>
              </w:rPr>
            </w:pPr>
          </w:p>
        </w:tc>
      </w:tr>
      <w:tr>
        <w:trPr>
          <w:trHeight w:val="41"/>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Rishi Gupta</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Mahendra Shah</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Mahendra Shah,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Andrew Sinclair</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Andrew Sinclair,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Vikas Sinha</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0" w:type="dxa"/>
            <w:vAlign w:val="bottom"/>
          </w:tcPr>
          <w:p>
            <w:pPr>
              <w:spacing w:after="0"/>
              <w:rPr>
                <w:sz w:val="1"/>
                <w:szCs w:val="1"/>
                <w:color w:val="auto"/>
              </w:rPr>
            </w:pPr>
          </w:p>
        </w:tc>
      </w:tr>
      <w:tr>
        <w:trPr>
          <w:trHeight w:val="41"/>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Vikas Sinha</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Anders Ullman</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Anders Ullman, M.D.,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5280660</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Verona Pharma plc, has signed this Registration Statement on Form S-3, in the City of New York, State of New York, on March 19, 2021.</w:t>
      </w:r>
    </w:p>
    <w:p>
      <w:pPr>
        <w:spacing w:after="0" w:line="1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51435</wp:posOffset>
            </wp:positionV>
            <wp:extent cx="25114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8"/>
          <w:szCs w:val="18"/>
          <w:color w:val="auto"/>
        </w:rPr>
        <w:t>Title:</w:t>
        <w:tab/>
        <w:t>Senior Vice President on behalf of Cogency</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6400800</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14" w:right="1440" w:bottom="1440" w:gutter="0" w:footer="0" w:header="0"/>
        </w:sectPr>
      </w:pPr>
    </w:p>
    <w:bookmarkStart w:id="53" w:name="page54"/>
    <w:bookmarkEnd w:id="53"/>
    <w:tbl>
      <w:tblPr>
        <w:tblLayout w:type="fixed"/>
        <w:tblInd w:w="40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w w:val="95"/>
              </w:rPr>
              <w:t>Exhibit 5.1</w:t>
            </w:r>
          </w:p>
        </w:tc>
      </w:tr>
      <w:tr>
        <w:trPr>
          <w:trHeight w:val="400"/>
        </w:trPr>
        <w:tc>
          <w:tcPr>
            <w:tcW w:w="2680" w:type="dxa"/>
            <w:vAlign w:val="bottom"/>
          </w:tcPr>
          <w:p>
            <w:pPr>
              <w:spacing w:after="0"/>
              <w:rPr>
                <w:sz w:val="24"/>
                <w:szCs w:val="24"/>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99 Bishopsgate</w:t>
            </w:r>
          </w:p>
        </w:tc>
        <w:tc>
          <w:tcPr>
            <w:tcW w:w="284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5540" w:type="dxa"/>
            <w:vAlign w:val="bottom"/>
            <w:gridSpan w:val="2"/>
          </w:tcPr>
          <w:p>
            <w:pPr>
              <w:ind w:left="1540"/>
              <w:spacing w:after="0" w:line="202" w:lineRule="exact"/>
              <w:rPr>
                <w:sz w:val="20"/>
                <w:szCs w:val="20"/>
                <w:color w:val="auto"/>
              </w:rPr>
            </w:pPr>
            <w:r>
              <w:rPr>
                <w:rFonts w:ascii="Times New Roman" w:cs="Times New Roman" w:eastAsia="Times New Roman" w:hAnsi="Times New Roman"/>
                <w:sz w:val="18"/>
                <w:szCs w:val="18"/>
                <w:color w:val="auto"/>
              </w:rPr>
              <w:t>London EC2M 3XF</w:t>
            </w:r>
          </w:p>
        </w:tc>
      </w:tr>
      <w:tr>
        <w:trPr>
          <w:trHeight w:val="203"/>
        </w:trPr>
        <w:tc>
          <w:tcPr>
            <w:tcW w:w="2680" w:type="dxa"/>
            <w:vAlign w:val="bottom"/>
          </w:tcPr>
          <w:p>
            <w:pPr>
              <w:spacing w:after="0"/>
              <w:rPr>
                <w:sz w:val="17"/>
                <w:szCs w:val="17"/>
                <w:color w:val="auto"/>
              </w:rPr>
            </w:pPr>
          </w:p>
        </w:tc>
        <w:tc>
          <w:tcPr>
            <w:tcW w:w="5540" w:type="dxa"/>
            <w:vAlign w:val="bottom"/>
            <w:gridSpan w:val="2"/>
          </w:tcPr>
          <w:p>
            <w:pPr>
              <w:ind w:left="1540"/>
              <w:spacing w:after="0" w:line="202" w:lineRule="exact"/>
              <w:rPr>
                <w:sz w:val="20"/>
                <w:szCs w:val="20"/>
                <w:color w:val="auto"/>
              </w:rPr>
            </w:pPr>
            <w:r>
              <w:rPr>
                <w:rFonts w:ascii="Times New Roman" w:cs="Times New Roman" w:eastAsia="Times New Roman" w:hAnsi="Times New Roman"/>
                <w:sz w:val="18"/>
                <w:szCs w:val="18"/>
                <w:color w:val="auto"/>
              </w:rPr>
              <w:t>United Kingdom</w:t>
            </w:r>
          </w:p>
        </w:tc>
      </w:tr>
      <w:tr>
        <w:trPr>
          <w:trHeight w:val="203"/>
        </w:trPr>
        <w:tc>
          <w:tcPr>
            <w:tcW w:w="2680" w:type="dxa"/>
            <w:vAlign w:val="bottom"/>
          </w:tcPr>
          <w:p>
            <w:pPr>
              <w:spacing w:after="0"/>
              <w:rPr>
                <w:sz w:val="17"/>
                <w:szCs w:val="17"/>
                <w:color w:val="auto"/>
              </w:rPr>
            </w:pPr>
          </w:p>
        </w:tc>
        <w:tc>
          <w:tcPr>
            <w:tcW w:w="5540" w:type="dxa"/>
            <w:vAlign w:val="bottom"/>
            <w:gridSpan w:val="2"/>
          </w:tcPr>
          <w:p>
            <w:pPr>
              <w:ind w:left="1540"/>
              <w:spacing w:after="0" w:line="202" w:lineRule="exact"/>
              <w:rPr>
                <w:sz w:val="20"/>
                <w:szCs w:val="20"/>
                <w:color w:val="auto"/>
              </w:rPr>
            </w:pPr>
            <w:r>
              <w:rPr>
                <w:rFonts w:ascii="Times New Roman" w:cs="Times New Roman" w:eastAsia="Times New Roman" w:hAnsi="Times New Roman"/>
                <w:sz w:val="18"/>
                <w:szCs w:val="18"/>
                <w:color w:val="auto"/>
              </w:rPr>
              <w:t>Tel: +44(0)20.7710.1000 Fax: +44(0)20.7374.4460</w:t>
            </w:r>
          </w:p>
        </w:tc>
      </w:tr>
      <w:tr>
        <w:trPr>
          <w:trHeight w:val="234"/>
        </w:trPr>
        <w:tc>
          <w:tcPr>
            <w:tcW w:w="2680" w:type="dxa"/>
            <w:vAlign w:val="bottom"/>
          </w:tcPr>
          <w:p>
            <w:pPr>
              <w:spacing w:after="0"/>
              <w:rPr>
                <w:sz w:val="20"/>
                <w:szCs w:val="20"/>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www.lw.com</w:t>
            </w:r>
          </w:p>
        </w:tc>
        <w:tc>
          <w:tcPr>
            <w:tcW w:w="2840" w:type="dxa"/>
            <w:vAlign w:val="bottom"/>
          </w:tcPr>
          <w:p>
            <w:pPr>
              <w:spacing w:after="0"/>
              <w:rPr>
                <w:sz w:val="20"/>
                <w:szCs w:val="20"/>
                <w:color w:val="auto"/>
              </w:rPr>
            </w:pPr>
          </w:p>
        </w:tc>
      </w:tr>
      <w:tr>
        <w:trPr>
          <w:trHeight w:val="306"/>
        </w:trPr>
        <w:tc>
          <w:tcPr>
            <w:tcW w:w="2680" w:type="dxa"/>
            <w:vAlign w:val="bottom"/>
          </w:tcPr>
          <w:p>
            <w:pPr>
              <w:spacing w:after="0"/>
              <w:rPr>
                <w:sz w:val="24"/>
                <w:szCs w:val="24"/>
                <w:color w:val="auto"/>
              </w:rPr>
            </w:pPr>
          </w:p>
        </w:tc>
        <w:tc>
          <w:tcPr>
            <w:tcW w:w="55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Beijing</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2680" w:type="dxa"/>
            <w:vAlign w:val="bottom"/>
          </w:tcPr>
          <w:p>
            <w:pPr>
              <w:spacing w:after="0"/>
              <w:rPr>
                <w:sz w:val="18"/>
                <w:szCs w:val="18"/>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Boston</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Munich</w:t>
            </w: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19 March 2021</w:t>
            </w: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Brussels</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171"/>
        </w:trPr>
        <w:tc>
          <w:tcPr>
            <w:tcW w:w="2680" w:type="dxa"/>
            <w:vAlign w:val="bottom"/>
          </w:tcPr>
          <w:p>
            <w:pPr>
              <w:spacing w:after="0"/>
              <w:rPr>
                <w:sz w:val="14"/>
                <w:szCs w:val="14"/>
                <w:color w:val="auto"/>
              </w:rPr>
            </w:pPr>
          </w:p>
        </w:tc>
        <w:tc>
          <w:tcPr>
            <w:tcW w:w="2700" w:type="dxa"/>
            <w:vAlign w:val="bottom"/>
          </w:tcPr>
          <w:p>
            <w:pPr>
              <w:ind w:left="1540"/>
              <w:spacing w:after="0" w:line="170" w:lineRule="exact"/>
              <w:rPr>
                <w:sz w:val="20"/>
                <w:szCs w:val="20"/>
                <w:color w:val="auto"/>
              </w:rPr>
            </w:pPr>
            <w:r>
              <w:rPr>
                <w:rFonts w:ascii="Times New Roman" w:cs="Times New Roman" w:eastAsia="Times New Roman" w:hAnsi="Times New Roman"/>
                <w:sz w:val="18"/>
                <w:szCs w:val="18"/>
                <w:color w:val="auto"/>
              </w:rPr>
              <w:t>Century City</w:t>
            </w:r>
          </w:p>
        </w:tc>
        <w:tc>
          <w:tcPr>
            <w:tcW w:w="28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2680" w:type="dxa"/>
            <w:vAlign w:val="bottom"/>
          </w:tcPr>
          <w:p>
            <w:pPr>
              <w:spacing w:after="0"/>
              <w:rPr>
                <w:sz w:val="18"/>
                <w:szCs w:val="18"/>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Chicago</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Paris</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Dubai</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Riyadh</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Düsseldorf</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2680" w:type="dxa"/>
            <w:vAlign w:val="bottom"/>
          </w:tcPr>
          <w:p>
            <w:pPr>
              <w:spacing w:after="0"/>
              <w:rPr>
                <w:sz w:val="18"/>
                <w:szCs w:val="18"/>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Frankfurt</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San Francisco</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Hamburg</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Seoul</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Hong Kong</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2680" w:type="dxa"/>
            <w:vAlign w:val="bottom"/>
          </w:tcPr>
          <w:p>
            <w:pPr>
              <w:spacing w:after="0"/>
              <w:rPr>
                <w:sz w:val="18"/>
                <w:szCs w:val="18"/>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Houston</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London</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Singapore</w:t>
            </w:r>
          </w:p>
        </w:tc>
      </w:tr>
      <w:tr>
        <w:trPr>
          <w:trHeight w:val="203"/>
        </w:trPr>
        <w:tc>
          <w:tcPr>
            <w:tcW w:w="2680" w:type="dxa"/>
            <w:vAlign w:val="bottom"/>
          </w:tcPr>
          <w:p>
            <w:pPr>
              <w:spacing w:after="0"/>
              <w:rPr>
                <w:sz w:val="17"/>
                <w:szCs w:val="17"/>
                <w:color w:val="auto"/>
              </w:rPr>
            </w:pPr>
          </w:p>
        </w:tc>
        <w:tc>
          <w:tcPr>
            <w:tcW w:w="2700" w:type="dxa"/>
            <w:vAlign w:val="bottom"/>
          </w:tcPr>
          <w:p>
            <w:pPr>
              <w:ind w:left="1540"/>
              <w:spacing w:after="0" w:line="202" w:lineRule="exact"/>
              <w:rPr>
                <w:sz w:val="20"/>
                <w:szCs w:val="20"/>
                <w:color w:val="auto"/>
              </w:rPr>
            </w:pPr>
            <w:r>
              <w:rPr>
                <w:rFonts w:ascii="Times New Roman" w:cs="Times New Roman" w:eastAsia="Times New Roman" w:hAnsi="Times New Roman"/>
                <w:sz w:val="18"/>
                <w:szCs w:val="18"/>
                <w:color w:val="auto"/>
              </w:rPr>
              <w:t>Los Angeles</w:t>
            </w:r>
          </w:p>
        </w:tc>
        <w:tc>
          <w:tcPr>
            <w:tcW w:w="2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Tokyo</w:t>
            </w:r>
          </w:p>
        </w:tc>
      </w:tr>
      <w:tr>
        <w:trPr>
          <w:trHeight w:val="234"/>
        </w:trPr>
        <w:tc>
          <w:tcPr>
            <w:tcW w:w="2680" w:type="dxa"/>
            <w:vAlign w:val="bottom"/>
          </w:tcPr>
          <w:p>
            <w:pPr>
              <w:spacing w:after="0"/>
              <w:rPr>
                <w:sz w:val="20"/>
                <w:szCs w:val="20"/>
                <w:color w:val="auto"/>
              </w:rPr>
            </w:pPr>
          </w:p>
        </w:tc>
        <w:tc>
          <w:tcPr>
            <w:tcW w:w="27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Madrid</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-2700020</wp:posOffset>
            </wp:positionV>
            <wp:extent cx="185166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1851660" cy="120015"/>
                    </a:xfrm>
                    <a:prstGeom prst="rect">
                      <a:avLst/>
                    </a:prstGeom>
                    <a:noFill/>
                  </pic:spPr>
                </pic:pic>
              </a:graphicData>
            </a:graphic>
          </wp:anchor>
        </w:drawing>
      </w:r>
    </w:p>
    <w:p>
      <w:pPr>
        <w:ind w:left="4620"/>
        <w:spacing w:after="0"/>
        <w:rPr>
          <w:sz w:val="20"/>
          <w:szCs w:val="20"/>
          <w:color w:val="auto"/>
        </w:rPr>
      </w:pPr>
      <w:r>
        <w:rPr>
          <w:rFonts w:ascii="Times New Roman" w:cs="Times New Roman" w:eastAsia="Times New Roman" w:hAnsi="Times New Roman"/>
          <w:sz w:val="18"/>
          <w:szCs w:val="18"/>
          <w:color w:val="auto"/>
        </w:rPr>
        <w:t>Milan</w:t>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One Central Square</w:t>
      </w:r>
    </w:p>
    <w:p>
      <w:pPr>
        <w:ind w:left="400"/>
        <w:spacing w:after="0" w:line="234" w:lineRule="auto"/>
        <w:rPr>
          <w:sz w:val="20"/>
          <w:szCs w:val="20"/>
          <w:color w:val="auto"/>
        </w:rPr>
      </w:pPr>
      <w:r>
        <w:rPr>
          <w:rFonts w:ascii="Times New Roman" w:cs="Times New Roman" w:eastAsia="Times New Roman" w:hAnsi="Times New Roman"/>
          <w:sz w:val="18"/>
          <w:szCs w:val="18"/>
          <w:color w:val="auto"/>
        </w:rPr>
        <w:t>Cardiff</w:t>
      </w:r>
    </w:p>
    <w:p>
      <w:pPr>
        <w:ind w:left="400"/>
        <w:spacing w:after="0" w:line="235" w:lineRule="auto"/>
        <w:rPr>
          <w:sz w:val="20"/>
          <w:szCs w:val="20"/>
          <w:color w:val="auto"/>
        </w:rPr>
      </w:pPr>
      <w:r>
        <w:rPr>
          <w:rFonts w:ascii="Times New Roman" w:cs="Times New Roman" w:eastAsia="Times New Roman" w:hAnsi="Times New Roman"/>
          <w:sz w:val="18"/>
          <w:szCs w:val="18"/>
          <w:color w:val="auto"/>
        </w:rPr>
        <w:t>CF10 1FS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United Kingdom</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 Verona Pharma plc — Registration Statement on Form S-3 Exhibit 5.1</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ind w:left="400" w:right="559" w:firstLine="360"/>
        <w:spacing w:after="0" w:line="241" w:lineRule="auto"/>
        <w:rPr>
          <w:sz w:val="20"/>
          <w:szCs w:val="20"/>
          <w:color w:val="auto"/>
        </w:rPr>
      </w:pPr>
      <w:r>
        <w:rPr>
          <w:rFonts w:ascii="Times New Roman" w:cs="Times New Roman" w:eastAsia="Times New Roman" w:hAnsi="Times New Roman"/>
          <w:sz w:val="18"/>
          <w:szCs w:val="18"/>
          <w:color w:val="auto"/>
        </w:rPr>
        <w:t>We have acted as English legal advisers to Verona Pharma plc, a public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private placement of 38,440,009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eight ordinary shares of £0.05 each in the capital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48,088,896 non- voting ordinary shares of £0.05 that may be re-designated as ordinary shares, nominal value £0.05 per share (the “</w:t>
      </w:r>
      <w:r>
        <w:rPr>
          <w:rFonts w:ascii="Times New Roman" w:cs="Times New Roman" w:eastAsia="Times New Roman" w:hAnsi="Times New Roman"/>
          <w:sz w:val="18"/>
          <w:szCs w:val="18"/>
          <w:b w:val="1"/>
          <w:bCs w:val="1"/>
          <w:color w:val="auto"/>
        </w:rPr>
        <w:t>Non-Voting Ordinary Shares</w:t>
      </w:r>
      <w:r>
        <w:rPr>
          <w:rFonts w:ascii="Times New Roman" w:cs="Times New Roman" w:eastAsia="Times New Roman" w:hAnsi="Times New Roman"/>
          <w:sz w:val="18"/>
          <w:szCs w:val="18"/>
          <w:color w:val="auto"/>
        </w:rPr>
        <w:t>”, together, with the Ordinary Shares allotted and issued in connection therewith,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760" w:hanging="360"/>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760" w:right="619"/>
        <w:spacing w:after="0" w:line="241" w:lineRule="auto"/>
        <w:rPr>
          <w:sz w:val="20"/>
          <w:szCs w:val="20"/>
          <w:color w:val="auto"/>
        </w:rPr>
      </w:pPr>
      <w:r>
        <w:rPr>
          <w:rFonts w:ascii="Times New Roman" w:cs="Times New Roman" w:eastAsia="Times New Roman" w:hAnsi="Times New Roman"/>
          <w:sz w:val="18"/>
          <w:szCs w:val="18"/>
          <w:color w:val="auto"/>
        </w:rPr>
        <w:t>In connection with the preparation and filing of the registration statement on Form S-3 to which this letter is attached as an exhibit (such registration statement, as amended,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we have been asked to provide an opinion on certain matters, as set out below. We have taken instruction in this regard solely from the Company.</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Defined terms and headings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1120" w:right="639" w:hanging="360"/>
        <w:spacing w:after="0" w:line="282" w:lineRule="auto"/>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996950</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80010</wp:posOffset>
            </wp:positionV>
            <wp:extent cx="5117465"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117465" cy="317500"/>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54" w:name="page55"/>
    <w:bookmarkEnd w:id="54"/>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732155</wp:posOffset>
            </wp:positionV>
            <wp:extent cx="1234440" cy="76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76835"/>
                    </a:xfrm>
                    <a:prstGeom prst="rect">
                      <a:avLst/>
                    </a:prstGeom>
                    <a:noFill/>
                  </pic:spPr>
                </pic:pic>
              </a:graphicData>
            </a:graphic>
          </wp:anchor>
        </w:drawing>
      </w:r>
    </w:p>
    <w:p>
      <w:pPr>
        <w:ind w:left="400" w:right="2359" w:firstLine="360"/>
        <w:spacing w:after="0" w:line="414"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headings are for ease of reference only and shall not affect interpretation. 1.3 </w:t>
      </w:r>
      <w:r>
        <w:rPr>
          <w:rFonts w:ascii="Times New Roman" w:cs="Times New Roman" w:eastAsia="Times New Roman" w:hAnsi="Times New Roman"/>
          <w:sz w:val="18"/>
          <w:szCs w:val="18"/>
          <w:b w:val="1"/>
          <w:bCs w:val="1"/>
          <w:color w:val="auto"/>
        </w:rPr>
        <w:t>Legal review</w:t>
      </w:r>
    </w:p>
    <w:p>
      <w:pPr>
        <w:spacing w:after="0" w:line="1" w:lineRule="exact"/>
        <w:rPr>
          <w:sz w:val="20"/>
          <w:szCs w:val="20"/>
          <w:color w:val="auto"/>
        </w:rPr>
      </w:pPr>
    </w:p>
    <w:p>
      <w:pPr>
        <w:ind w:left="760" w:right="679"/>
        <w:spacing w:after="0" w:line="266" w:lineRule="auto"/>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68" w:lineRule="exact"/>
        <w:rPr>
          <w:sz w:val="20"/>
          <w:szCs w:val="20"/>
          <w:color w:val="auto"/>
        </w:rPr>
      </w:pPr>
    </w:p>
    <w:p>
      <w:pPr>
        <w:ind w:left="1120" w:hanging="36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search at Companies House in respect of the Company conducted on 19 March 2021;</w:t>
      </w:r>
    </w:p>
    <w:p>
      <w:pPr>
        <w:spacing w:after="0" w:line="144" w:lineRule="exact"/>
        <w:rPr>
          <w:rFonts w:ascii="Times New Roman" w:cs="Times New Roman" w:eastAsia="Times New Roman" w:hAnsi="Times New Roman"/>
          <w:sz w:val="18"/>
          <w:szCs w:val="18"/>
          <w:color w:val="auto"/>
        </w:rPr>
      </w:pPr>
    </w:p>
    <w:p>
      <w:pPr>
        <w:ind w:left="1120" w:right="879" w:hanging="36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at the Central Registry of Winding Up Petitions, London on 19 March 2021 at 11:43 a.m. (London time) with respect to the Company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20" w:right="619" w:hanging="36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annual general meeting of the Company held on 16 April 2020 (the “</w:t>
      </w:r>
      <w:r>
        <w:rPr>
          <w:rFonts w:ascii="Times New Roman" w:cs="Times New Roman" w:eastAsia="Times New Roman" w:hAnsi="Times New Roman"/>
          <w:sz w:val="18"/>
          <w:szCs w:val="18"/>
          <w:b w:val="1"/>
          <w:bCs w:val="1"/>
          <w:color w:val="auto"/>
        </w:rPr>
        <w:t>Annual General Meeting</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120" w:right="539" w:hanging="360"/>
        <w:spacing w:after="0" w:line="286"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minutes of the meeting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held on 15 July 2020,</w:t>
      </w:r>
    </w:p>
    <w:p>
      <w:pPr>
        <w:spacing w:after="0" w:line="77"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written resolutions of the Board dated 21 July 2020;</w:t>
      </w:r>
    </w:p>
    <w:p>
      <w:pPr>
        <w:spacing w:after="0" w:line="130"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terms of issue of the Non-Voting Ordinary Shares;</w:t>
      </w:r>
    </w:p>
    <w:p>
      <w:pPr>
        <w:spacing w:after="0" w:line="144"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24 February 2005;</w:t>
      </w:r>
    </w:p>
    <w:p>
      <w:pPr>
        <w:spacing w:after="0" w:line="130" w:lineRule="exact"/>
        <w:rPr>
          <w:rFonts w:ascii="Times New Roman" w:cs="Times New Roman" w:eastAsia="Times New Roman" w:hAnsi="Times New Roman"/>
          <w:sz w:val="18"/>
          <w:szCs w:val="18"/>
          <w:color w:val="auto"/>
        </w:rPr>
      </w:pPr>
    </w:p>
    <w:p>
      <w:pPr>
        <w:ind w:left="1120" w:right="1419" w:hanging="36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change of name of the Company dated 18 September 2006;</w:t>
      </w:r>
    </w:p>
    <w:p>
      <w:pPr>
        <w:spacing w:after="0" w:line="80" w:lineRule="exact"/>
        <w:rPr>
          <w:rFonts w:ascii="Times New Roman" w:cs="Times New Roman" w:eastAsia="Times New Roman" w:hAnsi="Times New Roman"/>
          <w:sz w:val="18"/>
          <w:szCs w:val="18"/>
          <w:color w:val="auto"/>
        </w:rPr>
      </w:pPr>
    </w:p>
    <w:p>
      <w:pPr>
        <w:ind w:left="1120" w:right="759" w:hanging="36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PDF copy of the current articles of association of the Company adopted pursuant to a special resolution of shareholders passed at the general meeting held on 18 December 2020; and</w:t>
      </w:r>
    </w:p>
    <w:p>
      <w:pPr>
        <w:spacing w:after="0" w:line="67" w:lineRule="exact"/>
        <w:rPr>
          <w:rFonts w:ascii="Times New Roman" w:cs="Times New Roman" w:eastAsia="Times New Roman" w:hAnsi="Times New Roman"/>
          <w:sz w:val="18"/>
          <w:szCs w:val="18"/>
          <w:color w:val="auto"/>
        </w:rPr>
      </w:pPr>
    </w:p>
    <w:p>
      <w:pPr>
        <w:ind w:left="1120" w:right="739" w:hanging="360"/>
        <w:spacing w:after="0" w:line="282" w:lineRule="auto"/>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 as at 18 March 2021 and to be filed with the SEC on 19 March 2021.</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Applicable law</w:t>
      </w:r>
    </w:p>
    <w:p>
      <w:pPr>
        <w:spacing w:after="0" w:line="162" w:lineRule="exact"/>
        <w:rPr>
          <w:sz w:val="20"/>
          <w:szCs w:val="20"/>
          <w:color w:val="auto"/>
        </w:rPr>
      </w:pPr>
    </w:p>
    <w:p>
      <w:pPr>
        <w:ind w:left="760" w:right="519"/>
        <w:spacing w:after="0" w:line="246" w:lineRule="auto"/>
        <w:rPr>
          <w:sz w:val="20"/>
          <w:szCs w:val="20"/>
          <w:color w:val="auto"/>
        </w:rPr>
      </w:pP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295" w:lineRule="exact"/>
        <w:rPr>
          <w:sz w:val="20"/>
          <w:szCs w:val="20"/>
          <w:color w:val="auto"/>
        </w:rPr>
      </w:pPr>
    </w:p>
    <w:p>
      <w:pPr>
        <w:ind w:left="1120" w:right="979" w:hanging="360"/>
        <w:spacing w:after="0" w:line="282" w:lineRule="auto"/>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affects any of the opinions stated below; and</w:t>
      </w:r>
    </w:p>
    <w:p>
      <w:pPr>
        <w:spacing w:after="0" w:line="67"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Assumptions and reservations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opinions given in this letter are given on the basis of each of the assumptions set out in Schedule 1</w:t>
      </w:r>
    </w:p>
    <w:p>
      <w:pPr>
        <w:spacing w:after="0" w:line="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w:t>
      </w:r>
    </w:p>
    <w:p>
      <w:pPr>
        <w:ind w:left="760"/>
        <w:spacing w:after="0" w:line="234" w:lineRule="auto"/>
        <w:rPr>
          <w:sz w:val="20"/>
          <w:szCs w:val="20"/>
          <w:color w:val="auto"/>
        </w:rPr>
      </w:pPr>
      <w:r>
        <w:rPr>
          <w:rFonts w:ascii="Times New Roman" w:cs="Times New Roman" w:eastAsia="Times New Roman" w:hAnsi="Times New Roman"/>
          <w:sz w:val="18"/>
          <w:szCs w:val="18"/>
          <w:color w:val="auto"/>
        </w:rPr>
        <w:t>letter. The opinions given in this letter are strictly limited to the matters stated in paragraph 2</w:t>
      </w:r>
    </w:p>
    <w:p>
      <w:pPr>
        <w:ind w:left="760"/>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do not extend, and should not be read as extending, by implication or otherwise,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any other matters.</w:t>
      </w:r>
    </w:p>
    <w:p>
      <w:pPr>
        <w:spacing w:after="0" w:line="93" w:lineRule="exact"/>
        <w:rPr>
          <w:sz w:val="20"/>
          <w:szCs w:val="20"/>
          <w:color w:val="auto"/>
        </w:rPr>
      </w:pPr>
    </w:p>
    <w:p>
      <w:pPr>
        <w:ind w:left="760" w:hanging="360"/>
        <w:spacing w:after="0"/>
        <w:tabs>
          <w:tab w:leader="none" w:pos="7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59" w:lineRule="exact"/>
        <w:rPr>
          <w:rFonts w:ascii="Times New Roman" w:cs="Times New Roman" w:eastAsia="Times New Roman" w:hAnsi="Times New Roman"/>
          <w:sz w:val="18"/>
          <w:szCs w:val="18"/>
          <w:b w:val="1"/>
          <w:bCs w:val="1"/>
          <w:color w:val="auto"/>
        </w:rPr>
      </w:pPr>
    </w:p>
    <w:p>
      <w:pPr>
        <w:ind w:left="760" w:right="579"/>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66" w:lineRule="exact"/>
        <w:rPr>
          <w:rFonts w:ascii="Times New Roman" w:cs="Times New Roman" w:eastAsia="Times New Roman" w:hAnsi="Times New Roman"/>
          <w:sz w:val="18"/>
          <w:szCs w:val="18"/>
          <w:b w:val="1"/>
          <w:bCs w:val="1"/>
          <w:color w:val="auto"/>
        </w:rPr>
      </w:pPr>
    </w:p>
    <w:p>
      <w:pPr>
        <w:ind w:left="1120" w:hanging="360"/>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having become effective under the Securities Act;</w:t>
      </w:r>
    </w:p>
    <w:p>
      <w:pPr>
        <w:spacing w:after="0" w:line="144" w:lineRule="exact"/>
        <w:rPr>
          <w:rFonts w:ascii="Times New Roman" w:cs="Times New Roman" w:eastAsia="Times New Roman" w:hAnsi="Times New Roman"/>
          <w:sz w:val="18"/>
          <w:szCs w:val="18"/>
          <w:color w:val="auto"/>
        </w:rPr>
      </w:pPr>
    </w:p>
    <w:p>
      <w:pPr>
        <w:ind w:left="1120" w:right="579" w:hanging="360"/>
        <w:spacing w:after="0" w:line="282"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name of the recipient in the books and registers of the Company; and</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732155</wp:posOffset>
            </wp:positionV>
            <wp:extent cx="1234440" cy="76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76835"/>
                    </a:xfrm>
                    <a:prstGeom prst="rect">
                      <a:avLst/>
                    </a:prstGeom>
                    <a:noFill/>
                  </pic:spPr>
                </pic:pic>
              </a:graphicData>
            </a:graphic>
          </wp:anchor>
        </w:drawing>
      </w:r>
    </w:p>
    <w:p>
      <w:pPr>
        <w:ind w:left="1120" w:right="539" w:hanging="360"/>
        <w:spacing w:after="0" w:line="282" w:lineRule="auto"/>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having been delivered in accordance with the terms and conditions of the Offering and the Registration Statement,</w:t>
      </w:r>
    </w:p>
    <w:p>
      <w:pPr>
        <w:spacing w:after="0" w:line="94" w:lineRule="exact"/>
        <w:rPr>
          <w:sz w:val="20"/>
          <w:szCs w:val="20"/>
          <w:color w:val="auto"/>
        </w:rPr>
      </w:pPr>
    </w:p>
    <w:p>
      <w:pPr>
        <w:jc w:val="both"/>
        <w:ind w:left="760" w:right="639"/>
        <w:spacing w:after="0" w:line="266" w:lineRule="auto"/>
        <w:rPr>
          <w:sz w:val="20"/>
          <w:szCs w:val="20"/>
          <w:color w:val="auto"/>
        </w:rPr>
      </w:pPr>
      <w:r>
        <w:rPr>
          <w:rFonts w:ascii="Times New Roman" w:cs="Times New Roman" w:eastAsia="Times New Roman" w:hAnsi="Times New Roman"/>
          <w:sz w:val="18"/>
          <w:szCs w:val="18"/>
          <w:color w:val="auto"/>
        </w:rPr>
        <w:t>it is our opinion that the Shares were duly and validly authorised and issued, fully paid or credited as fully paid (subject to the receipt of valid consideration by the Company for the issue thereof) and are not subject to any call for payment of further capital.</w:t>
      </w:r>
    </w:p>
    <w:p>
      <w:pPr>
        <w:spacing w:after="0" w:line="91" w:lineRule="exact"/>
        <w:rPr>
          <w:sz w:val="20"/>
          <w:szCs w:val="20"/>
          <w:color w:val="auto"/>
        </w:rPr>
      </w:pPr>
    </w:p>
    <w:p>
      <w:pPr>
        <w:ind w:left="760" w:hanging="360"/>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OPINIONS</w:t>
      </w:r>
    </w:p>
    <w:p>
      <w:pPr>
        <w:spacing w:after="0" w:line="161" w:lineRule="exact"/>
        <w:rPr>
          <w:rFonts w:ascii="Times New Roman" w:cs="Times New Roman" w:eastAsia="Times New Roman" w:hAnsi="Times New Roman"/>
          <w:sz w:val="18"/>
          <w:szCs w:val="18"/>
          <w:b w:val="1"/>
          <w:bCs w:val="1"/>
          <w:color w:val="auto"/>
        </w:rPr>
      </w:pPr>
    </w:p>
    <w:p>
      <w:pPr>
        <w:ind w:left="76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Offering.</w:t>
      </w:r>
    </w:p>
    <w:p>
      <w:pPr>
        <w:spacing w:after="0" w:line="108" w:lineRule="exact"/>
        <w:rPr>
          <w:rFonts w:ascii="Times New Roman" w:cs="Times New Roman" w:eastAsia="Times New Roman" w:hAnsi="Times New Roman"/>
          <w:sz w:val="18"/>
          <w:szCs w:val="18"/>
          <w:b w:val="1"/>
          <w:bCs w:val="1"/>
          <w:color w:val="auto"/>
        </w:rPr>
      </w:pPr>
    </w:p>
    <w:p>
      <w:pPr>
        <w:ind w:left="760" w:right="41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98" w:lineRule="exact"/>
        <w:rPr>
          <w:rFonts w:ascii="Times New Roman" w:cs="Times New Roman" w:eastAsia="Times New Roman" w:hAnsi="Times New Roman"/>
          <w:sz w:val="18"/>
          <w:szCs w:val="18"/>
          <w:b w:val="1"/>
          <w:bCs w:val="1"/>
          <w:color w:val="auto"/>
        </w:rPr>
      </w:pPr>
    </w:p>
    <w:p>
      <w:pPr>
        <w:ind w:left="760" w:hanging="360"/>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161" w:lineRule="exact"/>
        <w:rPr>
          <w:rFonts w:ascii="Times New Roman" w:cs="Times New Roman" w:eastAsia="Times New Roman" w:hAnsi="Times New Roman"/>
          <w:sz w:val="18"/>
          <w:szCs w:val="18"/>
          <w:b w:val="1"/>
          <w:bCs w:val="1"/>
          <w:color w:val="auto"/>
        </w:rPr>
      </w:pPr>
    </w:p>
    <w:p>
      <w:pPr>
        <w:ind w:left="760" w:right="41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12" w:lineRule="exact"/>
        <w:rPr>
          <w:rFonts w:ascii="Times New Roman" w:cs="Times New Roman" w:eastAsia="Times New Roman" w:hAnsi="Times New Roman"/>
          <w:sz w:val="18"/>
          <w:szCs w:val="18"/>
          <w:b w:val="1"/>
          <w:bCs w:val="1"/>
          <w:color w:val="auto"/>
        </w:rPr>
      </w:pPr>
    </w:p>
    <w:p>
      <w:pPr>
        <w:ind w:left="760" w:right="5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LATHAM &amp; WATKINS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58" w:lineRule="exact"/>
        <w:rPr>
          <w:sz w:val="20"/>
          <w:szCs w:val="20"/>
          <w:color w:val="auto"/>
        </w:rPr>
      </w:pPr>
    </w:p>
    <w:p>
      <w:pPr>
        <w:ind w:left="1120" w:right="999" w:hanging="360"/>
        <w:spacing w:after="0" w:line="266"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94" w:lineRule="exact"/>
        <w:rPr>
          <w:rFonts w:ascii="Times New Roman" w:cs="Times New Roman" w:eastAsia="Times New Roman" w:hAnsi="Times New Roman"/>
          <w:sz w:val="18"/>
          <w:szCs w:val="18"/>
          <w:color w:val="auto"/>
        </w:rPr>
      </w:pPr>
    </w:p>
    <w:p>
      <w:pPr>
        <w:ind w:left="1120" w:right="599" w:hanging="360"/>
        <w:spacing w:after="0" w:line="28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80" w:lineRule="exact"/>
        <w:rPr>
          <w:rFonts w:ascii="Times New Roman" w:cs="Times New Roman" w:eastAsia="Times New Roman" w:hAnsi="Times New Roman"/>
          <w:sz w:val="18"/>
          <w:szCs w:val="18"/>
          <w:color w:val="auto"/>
        </w:rPr>
      </w:pPr>
    </w:p>
    <w:p>
      <w:pPr>
        <w:ind w:left="1120" w:right="559" w:hanging="360"/>
        <w:spacing w:after="0" w:line="28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94" w:lineRule="exact"/>
        <w:rPr>
          <w:rFonts w:ascii="Times New Roman" w:cs="Times New Roman" w:eastAsia="Times New Roman" w:hAnsi="Times New Roman"/>
          <w:sz w:val="18"/>
          <w:szCs w:val="18"/>
          <w:color w:val="auto"/>
        </w:rPr>
      </w:pPr>
    </w:p>
    <w:p>
      <w:pPr>
        <w:ind w:left="1120" w:right="539" w:hanging="360"/>
        <w:spacing w:after="0" w:line="261"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Shares were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120" w:right="779" w:hanging="360"/>
        <w:spacing w:after="0" w:line="258"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UK Companies House in respect of the Company have been so delivered, that the results of the Searches are complete and accurate, that the position has not changed since the times at which the Searches were made and that the results of the Searches remained complete and accurate as at each Allotment Date;</w:t>
      </w:r>
    </w:p>
    <w:p>
      <w:pPr>
        <w:spacing w:after="0" w:line="115" w:lineRule="exact"/>
        <w:rPr>
          <w:rFonts w:ascii="Times New Roman" w:cs="Times New Roman" w:eastAsia="Times New Roman" w:hAnsi="Times New Roman"/>
          <w:sz w:val="18"/>
          <w:szCs w:val="18"/>
          <w:color w:val="auto"/>
        </w:rPr>
      </w:pPr>
    </w:p>
    <w:p>
      <w:pPr>
        <w:ind w:left="1120" w:right="439" w:hanging="360"/>
        <w:spacing w:after="0" w:line="252"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resolutions described in the written resolutions of the board of directors of the Company provided to us in connection with the giving of this opinion or otherwise contemplated in connection with the matters referred to herein were duly passed as written resolutions of the board of directors of the Company, all constitutional, statutory and other formalities were and such resolutions have not been revoked or varied and remained in full force and effect at each Allotment Date; and (ii) the proceedings and resolutions described in the minutes of the meetings of the board of directors of the Company provided to us in connection with the giving of this opinion or otherwise contemplated in connection with the matters referred to herein were duly conducted as so described, and that each of the meetings referred to therein was duly constituted, convened and conducted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were not revoked or varied and remained in full force and effect as at each Allotment Date;</w:t>
      </w:r>
    </w:p>
    <w:p>
      <w:pPr>
        <w:spacing w:after="0" w:line="116" w:lineRule="exact"/>
        <w:rPr>
          <w:rFonts w:ascii="Times New Roman" w:cs="Times New Roman" w:eastAsia="Times New Roman" w:hAnsi="Times New Roman"/>
          <w:sz w:val="18"/>
          <w:szCs w:val="18"/>
          <w:color w:val="auto"/>
        </w:rPr>
      </w:pPr>
    </w:p>
    <w:p>
      <w:pPr>
        <w:ind w:left="1120" w:right="519" w:hanging="360"/>
        <w:spacing w:after="0" w:line="257"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or otherwise contemplated in connection with the matters referred to herein were duly passed at a general meeting of the Company, all constitutional, statutory and other formalities were observed in relation to such general meeting and such resolutions were not revoked or varied prior to each Allotment Date and remained in full force and effect as at each Allotment Date;</w:t>
      </w:r>
    </w:p>
    <w:p>
      <w:pPr>
        <w:spacing w:after="0" w:line="322" w:lineRule="exact"/>
        <w:rPr>
          <w:rFonts w:ascii="Times New Roman" w:cs="Times New Roman" w:eastAsia="Times New Roman" w:hAnsi="Times New Roman"/>
          <w:sz w:val="18"/>
          <w:szCs w:val="18"/>
          <w:color w:val="auto"/>
        </w:rPr>
      </w:pPr>
    </w:p>
    <w:p>
      <w:pPr>
        <w:ind w:left="1120" w:right="439" w:hanging="360"/>
        <w:spacing w:after="0" w:line="258"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115" w:lineRule="exact"/>
        <w:rPr>
          <w:rFonts w:ascii="Times New Roman" w:cs="Times New Roman" w:eastAsia="Times New Roman" w:hAnsi="Times New Roman"/>
          <w:sz w:val="18"/>
          <w:szCs w:val="18"/>
          <w:color w:val="auto"/>
        </w:rPr>
      </w:pPr>
    </w:p>
    <w:p>
      <w:pPr>
        <w:ind w:left="1120" w:right="519" w:hanging="360"/>
        <w:spacing w:after="0" w:line="261" w:lineRule="auto"/>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had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57" w:name="page58"/>
    <w:bookmarkEnd w:id="57"/>
    <w:p>
      <w:pPr>
        <w:jc w:val="both"/>
        <w:ind w:left="1120" w:right="499"/>
        <w:spacing w:after="0" w:line="266" w:lineRule="auto"/>
        <w:rPr>
          <w:sz w:val="20"/>
          <w:szCs w:val="20"/>
          <w:color w:val="auto"/>
        </w:rPr>
      </w:pPr>
      <w:r>
        <w:rPr>
          <w:rFonts w:ascii="Times New Roman" w:cs="Times New Roman" w:eastAsia="Times New Roman" w:hAnsi="Times New Roman"/>
          <w:sz w:val="18"/>
          <w:szCs w:val="18"/>
          <w:color w:val="auto"/>
        </w:rPr>
        <w:t>the directors of the Company did not allot or issue (or purport to allot or issue) Shares and did not grant rights (or purport to grant rights) to acquire Shares in excess of such powers or in breach of any other limitation on their power to allot and issue Shares or grant rights to acquire Shares;</w:t>
      </w:r>
    </w:p>
    <w:p>
      <w:pPr>
        <w:spacing w:after="0" w:line="95" w:lineRule="exact"/>
        <w:rPr>
          <w:sz w:val="20"/>
          <w:szCs w:val="20"/>
          <w:color w:val="auto"/>
        </w:rPr>
      </w:pPr>
    </w:p>
    <w:p>
      <w:pPr>
        <w:ind w:left="1120" w:right="939" w:hanging="360"/>
        <w:spacing w:after="0" w:line="28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were allotted or issued, or are or were committed to be allotted or issued, at a discount to their nominal value (whether in dollars or equivalent in any other currency);</w:t>
      </w:r>
    </w:p>
    <w:p>
      <w:pPr>
        <w:spacing w:after="0" w:line="94" w:lineRule="exact"/>
        <w:rPr>
          <w:rFonts w:ascii="Times New Roman" w:cs="Times New Roman" w:eastAsia="Times New Roman" w:hAnsi="Times New Roman"/>
          <w:sz w:val="18"/>
          <w:szCs w:val="18"/>
          <w:color w:val="auto"/>
        </w:rPr>
      </w:pPr>
    </w:p>
    <w:p>
      <w:pPr>
        <w:ind w:left="1120" w:right="559" w:hanging="360"/>
        <w:spacing w:after="0" w:line="256"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19" w:lineRule="exact"/>
        <w:rPr>
          <w:rFonts w:ascii="Times New Roman" w:cs="Times New Roman" w:eastAsia="Times New Roman" w:hAnsi="Times New Roman"/>
          <w:sz w:val="18"/>
          <w:szCs w:val="18"/>
          <w:color w:val="auto"/>
        </w:rPr>
      </w:pPr>
    </w:p>
    <w:p>
      <w:pPr>
        <w:ind w:left="1120" w:right="539" w:hanging="360"/>
        <w:spacing w:after="0" w:line="28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Shares, the Company is not carrying on a regulated activity for the purposes of section 19 of FSMA;</w:t>
      </w:r>
    </w:p>
    <w:p>
      <w:pPr>
        <w:spacing w:after="0" w:line="80" w:lineRule="exact"/>
        <w:rPr>
          <w:rFonts w:ascii="Times New Roman" w:cs="Times New Roman" w:eastAsia="Times New Roman" w:hAnsi="Times New Roman"/>
          <w:sz w:val="18"/>
          <w:szCs w:val="18"/>
          <w:color w:val="auto"/>
        </w:rPr>
      </w:pPr>
    </w:p>
    <w:p>
      <w:pPr>
        <w:ind w:left="1120" w:right="579" w:hanging="360"/>
        <w:spacing w:after="0" w:line="266"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was consistent with all such laws and regulations;</w:t>
      </w:r>
    </w:p>
    <w:p>
      <w:pPr>
        <w:spacing w:after="0" w:line="108" w:lineRule="exact"/>
        <w:rPr>
          <w:rFonts w:ascii="Times New Roman" w:cs="Times New Roman" w:eastAsia="Times New Roman" w:hAnsi="Times New Roman"/>
          <w:sz w:val="18"/>
          <w:szCs w:val="18"/>
          <w:color w:val="auto"/>
        </w:rPr>
      </w:pPr>
    </w:p>
    <w:p>
      <w:pPr>
        <w:ind w:left="1120" w:right="499" w:hanging="360"/>
        <w:spacing w:after="0" w:line="261"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allotted and issued in good faith and on bona fide commercial terms and on arms’ length terms and for the purpose of carrying on the business of the Company and that there were reasonable grounds for believing that the allotment and issue of the Shares would promote the success of the Company for the benefit of its members as a whole; and</w:t>
      </w:r>
    </w:p>
    <w:p>
      <w:pPr>
        <w:spacing w:after="0" w:line="112" w:lineRule="exact"/>
        <w:rPr>
          <w:rFonts w:ascii="Times New Roman" w:cs="Times New Roman" w:eastAsia="Times New Roman" w:hAnsi="Times New Roman"/>
          <w:sz w:val="18"/>
          <w:szCs w:val="18"/>
          <w:color w:val="auto"/>
        </w:rPr>
      </w:pPr>
    </w:p>
    <w:p>
      <w:pPr>
        <w:ind w:left="1120" w:right="779" w:hanging="360"/>
        <w:spacing w:after="0" w:line="28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w:t>
      </w:r>
    </w:p>
    <w:p>
      <w:pPr>
        <w:spacing w:after="0" w:line="80" w:lineRule="exact"/>
        <w:rPr>
          <w:rFonts w:ascii="Times New Roman" w:cs="Times New Roman" w:eastAsia="Times New Roman" w:hAnsi="Times New Roman"/>
          <w:sz w:val="18"/>
          <w:szCs w:val="18"/>
          <w:color w:val="auto"/>
        </w:rPr>
      </w:pPr>
    </w:p>
    <w:p>
      <w:pPr>
        <w:ind w:left="1480" w:right="899" w:hanging="360"/>
        <w:spacing w:after="0" w:line="282" w:lineRule="auto"/>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administration, winding up, dissolution, reorganisation or bankruptcy or similar procedures in other relevant jurisdictions, of; or</w:t>
      </w:r>
    </w:p>
    <w:p>
      <w:pPr>
        <w:spacing w:after="0" w:line="94" w:lineRule="exact"/>
        <w:rPr>
          <w:rFonts w:ascii="Times New Roman" w:cs="Times New Roman" w:eastAsia="Times New Roman" w:hAnsi="Times New Roman"/>
          <w:sz w:val="18"/>
          <w:szCs w:val="18"/>
          <w:color w:val="auto"/>
        </w:rPr>
      </w:pPr>
    </w:p>
    <w:p>
      <w:pPr>
        <w:ind w:left="1480" w:hanging="360"/>
        <w:spacing w:after="0"/>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moratorium in respect of; or</w:t>
      </w:r>
    </w:p>
    <w:p>
      <w:pPr>
        <w:spacing w:after="0" w:line="157" w:lineRule="exact"/>
        <w:rPr>
          <w:rFonts w:ascii="Times New Roman" w:cs="Times New Roman" w:eastAsia="Times New Roman" w:hAnsi="Times New Roman"/>
          <w:sz w:val="18"/>
          <w:szCs w:val="18"/>
          <w:color w:val="auto"/>
        </w:rPr>
      </w:pPr>
    </w:p>
    <w:p>
      <w:pPr>
        <w:ind w:left="1480" w:right="939" w:hanging="360"/>
        <w:spacing w:after="0" w:line="282" w:lineRule="auto"/>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liquidator, receiver, trustee, administrator, administrative receiver, monitor or similar officer of,</w:t>
      </w:r>
    </w:p>
    <w:p>
      <w:pPr>
        <w:spacing w:after="0" w:line="81" w:lineRule="exact"/>
        <w:rPr>
          <w:sz w:val="20"/>
          <w:szCs w:val="20"/>
          <w:color w:val="auto"/>
        </w:rPr>
      </w:pPr>
    </w:p>
    <w:p>
      <w:pPr>
        <w:ind w:left="1120" w:right="459"/>
        <w:spacing w:after="0" w:line="254" w:lineRule="auto"/>
        <w:rPr>
          <w:sz w:val="20"/>
          <w:szCs w:val="20"/>
          <w:color w:val="auto"/>
        </w:rPr>
      </w:pPr>
      <w:r>
        <w:rPr>
          <w:rFonts w:ascii="Times New Roman" w:cs="Times New Roman" w:eastAsia="Times New Roman" w:hAnsi="Times New Roman"/>
          <w:sz w:val="18"/>
          <w:szCs w:val="18"/>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monitor, administrator, administrative receiver or similar officer has been made with respect to the Company), and such actions and steps were not taken as at any Allotment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58" w:lineRule="exact"/>
        <w:rPr>
          <w:sz w:val="20"/>
          <w:szCs w:val="20"/>
          <w:color w:val="auto"/>
        </w:rPr>
      </w:pPr>
    </w:p>
    <w:p>
      <w:pPr>
        <w:ind w:left="1120" w:right="559" w:hanging="360"/>
        <w:spacing w:after="0" w:line="259"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3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w:t>
      </w:r>
    </w:p>
    <w:p>
      <w:pPr>
        <w:spacing w:after="0" w:line="144" w:lineRule="exact"/>
        <w:rPr>
          <w:sz w:val="20"/>
          <w:szCs w:val="20"/>
          <w:color w:val="auto"/>
        </w:rPr>
      </w:pPr>
    </w:p>
    <w:p>
      <w:pPr>
        <w:ind w:left="1480" w:right="1079" w:hanging="360"/>
        <w:spacing w:after="0" w:line="266"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106" w:lineRule="exact"/>
        <w:rPr>
          <w:rFonts w:ascii="Times New Roman" w:cs="Times New Roman" w:eastAsia="Times New Roman" w:hAnsi="Times New Roman"/>
          <w:sz w:val="18"/>
          <w:szCs w:val="18"/>
          <w:color w:val="auto"/>
        </w:rPr>
      </w:pPr>
    </w:p>
    <w:p>
      <w:pPr>
        <w:ind w:left="1480" w:right="519" w:hanging="360"/>
        <w:spacing w:after="0" w:line="261"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18"/>
          <w:szCs w:val="18"/>
          <w:color w:val="auto"/>
        </w:rPr>
        <w:t xml:space="preserve">operation </w:t>
      </w:r>
      <w:r>
        <w:rPr>
          <w:rFonts w:ascii="Times New Roman" w:cs="Times New Roman" w:eastAsia="Times New Roman" w:hAnsi="Times New Roman"/>
          <w:sz w:val="18"/>
          <w:szCs w:val="18"/>
          <w:i w:val="1"/>
          <w:iCs w:val="1"/>
          <w:color w:val="auto"/>
        </w:rPr>
        <w:t>between courts exercising 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 any relevant country or territory;</w:t>
      </w:r>
    </w:p>
    <w:p>
      <w:pPr>
        <w:spacing w:after="0" w:line="114" w:lineRule="exact"/>
        <w:rPr>
          <w:rFonts w:ascii="Times New Roman" w:cs="Times New Roman" w:eastAsia="Times New Roman" w:hAnsi="Times New Roman"/>
          <w:sz w:val="18"/>
          <w:szCs w:val="18"/>
          <w:color w:val="auto"/>
        </w:rPr>
      </w:pPr>
    </w:p>
    <w:p>
      <w:pPr>
        <w:ind w:left="1120" w:hanging="360"/>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44" w:lineRule="exact"/>
        <w:rPr>
          <w:rFonts w:ascii="Times New Roman" w:cs="Times New Roman" w:eastAsia="Times New Roman" w:hAnsi="Times New Roman"/>
          <w:sz w:val="18"/>
          <w:szCs w:val="18"/>
          <w:color w:val="auto"/>
        </w:rPr>
      </w:pPr>
    </w:p>
    <w:p>
      <w:pPr>
        <w:ind w:left="1120" w:right="499" w:hanging="360"/>
        <w:spacing w:after="0" w:line="263" w:lineRule="auto"/>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332" w:lineRule="exact"/>
        <w:rPr>
          <w:rFonts w:ascii="Times New Roman" w:cs="Times New Roman" w:eastAsia="Times New Roman" w:hAnsi="Times New Roman"/>
          <w:sz w:val="18"/>
          <w:szCs w:val="18"/>
          <w:color w:val="auto"/>
        </w:rPr>
      </w:pPr>
    </w:p>
    <w:p>
      <w:pPr>
        <w:ind w:left="1120" w:right="459" w:hanging="360"/>
        <w:spacing w:after="0" w:line="253" w:lineRule="auto"/>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 exited the European Union on 31 January 2020. By virtue of sections 1A and 1B of the European Union (Withdrawal) Act 2018 (as amended by the European Union (Withdrawal Agreement) Act 2020) (the “EUWA”), European Union law continued to be applicable to the United Kingdom for the duration of the implementation period set out in section 1A(6) of the EUWA. After the implementation period, pursuant to and in accordance with sections 2 to 4 of the EUWA, EU legislation, so far as operative immediately before the end of the implementation period, forms part of domestic law on and after the day on which the implementation period ends. However, European Union law otherwise ceased to be applicable in the United Kingdom (and thus does not form part of English law) on and after 1 January 2021. We therefore express no opinion in this letter on the effect of European Union law in the United Kingdom or on European Union law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266065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3" w:right="1440" w:bottom="1440" w:gutter="0" w:footer="0" w:header="0"/>
        </w:sectPr>
      </w:pPr>
    </w:p>
    <w:bookmarkStart w:id="59" w:name="page60"/>
    <w:bookmarkEnd w:id="59"/>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left="400" w:right="459" w:firstLine="36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to Form F-1 on Form S-3 of Verona Pharma plc of our report dated February 25, 2021 relating to the financial statements, which appears in Verona Pharma plc’s Annual Report on Form 10-K for the year ended December 31, 2020. We also consent to the reference to us under the heading “Experts” in such Registration Statement.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6472555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9019"/>
      </w:cols>
      <w:pgMar w:left="1440" w:top="11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1)"/>
      <w:numFmt w:val="decimal"/>
      <w:start w:val="9"/>
    </w:lvl>
  </w:abstractNum>
  <w:abstractNum w:abstractNumId="27">
    <w:nsid w:val="70A64E2A"/>
    <w:multiLevelType w:val="hybridMultilevel"/>
    <w:lvl w:ilvl="0">
      <w:lvlJc w:val="left"/>
      <w:lvlText w:val="(%1)"/>
      <w:numFmt w:val="decimal"/>
      <w:start w:val="20"/>
    </w:lvl>
  </w:abstractNum>
  <w:abstractNum w:abstractNumId="28">
    <w:nsid w:val="6A2342EC"/>
    <w:multiLevelType w:val="hybridMultilevel"/>
    <w:lvl w:ilvl="0">
      <w:lvlJc w:val="left"/>
      <w:lvlText w:val="(%1)"/>
      <w:numFmt w:val="decimal"/>
      <w:start w:val="28"/>
    </w:lvl>
  </w:abstractNum>
  <w:abstractNum w:abstractNumId="29">
    <w:nsid w:val="2A487CB0"/>
    <w:multiLevelType w:val="hybridMultilevel"/>
    <w:lvl w:ilvl="0">
      <w:lvlJc w:val="left"/>
      <w:lvlText w:val="(%1)"/>
      <w:numFmt w:val="lowerLetter"/>
      <w:start w:val="7"/>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lowerRoman"/>
      <w:start w:val="3"/>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6DE91B18"/>
    <w:multiLevelType w:val="hybridMultilevel"/>
    <w:lvl w:ilvl="0">
      <w:lvlJc w:val="left"/>
      <w:lvlText w:val="(%1)"/>
      <w:numFmt w:val="lowerRoman"/>
      <w:start w:val="3"/>
    </w:lvl>
  </w:abstractNum>
  <w:abstractNum w:abstractNumId="38">
    <w:nsid w:val="38437FDB"/>
    <w:multiLevelType w:val="hybridMultilevel"/>
    <w:lvl w:ilvl="0">
      <w:lvlJc w:val="left"/>
      <w:lvlText w:val="(%1)"/>
      <w:numFmt w:val="decimal"/>
      <w:start w:val="2"/>
    </w:lvl>
  </w:abstractNum>
  <w:abstractNum w:abstractNumId="39">
    <w:nsid w:val="7644A45C"/>
    <w:multiLevelType w:val="hybridMultilevel"/>
    <w:lvl w:ilvl="0">
      <w:lvlJc w:val="left"/>
      <w:lvlText w:val="(%1)"/>
      <w:numFmt w:val="decimal"/>
      <w:start w:val="5"/>
    </w:lvl>
    <w:lvl w:ilvl="1">
      <w:lvlJc w:val="left"/>
      <w:lvlText w:val="(%2)"/>
      <w:numFmt w:val="upperLetter"/>
      <w:start w:val="1"/>
    </w:lvl>
  </w:abstractNum>
  <w:abstractNum w:abstractNumId="40">
    <w:nsid w:val="32FFF902"/>
    <w:multiLevelType w:val="hybridMultilevel"/>
    <w:lvl w:ilvl="0">
      <w:lvlJc w:val="left"/>
      <w:lvlText w:val="%1"/>
      <w:numFmt w:val="lowerLetter"/>
      <w:start w:val="1"/>
    </w:lvl>
    <w:lvl w:ilvl="1">
      <w:lvlJc w:val="left"/>
      <w:lvlText w:val="(%2)"/>
      <w:numFmt w:val="lowerRoman"/>
      <w:start w:val="1"/>
    </w:lvl>
  </w:abstractNum>
  <w:abstractNum w:abstractNumId="41">
    <w:nsid w:val="684A481A"/>
    <w:multiLevelType w:val="hybridMultilevel"/>
    <w:lvl w:ilvl="0">
      <w:lvlJc w:val="left"/>
      <w:lvlText w:val="(%1)"/>
      <w:numFmt w:val="lowerLetter"/>
      <w:start w:val="2"/>
    </w:lvl>
    <w:lvl w:ilvl="1">
      <w:lvlJc w:val="left"/>
      <w:lvlText w:val="%2"/>
      <w:numFmt w:val="lowerRoman"/>
      <w:start w:val="1"/>
    </w:lvl>
  </w:abstractNum>
  <w:abstractNum w:abstractNumId="42">
    <w:nsid w:val="579478FE"/>
    <w:multiLevelType w:val="hybridMultilevel"/>
    <w:lvl w:ilvl="0">
      <w:lvlJc w:val="left"/>
      <w:lvlText w:val="(%1)"/>
      <w:numFmt w:val="lowerLetter"/>
      <w:start w:val="8"/>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2"/>
    </w:lvl>
    <w:lvl w:ilvl="1">
      <w:lvlJc w:val="left"/>
      <w:lvlText w:val="(%2)"/>
      <w:numFmt w:val="lowerLetter"/>
      <w:start w:val="1"/>
    </w:lvl>
  </w:abstractNum>
  <w:abstractNum w:abstractNumId="49">
    <w:nsid w:val="70C6A529"/>
    <w:multiLevelType w:val="hybridMultilevel"/>
    <w:lvl w:ilvl="0">
      <w:lvlJc w:val="left"/>
      <w:lvlText w:val="(%1)"/>
      <w:numFmt w:val="lowerLetter"/>
      <w:start w:val="3"/>
    </w:lvl>
  </w:abstractNum>
  <w:abstractNum w:abstractNumId="50">
    <w:nsid w:val="520EEDD1"/>
    <w:multiLevelType w:val="hybridMultilevel"/>
    <w:lvl w:ilvl="0">
      <w:lvlJc w:val="left"/>
      <w:lvlText w:val="%1."/>
      <w:numFmt w:val="decimal"/>
      <w:start w:val="3"/>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10"/>
    </w:lvl>
    <w:lvl w:ilvl="1">
      <w:lvlJc w:val="left"/>
      <w:lvlText w:val="(%2)"/>
      <w:numFmt w:val="lowerRoman"/>
      <w:start w:val="1"/>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1"/>
    </w:lvl>
    <w:lvl w:ilvl="1">
      <w:lvlJc w:val="left"/>
      <w:lvlText w:val="(%2)"/>
      <w:numFmt w:val="lowerRoman"/>
      <w:start w:val="1"/>
    </w:lvl>
  </w:abstractNum>
  <w:abstractNum w:abstractNumId="55">
    <w:nsid w:val="275AC79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jpeg"/><Relationship Id="rId102" Type="http://schemas.openxmlformats.org/officeDocument/2006/relationships/image" Target="media/image83.png"/><Relationship Id="rId103" Type="http://schemas.openxmlformats.org/officeDocument/2006/relationships/image" Target="media/image84.jpeg"/><Relationship Id="rId104" Type="http://schemas.openxmlformats.org/officeDocument/2006/relationships/image" Target="media/image85.jpeg"/><Relationship Id="rId105" Type="http://schemas.openxmlformats.org/officeDocument/2006/relationships/image" Target="media/image86.png"/><Relationship Id="rId106" Type="http://schemas.openxmlformats.org/officeDocument/2006/relationships/image" Target="media/image87.jpe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4" Type="http://schemas.openxmlformats.org/officeDocument/2006/relationships/hyperlink" Target="http://www.sec.gov/Archives/edgar/data/1657312/000110465920095810/tm2027314-1_f1.htm" TargetMode="External"/><Relationship Id="rId15" Type="http://schemas.openxmlformats.org/officeDocument/2006/relationships/hyperlink" Target="http://www.sec.gov/Archives/edgar/data/1472033/000119380517000655/e616040_f6-vp.htm" TargetMode="External"/><Relationship Id="rId21" Type="http://schemas.openxmlformats.org/officeDocument/2006/relationships/hyperlink" Target="http://www.sec.gov/ix?doc=/Archives/edgar/data/1657312/000165731221000004/vrna-20201231.htm" TargetMode="External"/><Relationship Id="rId22" Type="http://schemas.openxmlformats.org/officeDocument/2006/relationships/hyperlink" Target="http://www.sec.gov/Archives/edgar/data/1657312/000110465921039049/tm219611-1_def14a.htm" TargetMode="External"/><Relationship Id="rId23" Type="http://schemas.openxmlformats.org/officeDocument/2006/relationships/hyperlink" Target="http://www.sec.gov/Archives/edgar/data/1657312/000110465921030453/tm218427d1_8k.htm" TargetMode="External"/><Relationship Id="rId24" Type="http://schemas.openxmlformats.org/officeDocument/2006/relationships/hyperlink" Target="http://www.sec.gov/Archives/edgar/data/1657312/000110465917024500/a16-21903_58a12b.htm" TargetMode="External"/><Relationship Id="rId85" Type="http://schemas.openxmlformats.org/officeDocument/2006/relationships/hyperlink" Target="http://www.sec.gov/Archives/edgar/data/1657312/000110465920140541/tm2039594d1_ex1.htm" TargetMode="External"/><Relationship Id="rId86" Type="http://schemas.openxmlformats.org/officeDocument/2006/relationships/hyperlink" Target="http://www.sec.gov/Archives/edgar/data/1657312/000165731218000006/exhibit21depositagreemen.htm" TargetMode="External"/><Relationship Id="rId87" Type="http://schemas.openxmlformats.org/officeDocument/2006/relationships/hyperlink" Target="http://www.sec.gov/Archives/edgar/data/1657312/000104746917002313/a2231519zex-10_1.htm" TargetMode="External"/><Relationship Id="rId88" Type="http://schemas.openxmlformats.org/officeDocument/2006/relationships/hyperlink" Target="http://www.sec.gov/Archives/edgar/data/1657312/000110465920085620/tm2025101d2_ex2.htm" TargetMode="External"/><Relationship Id="rId89" Type="http://schemas.openxmlformats.org/officeDocument/2006/relationships/hyperlink" Target="http://www.sec.gov/Archives/edgar/data/1657312/000110465920098365/tm2027314d4_ex5-1.htm" TargetMode="External"/><Relationship Id="rId90" Type="http://schemas.openxmlformats.org/officeDocument/2006/relationships/hyperlink" Target="http://www.sec.gov/Archives/edgar/data/1657312/000110465920098365/tm2027314-3_f1a.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2021-03-19T15:58:09Z</dcterms:created>
  <dcterms:modified xsi:type="dcterms:W3CDTF">2021-03-19T15:58:09Z</dcterms:modified>
</cp:coreProperties>
</file>