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432,928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17,342,872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the Form 4 were effected pursuant to a Rule 10b5-1 instruction solely with the intent to cover taxes in connection with the vesting of certain previously reported Restricted Share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8,223,680 Ordinary Shares underlying Restricted Share Units, each of which represents a contingent right to receive one (1) Ordinary Share of the Issuer (which are represented by 1,027,960 ADSs); and (ii) 9,119,192 Ordinary Shares underlying 1,139,899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2023-02-03T17:20:33Z</dcterms:created>
  <dcterms:modified xsi:type="dcterms:W3CDTF">2023-02-03T17:20:33Z</dcterms:modified>
</cp:coreProperties>
</file>