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Verona Pharma plc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001-38067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98-1489389</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Written communications pursuant to Rule 425 under the Securities Act (17 CFR 230.425)</w:t>
      </w:r>
    </w:p>
    <w:p>
      <w:pPr>
        <w:spacing w:after="0" w:line="232"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Soliciting material pursuant to Rule 14a-12 under the Exchange Act (17 CFR 240.14a-12)</w:t>
      </w:r>
    </w:p>
    <w:p>
      <w:pPr>
        <w:spacing w:after="0" w:line="218"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Pre-commencement communications pursuant to Rule 14d-2(b) under the Exchange Act (17 CFR 240.14d-2(b))</w:t>
      </w:r>
    </w:p>
    <w:p>
      <w:pPr>
        <w:spacing w:after="0" w:line="232"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Pre-commencement communications pursuant to Rule 13e-4(c) under the Exchange Act (17 CFR 240.13e-4(c))</w:t>
      </w: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195"/>
        </w:trPr>
        <w:tc>
          <w:tcPr>
            <w:tcW w:w="4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VRNA</w:t>
            </w:r>
          </w:p>
        </w:tc>
        <w:tc>
          <w:tcPr>
            <w:tcW w:w="3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2" w:lineRule="exact"/>
        <w:rPr>
          <w:sz w:val="24"/>
          <w:szCs w:val="24"/>
          <w:color w:val="auto"/>
        </w:rPr>
      </w:pPr>
    </w:p>
    <w:p>
      <w:pPr>
        <w:jc w:val="both"/>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11, 2023, Verona Pharma plc (the “Company”) announced that the U.S. Food and Drug Administration (“FDA”) has accepted for review the Company’s New Drug Application (“NDA”) for ensifentrine for the maintenance treatment of patients with chronic obstructive pulmonary disease. The FDA has assigned a Prescription Drug User Fee Act target action date of June 26, 2024 and is not currently planning to hold an advisory committee meeting to discuss the 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September 11, 2023</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w:t>
            </w:r>
          </w:p>
        </w:tc>
      </w:tr>
      <w:tr>
        <w:trPr>
          <w:trHeight w:val="195"/>
        </w:trPr>
        <w:tc>
          <w:tcPr>
            <w:tcW w:w="3820" w:type="dxa"/>
            <w:vAlign w:val="bottom"/>
          </w:tcPr>
          <w:p>
            <w:pPr>
              <w:spacing w:after="0"/>
              <w:rPr>
                <w:sz w:val="16"/>
                <w:szCs w:val="16"/>
                <w:color w:val="auto"/>
              </w:rPr>
            </w:pPr>
          </w:p>
        </w:tc>
        <w:tc>
          <w:tcPr>
            <w:tcW w:w="248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Zaccardelli, Pharm.D.</w:t>
            </w:r>
          </w:p>
        </w:tc>
      </w:tr>
      <w:tr>
        <w:trPr>
          <w:trHeight w:val="230"/>
        </w:trPr>
        <w:tc>
          <w:tcPr>
            <w:tcW w:w="38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2023-09-11T05:19:23Z</dcterms:created>
  <dcterms:modified xsi:type="dcterms:W3CDTF">2023-09-11T05:19:23Z</dcterms:modified>
</cp:coreProperties>
</file>