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tm2314094-3_4seq1.xml.htm"/>
      <w:bookmarkStart w:id="1" w:name="kstm23140943_4seq1"/>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Deschamps Lisa</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 MORE LONDON RIVERSIDE</w:t>
                  </w:r>
                </w:p>
              </w:tc>
            </w:tr>
            <w:tr>
              <w:trPr/>
              <w:tc>
                <w:tcPr>
                  <w:tcW w:w="3451"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LONDON</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X0</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SE1 2RE</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Verona Pharma plc</w:t>
              </w:r>
            </w:hyperlink>
            <w:r>
              <w:rPr/>
              <w:t xml:space="preserve"> [ </w:t>
            </w:r>
            <w:r>
              <w:rPr>
                <w:rFonts w:ascii="Times;serif" w:hAnsi="Times;serif"/>
                <w:color w:val="0000FF"/>
                <w:sz w:val="24"/>
                <w:highlight w:val="white"/>
              </w:rPr>
              <w:t>VRNA</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1"/>
              <w:gridCol w:w="440"/>
              <w:gridCol w:w="1031"/>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04/28/2023</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4"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02"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02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7"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12119" w:type="dxa"/>
        <w:jc w:val="left"/>
        <w:tblInd w:w="0" w:type="dxa"/>
        <w:tblCellMar>
          <w:top w:w="60" w:type="dxa"/>
          <w:left w:w="60" w:type="dxa"/>
          <w:bottom w:w="60" w:type="dxa"/>
          <w:right w:w="60" w:type="dxa"/>
        </w:tblCellMar>
      </w:tblPr>
      <w:tblGrid>
        <w:gridCol w:w="815"/>
        <w:gridCol w:w="861"/>
        <w:gridCol w:w="891"/>
        <w:gridCol w:w="771"/>
        <w:gridCol w:w="591"/>
        <w:gridCol w:w="300"/>
        <w:gridCol w:w="771"/>
        <w:gridCol w:w="276"/>
        <w:gridCol w:w="906"/>
        <w:gridCol w:w="801"/>
        <w:gridCol w:w="861"/>
        <w:gridCol w:w="861"/>
        <w:gridCol w:w="801"/>
        <w:gridCol w:w="936"/>
        <w:gridCol w:w="831"/>
        <w:gridCol w:w="846"/>
      </w:tblGrid>
      <w:tr>
        <w:trPr>
          <w:tblHeader w:val="true"/>
        </w:trPr>
        <w:tc>
          <w:tcPr>
            <w:tcW w:w="12119"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4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2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77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86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815"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Share Options (Right to Buy)</w:t>
            </w:r>
          </w:p>
        </w:tc>
        <w:tc>
          <w:tcPr>
            <w:tcW w:w="8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2.67</w:t>
            </w:r>
            <w:r>
              <w:rPr>
                <w:rFonts w:ascii="Times;serif" w:hAnsi="Times;serif"/>
                <w:color w:val="008000"/>
                <w:position w:val="7"/>
                <w:sz w:val="16"/>
                <w:sz w:val="20"/>
                <w:highlight w:val="white"/>
              </w:rPr>
              <w:t>(1)</w:t>
            </w:r>
            <w:r>
              <w:rPr/>
              <w:t xml:space="preserve"> </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04/28/2023</w:t>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A</w:t>
            </w:r>
          </w:p>
        </w:tc>
        <w:tc>
          <w:tcPr>
            <w:tcW w:w="30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96,000</w:t>
            </w:r>
            <w:r>
              <w:rPr>
                <w:rFonts w:ascii="Times;serif" w:hAnsi="Times;serif"/>
                <w:color w:val="008000"/>
                <w:position w:val="7"/>
                <w:sz w:val="16"/>
                <w:sz w:val="20"/>
                <w:highlight w:val="white"/>
              </w:rPr>
              <w:t>(1)</w:t>
            </w:r>
            <w:r>
              <w:rPr/>
              <w:t xml:space="preserve"> </w:t>
            </w:r>
          </w:p>
        </w:tc>
        <w:tc>
          <w:tcPr>
            <w:tcW w:w="27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(2)</w:t>
            </w:r>
            <w:r>
              <w:rPr/>
              <w:t xml:space="preserve"> </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04/27/2033</w:t>
            </w:r>
          </w:p>
        </w:tc>
        <w:tc>
          <w:tcPr>
            <w:tcW w:w="8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Ordinary Shares</w:t>
            </w:r>
          </w:p>
        </w:tc>
        <w:tc>
          <w:tcPr>
            <w:tcW w:w="8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96,000</w:t>
            </w:r>
            <w:r>
              <w:rPr>
                <w:rFonts w:ascii="Times;serif" w:hAnsi="Times;serif"/>
                <w:color w:val="008000"/>
                <w:position w:val="7"/>
                <w:sz w:val="16"/>
                <w:sz w:val="20"/>
                <w:highlight w:val="white"/>
              </w:rPr>
              <w:t>(1)</w:t>
            </w:r>
            <w:r>
              <w:rPr/>
              <w:t xml:space="preserve"> </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w:t>
            </w:r>
            <w:r>
              <w:rPr/>
              <w:t xml:space="preserve"> </w:t>
            </w:r>
          </w:p>
        </w:tc>
        <w:tc>
          <w:tcPr>
            <w:tcW w:w="93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96,000</w:t>
            </w:r>
            <w:r>
              <w:rPr>
                <w:rFonts w:ascii="Times;serif" w:hAnsi="Times;serif"/>
                <w:color w:val="008000"/>
                <w:position w:val="7"/>
                <w:sz w:val="16"/>
                <w:sz w:val="20"/>
                <w:highlight w:val="white"/>
              </w:rPr>
              <w:t>(1)</w:t>
            </w:r>
            <w:r>
              <w:rPr/>
              <w:t xml:space="preserve"> </w:t>
            </w:r>
          </w:p>
        </w:tc>
        <w:tc>
          <w:tcPr>
            <w:tcW w:w="83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The number of securities underlying the option and the exercise price therefor are listed in terms of Ordinary Shares, however, each security is represented by American Depositary Shares ("ADSs"), each of which represents eight (8) Ordinary Shares of the Issuer.</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The option vests and becomes exercisable as to 25% on each of July 28, 2023, October 28, 2023, January 28, 2024 and April 28, 2024.</w:t>
            </w:r>
          </w:p>
        </w:tc>
      </w:tr>
    </w:tbl>
    <w:tbl>
      <w:tblPr>
        <w:tblW w:w="5000" w:type="pct"/>
        <w:jc w:val="left"/>
        <w:tblInd w:w="0" w:type="dxa"/>
        <w:tblCellMar>
          <w:top w:w="28" w:type="dxa"/>
          <w:left w:w="28" w:type="dxa"/>
          <w:bottom w:w="28" w:type="dxa"/>
          <w:right w:w="28" w:type="dxa"/>
        </w:tblCellMar>
      </w:tblPr>
      <w:tblGrid>
        <w:gridCol w:w="6124"/>
        <w:gridCol w:w="2040"/>
        <w:gridCol w:w="2041"/>
      </w:tblGrid>
      <w:tr>
        <w:trPr/>
        <w:tc>
          <w:tcPr>
            <w:tcW w:w="6124" w:type="dxa"/>
            <w:tcBorders/>
            <w:shd w:fill="auto" w:val="clear"/>
            <w:vAlign w:val="center"/>
          </w:tcPr>
          <w:p>
            <w:pPr>
              <w:pStyle w:val="TableContents"/>
              <w:spacing w:before="0" w:after="283"/>
              <w:rPr>
                <w:sz w:val="4"/>
                <w:szCs w:val="4"/>
              </w:rPr>
            </w:pPr>
            <w:r>
              <w:rPr>
                <w:sz w:val="4"/>
                <w:szCs w:val="4"/>
              </w:rPr>
            </w:r>
          </w:p>
        </w:tc>
        <w:tc>
          <w:tcPr>
            <w:tcW w:w="2040"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Claire Poll, Attorney-in-fact for Lisa Deschamps</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04/28/2023</w:t>
            </w:r>
          </w:p>
        </w:tc>
      </w:tr>
      <w:tr>
        <w:trPr/>
        <w:tc>
          <w:tcPr>
            <w:tcW w:w="6124" w:type="dxa"/>
            <w:tcBorders/>
            <w:shd w:fill="auto" w:val="clear"/>
            <w:vAlign w:val="center"/>
          </w:tcPr>
          <w:p>
            <w:pPr>
              <w:pStyle w:val="TableContents"/>
              <w:spacing w:before="0" w:after="283"/>
              <w:rPr>
                <w:sz w:val="4"/>
                <w:szCs w:val="4"/>
              </w:rPr>
            </w:pPr>
            <w:r>
              <w:rPr>
                <w:sz w:val="4"/>
                <w:szCs w:val="4"/>
              </w:rPr>
            </w:r>
          </w:p>
        </w:tc>
        <w:tc>
          <w:tcPr>
            <w:tcW w:w="204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47538" TargetMode="External"/><Relationship Id="rId4" Type="http://schemas.openxmlformats.org/officeDocument/2006/relationships/hyperlink" Target="http://www.sec.gov/cgi-bin/browse-edgar?action=getcompany&amp;CIK=0001657312"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593</Words>
  <CharactersWithSpaces>3743</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