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Hahn Mark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08/01/2021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00" w:type="dxa"/>
            <w:vAlign w:val="bottom"/>
            <w:tcBorders>
              <w:bottom w:val="single" w:sz="8" w:color="2C2C2C"/>
            </w:tcBorders>
          </w:tcPr>
          <w:p>
            <w:pPr>
              <w:jc w:val="right"/>
              <w:ind w:right="29"/>
              <w:spacing w:after="0"/>
              <w:rPr>
                <w:sz w:val="20"/>
                <w:szCs w:val="20"/>
                <w:color w:val="auto"/>
              </w:rPr>
            </w:pPr>
            <w:r>
              <w:rPr>
                <w:rFonts w:ascii="Arial" w:cs="Arial" w:eastAsia="Arial" w:hAnsi="Arial"/>
                <w:sz w:val="17"/>
                <w:szCs w:val="17"/>
                <w:color w:val="0000FF"/>
              </w:rPr>
              <w:t>454,840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0.785</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16,466,800</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7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08/02/2021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10,416</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0.767</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jc w:val="center"/>
              <w:ind w:right="14"/>
              <w:spacing w:after="0"/>
              <w:rPr>
                <w:sz w:val="20"/>
                <w:szCs w:val="20"/>
                <w:color w:val="auto"/>
              </w:rPr>
            </w:pPr>
            <w:r>
              <w:rPr>
                <w:rFonts w:ascii="Arial" w:cs="Arial" w:eastAsia="Arial" w:hAnsi="Arial"/>
                <w:sz w:val="17"/>
                <w:szCs w:val="17"/>
                <w:color w:val="0000FF"/>
                <w:w w:val="98"/>
              </w:rPr>
              <w:t>16,456,384</w:t>
            </w:r>
            <w:r>
              <w:rPr>
                <w:rFonts w:ascii="Arial" w:cs="Arial" w:eastAsia="Arial" w:hAnsi="Arial"/>
                <w:sz w:val="22"/>
                <w:szCs w:val="22"/>
                <w:color w:val="008000"/>
                <w:w w:val="98"/>
                <w:vertAlign w:val="superscript"/>
              </w:rPr>
              <w:t>(6)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July 30, 2021 divided by eight (8).</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1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$0.7513 to $0.7838. The Reporting Person undertakes to provide upon request to the SEC staff, the Issuer, or any shareholder of the Issuer, full information regarding the number of securities sold at each separate price within the range set forth in this footnote 5.</w:t>
      </w:r>
    </w:p>
    <w:p>
      <w:pPr>
        <w:spacing w:after="0" w:line="2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11,612,088 Ordinary Shares underlying Restricted Share Units, each of which represents a contingent right to receive one (1) Ordinary Share of the Issuer (which are represented by 1,451,511 ADSs); and (ii) 4,844,296 Ordinary Shares underlying 605,537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08/03/2021</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2021-08-03T20:56:23Z</dcterms:created>
  <dcterms:modified xsi:type="dcterms:W3CDTF">2021-08-03T20:56:23Z</dcterms:modified>
</cp:coreProperties>
</file>