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40"/>
          <w:szCs w:val="40"/>
          <w:b w:val="1"/>
          <w:bCs w:val="1"/>
          <w:color w:val="auto"/>
        </w:rPr>
        <w:t>Verona Pharma plc</w:t>
      </w:r>
    </w:p>
    <w:p>
      <w:pPr>
        <w:spacing w:after="0" w:line="41"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Ordinary shares, nominal value £0.05 per share</w:t>
      </w:r>
    </w:p>
    <w:p>
      <w:pPr>
        <w:spacing w:after="0" w:line="25"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925050106**</w:t>
      </w:r>
    </w:p>
    <w:p>
      <w:pPr>
        <w:spacing w:after="0" w:line="25"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February 8, 2023</w:t>
      </w:r>
    </w:p>
    <w:p>
      <w:pPr>
        <w:spacing w:after="0" w:line="25"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44" w:hanging="204"/>
        <w:spacing w:after="0"/>
        <w:tabs>
          <w:tab w:leader="none" w:pos="64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644" w:hanging="204"/>
        <w:spacing w:after="0"/>
        <w:tabs>
          <w:tab w:leader="none" w:pos="64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96" w:lineRule="exact"/>
        <w:rPr>
          <w:sz w:val="24"/>
          <w:szCs w:val="24"/>
          <w:color w:val="auto"/>
        </w:rPr>
      </w:pPr>
    </w:p>
    <w:p>
      <w:pPr>
        <w:ind w:left="444"/>
        <w:spacing w:after="0" w:line="207" w:lineRule="exact"/>
        <w:rPr>
          <w:sz w:val="24"/>
          <w:szCs w:val="24"/>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280" w:lineRule="exact"/>
        <w:rPr>
          <w:sz w:val="24"/>
          <w:szCs w:val="24"/>
          <w:color w:val="auto"/>
        </w:rPr>
      </w:pPr>
    </w:p>
    <w:p>
      <w:pPr>
        <w:ind w:left="424" w:right="40" w:hanging="432"/>
        <w:spacing w:after="0" w:line="282" w:lineRule="auto"/>
        <w:rPr>
          <w:sz w:val="24"/>
          <w:szCs w:val="24"/>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8" w:lineRule="exact"/>
        <w:rPr>
          <w:sz w:val="24"/>
          <w:szCs w:val="24"/>
          <w:color w:val="auto"/>
        </w:rPr>
      </w:pPr>
    </w:p>
    <w:p>
      <w:pPr>
        <w:ind w:left="424"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number is for the American Depositary Shares that trade on the NASDAQ Global Market, each representing eight ordinary shares. No CUSIP number has been assigned to the ordinary shares.</w:t>
      </w:r>
    </w:p>
    <w:p>
      <w:pPr>
        <w:spacing w:after="0" w:line="162" w:lineRule="exact"/>
        <w:rPr>
          <w:sz w:val="24"/>
          <w:szCs w:val="24"/>
          <w:color w:val="auto"/>
        </w:rPr>
      </w:pPr>
    </w:p>
    <w:p>
      <w:pPr>
        <w:jc w:val="both"/>
        <w:ind w:left="4" w:right="4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as amended (the “Act”) or otherwise subject to the liabilities of the section of the Act but shall be subject to all other provisions of that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157480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200660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84"/>
          </w:cols>
          <w:pgMar w:left="436" w:top="511" w:right="47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925050106</w:t>
      </w:r>
    </w:p>
    <w:p>
      <w:pPr>
        <w:spacing w:after="0" w:line="266" w:lineRule="exact"/>
        <w:rPr>
          <w:sz w:val="20"/>
          <w:szCs w:val="20"/>
          <w:color w:val="auto"/>
        </w:rPr>
      </w:pPr>
    </w:p>
    <w:p>
      <w:pPr>
        <w:ind w:left="644" w:right="7460" w:hanging="397"/>
        <w:spacing w:after="0" w:line="406" w:lineRule="auto"/>
        <w:tabs>
          <w:tab w:leader="none" w:pos="6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AI Biotechnology LLC</w:t>
      </w:r>
    </w:p>
    <w:p>
      <w:pPr>
        <w:spacing w:after="0" w:line="1"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03"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64" w:hanging="417"/>
        <w:spacing w:after="0"/>
        <w:tabs>
          <w:tab w:leader="none" w:pos="6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7" w:lineRule="exact"/>
        <w:rPr>
          <w:rFonts w:ascii="Times New Roman" w:cs="Times New Roman" w:eastAsia="Times New Roman" w:hAnsi="Times New Roman"/>
          <w:sz w:val="18"/>
          <w:szCs w:val="18"/>
          <w:color w:val="auto"/>
        </w:rPr>
      </w:pPr>
    </w:p>
    <w:p>
      <w:pPr>
        <w:ind w:left="664" w:right="6520" w:hanging="417"/>
        <w:spacing w:after="0" w:line="406" w:lineRule="auto"/>
        <w:tabs>
          <w:tab w:leader="none" w:pos="6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State of Delaware</w:t>
      </w:r>
    </w:p>
    <w:p>
      <w:pPr>
        <w:spacing w:after="0" w:line="1" w:lineRule="exact"/>
        <w:rPr>
          <w:rFonts w:ascii="Times New Roman" w:cs="Times New Roman" w:eastAsia="Times New Roman" w:hAnsi="Times New Roman"/>
          <w:sz w:val="18"/>
          <w:szCs w:val="18"/>
          <w:color w:val="auto"/>
        </w:rPr>
      </w:pPr>
    </w:p>
    <w:p>
      <w:pPr>
        <w:ind w:left="2044" w:hanging="424"/>
        <w:spacing w:after="0"/>
        <w:tabs>
          <w:tab w:leader="none" w:pos="20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tcPr>
          <w:p>
            <w:pPr>
              <w:spacing w:after="0"/>
              <w:rPr>
                <w:sz w:val="18"/>
                <w:szCs w:val="18"/>
                <w:color w:val="auto"/>
              </w:rPr>
            </w:pPr>
          </w:p>
        </w:tc>
        <w:tc>
          <w:tcPr>
            <w:tcW w:w="9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32,946,296</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40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00" w:type="dxa"/>
            <w:vAlign w:val="bottom"/>
          </w:tcPr>
          <w:p>
            <w:pPr>
              <w:spacing w:after="0"/>
              <w:rPr>
                <w:sz w:val="19"/>
                <w:szCs w:val="19"/>
                <w:color w:val="auto"/>
              </w:rPr>
            </w:pPr>
          </w:p>
        </w:tc>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7"/>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44"/>
        <w:spacing w:after="0"/>
        <w:rPr>
          <w:sz w:val="20"/>
          <w:szCs w:val="20"/>
          <w:color w:val="auto"/>
        </w:rPr>
      </w:pPr>
      <w:r>
        <w:rPr>
          <w:rFonts w:ascii="Times New Roman" w:cs="Times New Roman" w:eastAsia="Times New Roman" w:hAnsi="Times New Roman"/>
          <w:sz w:val="18"/>
          <w:szCs w:val="18"/>
          <w:color w:val="auto"/>
        </w:rPr>
        <w:t>32,946,296</w:t>
      </w:r>
    </w:p>
    <w:p>
      <w:pPr>
        <w:spacing w:after="0" w:line="36" w:lineRule="exact"/>
        <w:rPr>
          <w:sz w:val="20"/>
          <w:szCs w:val="20"/>
          <w:color w:val="auto"/>
        </w:rPr>
      </w:pPr>
    </w:p>
    <w:p>
      <w:pPr>
        <w:ind w:left="664" w:right="3660" w:hanging="417"/>
        <w:spacing w:after="0" w:line="406" w:lineRule="auto"/>
        <w:tabs>
          <w:tab w:leader="none" w:pos="65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32,946,296</w:t>
      </w:r>
    </w:p>
    <w:p>
      <w:pPr>
        <w:spacing w:after="0" w:line="1"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04"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5.45%</w:t>
      </w:r>
      <w:r>
        <w:rPr>
          <w:rFonts w:ascii="Times New Roman" w:cs="Times New Roman" w:eastAsia="Times New Roman" w:hAnsi="Times New Roman"/>
          <w:sz w:val="26"/>
          <w:szCs w:val="26"/>
          <w:color w:val="auto"/>
          <w:vertAlign w:val="superscript"/>
        </w:rPr>
        <w:t>(1)</w:t>
      </w:r>
    </w:p>
    <w:p>
      <w:pPr>
        <w:ind w:left="664" w:right="5860" w:hanging="507"/>
        <w:spacing w:after="0" w:line="536" w:lineRule="auto"/>
        <w:tabs>
          <w:tab w:leader="none" w:pos="66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 (Limited Liability Company)</w:t>
      </w:r>
    </w:p>
    <w:p>
      <w:pPr>
        <w:ind w:left="424" w:right="200" w:hanging="424"/>
        <w:spacing w:after="0" w:line="282"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604,980,598 of the Issuer’s ordinary shares outstanding as of November 3, 2022, as reported in the Issuer’s Form 10-Q filed with the Securities and Exchange Commission (the “SEC”) on November 9, 2022.</w:t>
      </w:r>
    </w:p>
    <w:p>
      <w:pPr>
        <w:spacing w:after="0" w:line="94"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4"/>
          </w:cols>
          <w:pgMar w:left="436" w:top="270" w:right="55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925050106</w:t>
      </w:r>
    </w:p>
    <w:p>
      <w:pPr>
        <w:spacing w:after="0" w:line="266" w:lineRule="exact"/>
        <w:rPr>
          <w:sz w:val="20"/>
          <w:szCs w:val="20"/>
          <w:color w:val="auto"/>
        </w:rPr>
      </w:pPr>
    </w:p>
    <w:p>
      <w:pPr>
        <w:ind w:left="644" w:right="7460" w:hanging="397"/>
        <w:spacing w:after="0" w:line="430" w:lineRule="auto"/>
        <w:tabs>
          <w:tab w:leader="none" w:pos="65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Access Industries Holdings LLC</w:t>
      </w:r>
    </w:p>
    <w:p>
      <w:pPr>
        <w:spacing w:after="0" w:line="1" w:lineRule="exact"/>
        <w:rPr>
          <w:rFonts w:ascii="Times New Roman" w:cs="Times New Roman" w:eastAsia="Times New Roman" w:hAnsi="Times New Roman"/>
          <w:sz w:val="17"/>
          <w:szCs w:val="17"/>
          <w:color w:val="auto"/>
        </w:rPr>
      </w:pPr>
    </w:p>
    <w:p>
      <w:pPr>
        <w:ind w:left="664" w:hanging="417"/>
        <w:spacing w:after="0"/>
        <w:tabs>
          <w:tab w:leader="none" w:pos="6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03"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64" w:hanging="417"/>
        <w:spacing w:after="0"/>
        <w:tabs>
          <w:tab w:leader="none" w:pos="6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7" w:lineRule="exact"/>
        <w:rPr>
          <w:rFonts w:ascii="Times New Roman" w:cs="Times New Roman" w:eastAsia="Times New Roman" w:hAnsi="Times New Roman"/>
          <w:sz w:val="18"/>
          <w:szCs w:val="18"/>
          <w:color w:val="auto"/>
        </w:rPr>
      </w:pPr>
    </w:p>
    <w:p>
      <w:pPr>
        <w:ind w:left="664" w:right="6520" w:hanging="417"/>
        <w:spacing w:after="0" w:line="406" w:lineRule="auto"/>
        <w:tabs>
          <w:tab w:leader="none" w:pos="6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State of Delaware</w:t>
      </w:r>
    </w:p>
    <w:p>
      <w:pPr>
        <w:spacing w:after="0" w:line="1" w:lineRule="exact"/>
        <w:rPr>
          <w:rFonts w:ascii="Times New Roman" w:cs="Times New Roman" w:eastAsia="Times New Roman" w:hAnsi="Times New Roman"/>
          <w:sz w:val="18"/>
          <w:szCs w:val="18"/>
          <w:color w:val="auto"/>
        </w:rPr>
      </w:pPr>
    </w:p>
    <w:p>
      <w:pPr>
        <w:ind w:left="2044" w:hanging="424"/>
        <w:spacing w:after="0"/>
        <w:tabs>
          <w:tab w:leader="none" w:pos="204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tcPr>
          <w:p>
            <w:pPr>
              <w:spacing w:after="0"/>
              <w:rPr>
                <w:sz w:val="18"/>
                <w:szCs w:val="18"/>
                <w:color w:val="auto"/>
              </w:rPr>
            </w:pPr>
          </w:p>
        </w:tc>
        <w:tc>
          <w:tcPr>
            <w:tcW w:w="9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32,946,296</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40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00" w:type="dxa"/>
            <w:vAlign w:val="bottom"/>
          </w:tcPr>
          <w:p>
            <w:pPr>
              <w:spacing w:after="0"/>
              <w:rPr>
                <w:sz w:val="19"/>
                <w:szCs w:val="19"/>
                <w:color w:val="auto"/>
              </w:rPr>
            </w:pPr>
          </w:p>
        </w:tc>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44"/>
        <w:spacing w:after="0"/>
        <w:rPr>
          <w:sz w:val="20"/>
          <w:szCs w:val="20"/>
          <w:color w:val="auto"/>
        </w:rPr>
      </w:pPr>
      <w:r>
        <w:rPr>
          <w:rFonts w:ascii="Times New Roman" w:cs="Times New Roman" w:eastAsia="Times New Roman" w:hAnsi="Times New Roman"/>
          <w:sz w:val="18"/>
          <w:szCs w:val="18"/>
          <w:color w:val="auto"/>
        </w:rPr>
        <w:t>32,946,296</w:t>
      </w:r>
    </w:p>
    <w:p>
      <w:pPr>
        <w:spacing w:after="0" w:line="36" w:lineRule="exact"/>
        <w:rPr>
          <w:sz w:val="20"/>
          <w:szCs w:val="20"/>
          <w:color w:val="auto"/>
        </w:rPr>
      </w:pPr>
    </w:p>
    <w:p>
      <w:pPr>
        <w:ind w:left="664" w:right="3660" w:hanging="417"/>
        <w:spacing w:after="0" w:line="406" w:lineRule="auto"/>
        <w:tabs>
          <w:tab w:leader="none" w:pos="65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32,946,296</w:t>
      </w:r>
    </w:p>
    <w:p>
      <w:pPr>
        <w:spacing w:after="0" w:line="1"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04"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5.45%</w:t>
      </w:r>
      <w:r>
        <w:rPr>
          <w:rFonts w:ascii="Times New Roman" w:cs="Times New Roman" w:eastAsia="Times New Roman" w:hAnsi="Times New Roman"/>
          <w:sz w:val="26"/>
          <w:szCs w:val="26"/>
          <w:color w:val="auto"/>
          <w:vertAlign w:val="superscript"/>
        </w:rPr>
        <w:t>(1)</w:t>
      </w:r>
    </w:p>
    <w:p>
      <w:pPr>
        <w:ind w:left="664" w:right="5860" w:hanging="507"/>
        <w:spacing w:after="0" w:line="536" w:lineRule="auto"/>
        <w:tabs>
          <w:tab w:leader="none" w:pos="66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 (Limited Liability Company)</w:t>
      </w:r>
    </w:p>
    <w:p>
      <w:pPr>
        <w:ind w:left="424" w:right="200" w:hanging="424"/>
        <w:spacing w:after="0" w:line="282"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604,980,598 of the Issuer’s ordinary shares outstanding as of November 3, 2022, as reported in the Issuer’s Form 10-Q filed with the SEC on November 9, 2022.</w:t>
      </w:r>
    </w:p>
    <w:p>
      <w:pPr>
        <w:spacing w:after="0" w:line="94"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4"/>
          </w:cols>
          <w:pgMar w:left="436" w:top="270" w:right="5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925050106</w:t>
      </w:r>
    </w:p>
    <w:p>
      <w:pPr>
        <w:spacing w:after="0" w:line="266" w:lineRule="exact"/>
        <w:rPr>
          <w:sz w:val="20"/>
          <w:szCs w:val="20"/>
          <w:color w:val="auto"/>
        </w:rPr>
      </w:pPr>
    </w:p>
    <w:p>
      <w:pPr>
        <w:ind w:left="644" w:right="7460" w:hanging="397"/>
        <w:spacing w:after="0" w:line="430" w:lineRule="auto"/>
        <w:tabs>
          <w:tab w:leader="none" w:pos="654"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Access Industries Management, LLC</w:t>
      </w:r>
    </w:p>
    <w:p>
      <w:pPr>
        <w:spacing w:after="0" w:line="1" w:lineRule="exact"/>
        <w:rPr>
          <w:rFonts w:ascii="Times New Roman" w:cs="Times New Roman" w:eastAsia="Times New Roman" w:hAnsi="Times New Roman"/>
          <w:sz w:val="17"/>
          <w:szCs w:val="17"/>
          <w:color w:val="auto"/>
        </w:rPr>
      </w:pPr>
    </w:p>
    <w:p>
      <w:pPr>
        <w:ind w:left="664" w:hanging="417"/>
        <w:spacing w:after="0"/>
        <w:tabs>
          <w:tab w:leader="none" w:pos="6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5220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03"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64" w:hanging="417"/>
        <w:spacing w:after="0"/>
        <w:tabs>
          <w:tab w:leader="none" w:pos="6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7" w:lineRule="exact"/>
        <w:rPr>
          <w:rFonts w:ascii="Times New Roman" w:cs="Times New Roman" w:eastAsia="Times New Roman" w:hAnsi="Times New Roman"/>
          <w:sz w:val="18"/>
          <w:szCs w:val="18"/>
          <w:color w:val="auto"/>
        </w:rPr>
      </w:pPr>
    </w:p>
    <w:p>
      <w:pPr>
        <w:ind w:left="664" w:right="6520" w:hanging="417"/>
        <w:spacing w:after="0" w:line="406" w:lineRule="auto"/>
        <w:tabs>
          <w:tab w:leader="none" w:pos="6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State of Delaware</w:t>
      </w:r>
    </w:p>
    <w:p>
      <w:pPr>
        <w:spacing w:after="0" w:line="1" w:lineRule="exact"/>
        <w:rPr>
          <w:rFonts w:ascii="Times New Roman" w:cs="Times New Roman" w:eastAsia="Times New Roman" w:hAnsi="Times New Roman"/>
          <w:sz w:val="18"/>
          <w:szCs w:val="18"/>
          <w:color w:val="auto"/>
        </w:rPr>
      </w:pPr>
    </w:p>
    <w:p>
      <w:pPr>
        <w:ind w:left="2044" w:hanging="424"/>
        <w:spacing w:after="0"/>
        <w:tabs>
          <w:tab w:leader="none" w:pos="204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tcPr>
          <w:p>
            <w:pPr>
              <w:spacing w:after="0"/>
              <w:rPr>
                <w:sz w:val="18"/>
                <w:szCs w:val="18"/>
                <w:color w:val="auto"/>
              </w:rPr>
            </w:pPr>
          </w:p>
        </w:tc>
        <w:tc>
          <w:tcPr>
            <w:tcW w:w="9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32,946,296</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40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00" w:type="dxa"/>
            <w:vAlign w:val="bottom"/>
          </w:tcPr>
          <w:p>
            <w:pPr>
              <w:spacing w:after="0"/>
              <w:rPr>
                <w:sz w:val="19"/>
                <w:szCs w:val="19"/>
                <w:color w:val="auto"/>
              </w:rPr>
            </w:pPr>
          </w:p>
        </w:tc>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7"/>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44"/>
        <w:spacing w:after="0"/>
        <w:rPr>
          <w:sz w:val="20"/>
          <w:szCs w:val="20"/>
          <w:color w:val="auto"/>
        </w:rPr>
      </w:pPr>
      <w:r>
        <w:rPr>
          <w:rFonts w:ascii="Times New Roman" w:cs="Times New Roman" w:eastAsia="Times New Roman" w:hAnsi="Times New Roman"/>
          <w:sz w:val="18"/>
          <w:szCs w:val="18"/>
          <w:color w:val="auto"/>
        </w:rPr>
        <w:t>32,946,296</w:t>
      </w:r>
    </w:p>
    <w:p>
      <w:pPr>
        <w:spacing w:after="0" w:line="36" w:lineRule="exact"/>
        <w:rPr>
          <w:sz w:val="20"/>
          <w:szCs w:val="20"/>
          <w:color w:val="auto"/>
        </w:rPr>
      </w:pPr>
    </w:p>
    <w:p>
      <w:pPr>
        <w:ind w:left="664" w:right="3660" w:hanging="417"/>
        <w:spacing w:after="0" w:line="406" w:lineRule="auto"/>
        <w:tabs>
          <w:tab w:leader="none" w:pos="6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32,946,296</w:t>
      </w:r>
    </w:p>
    <w:p>
      <w:pPr>
        <w:spacing w:after="0" w:line="1"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04"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5.45%</w:t>
      </w:r>
      <w:r>
        <w:rPr>
          <w:rFonts w:ascii="Times New Roman" w:cs="Times New Roman" w:eastAsia="Times New Roman" w:hAnsi="Times New Roman"/>
          <w:sz w:val="26"/>
          <w:szCs w:val="26"/>
          <w:color w:val="auto"/>
          <w:vertAlign w:val="superscript"/>
        </w:rPr>
        <w:t>(1)</w:t>
      </w:r>
    </w:p>
    <w:p>
      <w:pPr>
        <w:ind w:left="664" w:right="5860" w:hanging="507"/>
        <w:spacing w:after="0" w:line="536" w:lineRule="auto"/>
        <w:tabs>
          <w:tab w:leader="none" w:pos="66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 (Limited Liability Company)</w:t>
      </w:r>
    </w:p>
    <w:p>
      <w:pPr>
        <w:ind w:left="424" w:right="200" w:hanging="424"/>
        <w:spacing w:after="0" w:line="282"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604,980,598 of the Issuer’s ordinary shares outstanding as of November 3, 2022, as reported in the Issuer’s Form 10-Q filed with the SEC on November 9, 2022.</w:t>
      </w:r>
    </w:p>
    <w:p>
      <w:pPr>
        <w:spacing w:after="0" w:line="94"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4"/>
          </w:cols>
          <w:pgMar w:left="436" w:top="270" w:right="55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925050106</w:t>
      </w:r>
    </w:p>
    <w:p>
      <w:pPr>
        <w:spacing w:after="0" w:line="266" w:lineRule="exact"/>
        <w:rPr>
          <w:sz w:val="20"/>
          <w:szCs w:val="20"/>
          <w:color w:val="auto"/>
        </w:rPr>
      </w:pPr>
    </w:p>
    <w:p>
      <w:pPr>
        <w:ind w:left="664" w:right="7460" w:hanging="417"/>
        <w:spacing w:after="0" w:line="406" w:lineRule="auto"/>
        <w:tabs>
          <w:tab w:leader="none" w:pos="6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Len Blavatnik</w:t>
      </w:r>
    </w:p>
    <w:p>
      <w:pPr>
        <w:spacing w:after="0" w:line="1"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522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03"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64" w:hanging="417"/>
        <w:spacing w:after="0"/>
        <w:tabs>
          <w:tab w:leader="none" w:pos="6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7" w:lineRule="exact"/>
        <w:rPr>
          <w:rFonts w:ascii="Times New Roman" w:cs="Times New Roman" w:eastAsia="Times New Roman" w:hAnsi="Times New Roman"/>
          <w:sz w:val="18"/>
          <w:szCs w:val="18"/>
          <w:color w:val="auto"/>
        </w:rPr>
      </w:pPr>
    </w:p>
    <w:p>
      <w:pPr>
        <w:ind w:left="664" w:right="6520" w:hanging="417"/>
        <w:spacing w:after="0" w:line="406" w:lineRule="auto"/>
        <w:tabs>
          <w:tab w:leader="none" w:pos="6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 of America</w:t>
      </w:r>
    </w:p>
    <w:p>
      <w:pPr>
        <w:spacing w:after="0" w:line="1" w:lineRule="exact"/>
        <w:rPr>
          <w:rFonts w:ascii="Times New Roman" w:cs="Times New Roman" w:eastAsia="Times New Roman" w:hAnsi="Times New Roman"/>
          <w:sz w:val="18"/>
          <w:szCs w:val="18"/>
          <w:color w:val="auto"/>
        </w:rPr>
      </w:pPr>
    </w:p>
    <w:p>
      <w:pPr>
        <w:ind w:left="2044" w:hanging="424"/>
        <w:spacing w:after="0"/>
        <w:tabs>
          <w:tab w:leader="none" w:pos="204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tcPr>
          <w:p>
            <w:pPr>
              <w:spacing w:after="0"/>
              <w:rPr>
                <w:sz w:val="18"/>
                <w:szCs w:val="18"/>
                <w:color w:val="auto"/>
              </w:rPr>
            </w:pPr>
          </w:p>
        </w:tc>
        <w:tc>
          <w:tcPr>
            <w:tcW w:w="9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32,946,296</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40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00" w:type="dxa"/>
            <w:vAlign w:val="bottom"/>
          </w:tcPr>
          <w:p>
            <w:pPr>
              <w:spacing w:after="0"/>
              <w:rPr>
                <w:sz w:val="19"/>
                <w:szCs w:val="19"/>
                <w:color w:val="auto"/>
              </w:rPr>
            </w:pPr>
          </w:p>
        </w:tc>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40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44"/>
        <w:spacing w:after="0"/>
        <w:rPr>
          <w:sz w:val="20"/>
          <w:szCs w:val="20"/>
          <w:color w:val="auto"/>
        </w:rPr>
      </w:pPr>
      <w:r>
        <w:rPr>
          <w:rFonts w:ascii="Times New Roman" w:cs="Times New Roman" w:eastAsia="Times New Roman" w:hAnsi="Times New Roman"/>
          <w:sz w:val="18"/>
          <w:szCs w:val="18"/>
          <w:color w:val="auto"/>
        </w:rPr>
        <w:t>32,946,296</w:t>
      </w:r>
    </w:p>
    <w:p>
      <w:pPr>
        <w:spacing w:after="0" w:line="36" w:lineRule="exact"/>
        <w:rPr>
          <w:sz w:val="20"/>
          <w:szCs w:val="20"/>
          <w:color w:val="auto"/>
        </w:rPr>
      </w:pPr>
    </w:p>
    <w:p>
      <w:pPr>
        <w:ind w:left="664" w:right="3660" w:hanging="417"/>
        <w:spacing w:after="0" w:line="406" w:lineRule="auto"/>
        <w:tabs>
          <w:tab w:leader="none" w:pos="65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32,946,296</w:t>
      </w:r>
    </w:p>
    <w:p>
      <w:pPr>
        <w:spacing w:after="0" w:line="1"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04"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5.45%</w:t>
      </w:r>
      <w:r>
        <w:rPr>
          <w:rFonts w:ascii="Times New Roman" w:cs="Times New Roman" w:eastAsia="Times New Roman" w:hAnsi="Times New Roman"/>
          <w:sz w:val="26"/>
          <w:szCs w:val="26"/>
          <w:color w:val="auto"/>
          <w:vertAlign w:val="superscript"/>
        </w:rPr>
        <w:t>(1)</w:t>
      </w:r>
    </w:p>
    <w:p>
      <w:pPr>
        <w:ind w:left="664" w:right="5860" w:hanging="507"/>
        <w:spacing w:after="0" w:line="536" w:lineRule="auto"/>
        <w:tabs>
          <w:tab w:leader="none" w:pos="66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IN</w:t>
      </w:r>
    </w:p>
    <w:p>
      <w:pPr>
        <w:ind w:left="424" w:right="200" w:hanging="424"/>
        <w:spacing w:after="0" w:line="282" w:lineRule="auto"/>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604,980,598 of the Issuer’s ordinary shares outstanding as of November 3, 2022, as reported in the Issuer’s Form 10-Q filed with the SEC on November 9, 2022.</w:t>
      </w:r>
    </w:p>
    <w:p>
      <w:pPr>
        <w:spacing w:after="0" w:line="94"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4"/>
          </w:cols>
          <w:pgMar w:left="436" w:top="270" w:right="5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13G</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CUSIP No. 925050106</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131" w:lineRule="exact"/>
        <w:rPr>
          <w:sz w:val="20"/>
          <w:szCs w:val="20"/>
          <w:color w:val="auto"/>
        </w:rPr>
      </w:pPr>
    </w:p>
    <w:p>
      <w:pPr>
        <w:ind w:left="1420" w:hanging="439"/>
        <w:spacing w:after="0"/>
        <w:tabs>
          <w:tab w:leader="none" w:pos="14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Issuer:</w:t>
      </w:r>
    </w:p>
    <w:p>
      <w:pPr>
        <w:spacing w:after="0" w:line="121" w:lineRule="exact"/>
        <w:rPr>
          <w:rFonts w:ascii="Times New Roman" w:cs="Times New Roman" w:eastAsia="Times New Roman" w:hAnsi="Times New Roman"/>
          <w:sz w:val="18"/>
          <w:szCs w:val="18"/>
          <w:b w:val="1"/>
          <w:bCs w:val="1"/>
          <w:color w:val="auto"/>
        </w:rPr>
      </w:pPr>
    </w:p>
    <w:p>
      <w:pPr>
        <w:ind w:left="1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Verona Pharma plc (the “Issuer”).</w:t>
      </w:r>
    </w:p>
    <w:p>
      <w:pPr>
        <w:spacing w:after="0" w:line="126"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Issuer’s Principal Executive Offices:</w:t>
      </w:r>
    </w:p>
    <w:p>
      <w:pPr>
        <w:spacing w:after="0" w:line="121" w:lineRule="exact"/>
        <w:rPr>
          <w:rFonts w:ascii="Times New Roman" w:cs="Times New Roman" w:eastAsia="Times New Roman" w:hAnsi="Times New Roman"/>
          <w:sz w:val="18"/>
          <w:szCs w:val="18"/>
          <w:b w:val="1"/>
          <w:bCs w:val="1"/>
          <w:color w:val="auto"/>
        </w:rPr>
      </w:pPr>
    </w:p>
    <w:p>
      <w:pPr>
        <w:ind w:left="1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 More London</w:t>
      </w:r>
    </w:p>
    <w:p>
      <w:pPr>
        <w:spacing w:after="0" w:line="27" w:lineRule="exact"/>
        <w:rPr>
          <w:rFonts w:ascii="Times New Roman" w:cs="Times New Roman" w:eastAsia="Times New Roman" w:hAnsi="Times New Roman"/>
          <w:sz w:val="18"/>
          <w:szCs w:val="18"/>
          <w:b w:val="1"/>
          <w:bCs w:val="1"/>
          <w:color w:val="auto"/>
        </w:rPr>
      </w:pPr>
    </w:p>
    <w:p>
      <w:pPr>
        <w:ind w:left="1420" w:right="756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Riverside London SE1 2RE United Kingdom</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31" w:lineRule="exact"/>
        <w:rPr>
          <w:sz w:val="20"/>
          <w:szCs w:val="20"/>
          <w:color w:val="auto"/>
        </w:rPr>
      </w:pPr>
    </w:p>
    <w:p>
      <w:pPr>
        <w:ind w:left="1420" w:hanging="439"/>
        <w:spacing w:after="0"/>
        <w:tabs>
          <w:tab w:leader="none" w:pos="14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Person Filing:</w:t>
      </w:r>
    </w:p>
    <w:p>
      <w:pPr>
        <w:spacing w:after="0" w:line="121" w:lineRule="exact"/>
        <w:rPr>
          <w:rFonts w:ascii="Times New Roman" w:cs="Times New Roman" w:eastAsia="Times New Roman" w:hAnsi="Times New Roman"/>
          <w:sz w:val="18"/>
          <w:szCs w:val="18"/>
          <w:b w:val="1"/>
          <w:bCs w:val="1"/>
          <w:color w:val="auto"/>
        </w:rPr>
      </w:pPr>
    </w:p>
    <w:p>
      <w:pPr>
        <w:ind w:left="1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filing is being made on behalf of (collectively, the “Access Filers”):</w:t>
      </w:r>
    </w:p>
    <w:p>
      <w:pPr>
        <w:spacing w:after="0" w:line="117" w:lineRule="exact"/>
        <w:rPr>
          <w:rFonts w:ascii="Times New Roman" w:cs="Times New Roman" w:eastAsia="Times New Roman" w:hAnsi="Times New Roman"/>
          <w:sz w:val="18"/>
          <w:szCs w:val="18"/>
          <w:b w:val="1"/>
          <w:bCs w:val="1"/>
          <w:color w:val="auto"/>
        </w:rPr>
      </w:pPr>
    </w:p>
    <w:p>
      <w:pPr>
        <w:ind w:left="1420" w:right="62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AI Biotechnology LLC (“AI Biotechnology”) Access Industries Holdings LLC (“AIH”) Access Industries Management, LLC (“AIM”) Len Blavatnik</w:t>
      </w:r>
    </w:p>
    <w:p>
      <w:pPr>
        <w:spacing w:after="0" w:line="81"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Principal Business Office or, if none, Residence:</w:t>
      </w:r>
    </w:p>
    <w:p>
      <w:pPr>
        <w:spacing w:after="0" w:line="121" w:lineRule="exact"/>
        <w:rPr>
          <w:rFonts w:ascii="Times New Roman" w:cs="Times New Roman" w:eastAsia="Times New Roman" w:hAnsi="Times New Roman"/>
          <w:sz w:val="18"/>
          <w:szCs w:val="18"/>
          <w:b w:val="1"/>
          <w:bCs w:val="1"/>
          <w:color w:val="auto"/>
        </w:rPr>
      </w:pPr>
    </w:p>
    <w:p>
      <w:pPr>
        <w:ind w:left="142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principal business office of each reporting person is c/o Access Industries, Inc., 40 West 57th Street, 28th Floor, New York, NY 10019.</w:t>
      </w:r>
    </w:p>
    <w:p>
      <w:pPr>
        <w:spacing w:after="0" w:line="63"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w:t>
      </w:r>
    </w:p>
    <w:p>
      <w:pPr>
        <w:spacing w:after="0" w:line="121" w:lineRule="exact"/>
        <w:rPr>
          <w:rFonts w:ascii="Times New Roman" w:cs="Times New Roman" w:eastAsia="Times New Roman" w:hAnsi="Times New Roman"/>
          <w:sz w:val="18"/>
          <w:szCs w:val="18"/>
          <w:b w:val="1"/>
          <w:bCs w:val="1"/>
          <w:color w:val="auto"/>
        </w:rPr>
      </w:pPr>
    </w:p>
    <w:p>
      <w:pPr>
        <w:ind w:left="1420" w:right="740"/>
        <w:spacing w:after="0" w:line="3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AI Biotechnology, AIH and AIM is a limited liability company organized under the laws of the State of Delaware. Mr. Blavatnik is a citizen of the United States of America.</w:t>
      </w:r>
    </w:p>
    <w:p>
      <w:pPr>
        <w:ind w:left="1420" w:hanging="439"/>
        <w:spacing w:after="0"/>
        <w:tabs>
          <w:tab w:leader="none" w:pos="14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Title of Class of Securities:</w:t>
      </w:r>
    </w:p>
    <w:p>
      <w:pPr>
        <w:spacing w:after="0" w:line="121" w:lineRule="exact"/>
        <w:rPr>
          <w:rFonts w:ascii="Times New Roman" w:cs="Times New Roman" w:eastAsia="Times New Roman" w:hAnsi="Times New Roman"/>
          <w:sz w:val="18"/>
          <w:szCs w:val="18"/>
          <w:b w:val="1"/>
          <w:bCs w:val="1"/>
          <w:color w:val="auto"/>
        </w:rPr>
      </w:pPr>
    </w:p>
    <w:p>
      <w:pPr>
        <w:ind w:left="1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Ordinary shares, nominal value £0.05 per share (“Ordinary Shares”).</w:t>
      </w:r>
    </w:p>
    <w:p>
      <w:pPr>
        <w:spacing w:after="0" w:line="126" w:lineRule="exact"/>
        <w:rPr>
          <w:rFonts w:ascii="Times New Roman" w:cs="Times New Roman" w:eastAsia="Times New Roman" w:hAnsi="Times New Roman"/>
          <w:sz w:val="18"/>
          <w:szCs w:val="18"/>
          <w:b w:val="1"/>
          <w:bCs w:val="1"/>
          <w:color w:val="auto"/>
        </w:rPr>
      </w:pPr>
    </w:p>
    <w:p>
      <w:pPr>
        <w:ind w:left="1420" w:right="8300" w:hanging="439"/>
        <w:spacing w:after="0" w:line="412" w:lineRule="auto"/>
        <w:tabs>
          <w:tab w:leader="none" w:pos="140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CUSIP Number: </w:t>
      </w:r>
      <w:r>
        <w:rPr>
          <w:rFonts w:ascii="Times New Roman" w:cs="Times New Roman" w:eastAsia="Times New Roman" w:hAnsi="Times New Roman"/>
          <w:sz w:val="18"/>
          <w:szCs w:val="18"/>
          <w:color w:val="auto"/>
        </w:rPr>
        <w:t>925050106</w:t>
      </w:r>
    </w:p>
    <w:p>
      <w:pPr>
        <w:spacing w:after="0" w:line="19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 240.13d-1(b), or 240.13d-2(b) or (c), check whether the person filing is a:</w:t>
      </w:r>
    </w:p>
    <w:p>
      <w:pPr>
        <w:spacing w:after="0" w:line="106" w:lineRule="exact"/>
        <w:rPr>
          <w:sz w:val="20"/>
          <w:szCs w:val="20"/>
          <w:color w:val="auto"/>
        </w:rPr>
      </w:pPr>
    </w:p>
    <w:p>
      <w:pPr>
        <w:ind w:left="1440" w:hanging="324"/>
        <w:spacing w:after="0" w:line="207" w:lineRule="exact"/>
        <w:tabs>
          <w:tab w:leader="none" w:pos="1440" w:val="left"/>
        </w:tabs>
        <w:numPr>
          <w:ilvl w:val="0"/>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17" w:lineRule="exact"/>
        <w:rPr>
          <w:rFonts w:ascii="Times New Roman" w:cs="Times New Roman" w:eastAsia="Times New Roman" w:hAnsi="Times New Roman"/>
          <w:sz w:val="18"/>
          <w:szCs w:val="18"/>
          <w:color w:val="auto"/>
        </w:rPr>
      </w:pPr>
    </w:p>
    <w:p>
      <w:pPr>
        <w:ind w:left="1440" w:hanging="324"/>
        <w:spacing w:after="0" w:line="207" w:lineRule="exact"/>
        <w:tabs>
          <w:tab w:leader="none" w:pos="1440" w:val="left"/>
        </w:tabs>
        <w:numPr>
          <w:ilvl w:val="0"/>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17" w:lineRule="exact"/>
        <w:rPr>
          <w:rFonts w:ascii="Times New Roman" w:cs="Times New Roman" w:eastAsia="Times New Roman" w:hAnsi="Times New Roman"/>
          <w:sz w:val="18"/>
          <w:szCs w:val="18"/>
          <w:color w:val="auto"/>
        </w:rPr>
      </w:pPr>
    </w:p>
    <w:p>
      <w:pPr>
        <w:ind w:left="1440" w:hanging="324"/>
        <w:spacing w:after="0" w:line="207" w:lineRule="exact"/>
        <w:tabs>
          <w:tab w:leader="none" w:pos="1440" w:val="left"/>
        </w:tabs>
        <w:numPr>
          <w:ilvl w:val="0"/>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17" w:lineRule="exact"/>
        <w:rPr>
          <w:rFonts w:ascii="Times New Roman" w:cs="Times New Roman" w:eastAsia="Times New Roman" w:hAnsi="Times New Roman"/>
          <w:sz w:val="18"/>
          <w:szCs w:val="18"/>
          <w:color w:val="auto"/>
        </w:rPr>
      </w:pPr>
    </w:p>
    <w:p>
      <w:pPr>
        <w:ind w:left="1440" w:hanging="324"/>
        <w:spacing w:after="0" w:line="207" w:lineRule="exact"/>
        <w:tabs>
          <w:tab w:leader="none" w:pos="1440" w:val="left"/>
        </w:tabs>
        <w:numPr>
          <w:ilvl w:val="0"/>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17" w:lineRule="exact"/>
        <w:rPr>
          <w:rFonts w:ascii="Times New Roman" w:cs="Times New Roman" w:eastAsia="Times New Roman" w:hAnsi="Times New Roman"/>
          <w:sz w:val="18"/>
          <w:szCs w:val="18"/>
          <w:color w:val="auto"/>
        </w:rPr>
      </w:pPr>
    </w:p>
    <w:p>
      <w:pPr>
        <w:ind w:left="1440" w:hanging="324"/>
        <w:spacing w:after="0" w:line="207" w:lineRule="exact"/>
        <w:tabs>
          <w:tab w:leader="none" w:pos="1440" w:val="left"/>
        </w:tabs>
        <w:numPr>
          <w:ilvl w:val="0"/>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 (1)(ii)(E);</w:t>
      </w:r>
    </w:p>
    <w:p>
      <w:pPr>
        <w:spacing w:after="0" w:line="117" w:lineRule="exact"/>
        <w:rPr>
          <w:rFonts w:ascii="Times New Roman" w:cs="Times New Roman" w:eastAsia="Times New Roman" w:hAnsi="Times New Roman"/>
          <w:sz w:val="18"/>
          <w:szCs w:val="18"/>
          <w:color w:val="auto"/>
        </w:rPr>
      </w:pPr>
    </w:p>
    <w:p>
      <w:pPr>
        <w:ind w:left="1440" w:hanging="324"/>
        <w:spacing w:after="0" w:line="207" w:lineRule="exact"/>
        <w:tabs>
          <w:tab w:leader="none" w:pos="1440" w:val="left"/>
        </w:tabs>
        <w:numPr>
          <w:ilvl w:val="0"/>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 (1)(ii)(F);</w:t>
      </w:r>
    </w:p>
    <w:p>
      <w:pPr>
        <w:spacing w:after="0" w:line="117" w:lineRule="exact"/>
        <w:rPr>
          <w:rFonts w:ascii="Times New Roman" w:cs="Times New Roman" w:eastAsia="Times New Roman" w:hAnsi="Times New Roman"/>
          <w:sz w:val="18"/>
          <w:szCs w:val="18"/>
          <w:color w:val="auto"/>
        </w:rPr>
      </w:pPr>
    </w:p>
    <w:p>
      <w:pPr>
        <w:ind w:left="1440" w:hanging="324"/>
        <w:spacing w:after="0" w:line="207" w:lineRule="exact"/>
        <w:tabs>
          <w:tab w:leader="none" w:pos="1440" w:val="left"/>
        </w:tabs>
        <w:numPr>
          <w:ilvl w:val="0"/>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 (1)(ii)(G);</w:t>
      </w:r>
    </w:p>
    <w:p>
      <w:pPr>
        <w:spacing w:after="0" w:line="117" w:lineRule="exact"/>
        <w:rPr>
          <w:rFonts w:ascii="Times New Roman" w:cs="Times New Roman" w:eastAsia="Times New Roman" w:hAnsi="Times New Roman"/>
          <w:sz w:val="18"/>
          <w:szCs w:val="18"/>
          <w:color w:val="auto"/>
        </w:rPr>
      </w:pPr>
    </w:p>
    <w:p>
      <w:pPr>
        <w:ind w:left="1440" w:hanging="324"/>
        <w:spacing w:after="0" w:line="207" w:lineRule="exact"/>
        <w:tabs>
          <w:tab w:leader="none" w:pos="1440" w:val="left"/>
        </w:tabs>
        <w:numPr>
          <w:ilvl w:val="0"/>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 church plan that is excluded from the definition of an investment company under section 3(c)(14) of the Investment Company</w:t>
      </w:r>
    </w:p>
    <w:p>
      <w:pPr>
        <w:spacing w:after="0" w:line="22" w:lineRule="exact"/>
        <w:rPr>
          <w:sz w:val="20"/>
          <w:szCs w:val="20"/>
          <w:color w:val="auto"/>
        </w:rPr>
      </w:pPr>
    </w:p>
    <w:p>
      <w:pPr>
        <w:ind w:left="1440" w:hanging="324"/>
        <w:spacing w:after="0" w:line="207" w:lineRule="exact"/>
        <w:tabs>
          <w:tab w:leader="none" w:pos="1440" w:val="left"/>
        </w:tabs>
        <w:numPr>
          <w:ilvl w:val="0"/>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Act of 1940 (15 U.S.C. 80a-3);</w:t>
      </w:r>
    </w:p>
    <w:p>
      <w:pPr>
        <w:spacing w:after="0" w:line="75" w:lineRule="exact"/>
        <w:rPr>
          <w:rFonts w:ascii="Times New Roman" w:cs="Times New Roman" w:eastAsia="Times New Roman" w:hAnsi="Times New Roman"/>
          <w:sz w:val="18"/>
          <w:szCs w:val="18"/>
          <w:color w:val="auto"/>
        </w:rPr>
      </w:pPr>
    </w:p>
    <w:p>
      <w:pPr>
        <w:ind w:left="1440" w:hanging="324"/>
        <w:spacing w:after="0" w:line="207" w:lineRule="exact"/>
        <w:tabs>
          <w:tab w:leader="none" w:pos="1440" w:val="left"/>
        </w:tabs>
        <w:numPr>
          <w:ilvl w:val="0"/>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 240.13d-1(b)(1)(ii)(J);</w:t>
      </w:r>
    </w:p>
    <w:p>
      <w:pPr>
        <w:spacing w:after="0" w:line="117" w:lineRule="exact"/>
        <w:rPr>
          <w:rFonts w:ascii="Times New Roman" w:cs="Times New Roman" w:eastAsia="Times New Roman" w:hAnsi="Times New Roman"/>
          <w:sz w:val="18"/>
          <w:szCs w:val="18"/>
          <w:color w:val="auto"/>
        </w:rPr>
      </w:pPr>
    </w:p>
    <w:p>
      <w:pPr>
        <w:ind w:left="1420" w:right="5480" w:hanging="304"/>
        <w:spacing w:after="0" w:line="294" w:lineRule="exact"/>
        <w:tabs>
          <w:tab w:leader="none" w:pos="1432" w:val="left"/>
        </w:tabs>
        <w:numPr>
          <w:ilvl w:val="0"/>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 240.13d-1(b)(1)(ii)(K). Not Applicable.</w:t>
      </w:r>
    </w:p>
    <w:p>
      <w:pPr>
        <w:sectPr>
          <w:pgSz w:w="11900" w:h="16838" w:orient="portrait"/>
          <w:cols w:equalWidth="0" w:num="1">
            <w:col w:w="11000"/>
          </w:cols>
          <w:pgMar w:left="440" w:top="270" w:right="459"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000"/>
          </w:cols>
          <w:pgMar w:left="440" w:top="270" w:right="459" w:bottom="1440" w:gutter="0" w:footer="0" w:header="0"/>
          <w:type w:val="continuous"/>
        </w:sectPr>
      </w:pPr>
    </w:p>
    <w:bookmarkStart w:id="6" w:name="page7"/>
    <w:bookmarkEnd w:id="6"/>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21"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63" w:lineRule="exact"/>
        <w:rPr>
          <w:sz w:val="20"/>
          <w:szCs w:val="20"/>
          <w:color w:val="auto"/>
        </w:rPr>
      </w:pPr>
    </w:p>
    <w:p>
      <w:pPr>
        <w:ind w:left="960" w:hanging="532"/>
        <w:spacing w:after="0"/>
        <w:tabs>
          <w:tab w:leader="none" w:pos="9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Amount beneficially owned:</w:t>
      </w:r>
    </w:p>
    <w:p>
      <w:pPr>
        <w:spacing w:after="0" w:line="121"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the responses to Item 9 on the attached cover pages.</w:t>
      </w:r>
    </w:p>
    <w:p>
      <w:pPr>
        <w:spacing w:after="0" w:line="126"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w:t>
      </w:r>
    </w:p>
    <w:p>
      <w:pPr>
        <w:spacing w:after="0" w:line="121" w:lineRule="exact"/>
        <w:rPr>
          <w:rFonts w:ascii="Times New Roman" w:cs="Times New Roman" w:eastAsia="Times New Roman" w:hAnsi="Times New Roman"/>
          <w:sz w:val="18"/>
          <w:szCs w:val="18"/>
          <w:b w:val="1"/>
          <w:bCs w:val="1"/>
          <w:color w:val="auto"/>
        </w:rPr>
      </w:pPr>
    </w:p>
    <w:p>
      <w:pPr>
        <w:ind w:left="98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Item 11 of the attached cover pages. The percentages reported in Item 11 of the attached cover pages are based upon 604,980,598 of the Issuer’s Ordinary Shares outstanding as of November 3, 2022, as reported in the Issuer’s Form 10-Q filed with the SEC on November 9, 2022.</w:t>
      </w:r>
    </w:p>
    <w:p>
      <w:pPr>
        <w:spacing w:after="0" w:line="77"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shares as to which the person has:</w:t>
      </w:r>
    </w:p>
    <w:p>
      <w:pPr>
        <w:spacing w:after="0" w:line="131" w:lineRule="exact"/>
        <w:rPr>
          <w:sz w:val="20"/>
          <w:szCs w:val="20"/>
          <w:color w:val="auto"/>
        </w:rPr>
      </w:pPr>
    </w:p>
    <w:p>
      <w:pPr>
        <w:ind w:left="1420" w:hanging="439"/>
        <w:spacing w:after="0"/>
        <w:tabs>
          <w:tab w:leader="none" w:pos="14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Sole power to vote or to direct the vote:</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the responses to Item 5 on the attached cover pages.</w:t>
      </w:r>
    </w:p>
    <w:p>
      <w:pPr>
        <w:spacing w:after="0" w:line="127" w:lineRule="exact"/>
        <w:rPr>
          <w:sz w:val="20"/>
          <w:szCs w:val="20"/>
          <w:color w:val="auto"/>
        </w:rPr>
      </w:pPr>
    </w:p>
    <w:p>
      <w:pPr>
        <w:ind w:left="1420" w:hanging="439"/>
        <w:spacing w:after="0"/>
        <w:tabs>
          <w:tab w:leader="none" w:pos="14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Shared power to vote or to direct the vote:</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the responses to Item 6 on the attached cover pages.</w:t>
      </w:r>
    </w:p>
    <w:p>
      <w:pPr>
        <w:spacing w:after="0" w:line="127" w:lineRule="exact"/>
        <w:rPr>
          <w:sz w:val="20"/>
          <w:szCs w:val="20"/>
          <w:color w:val="auto"/>
        </w:rPr>
      </w:pPr>
    </w:p>
    <w:p>
      <w:pPr>
        <w:ind w:left="98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(iii)</w:t>
      </w:r>
      <w:r>
        <w:rPr>
          <w:sz w:val="20"/>
          <w:szCs w:val="20"/>
          <w:color w:val="auto"/>
        </w:rPr>
        <w:tab/>
      </w:r>
      <w:r>
        <w:rPr>
          <w:rFonts w:ascii="Times New Roman" w:cs="Times New Roman" w:eastAsia="Times New Roman" w:hAnsi="Times New Roman"/>
          <w:sz w:val="17"/>
          <w:szCs w:val="17"/>
          <w:b w:val="1"/>
          <w:bCs w:val="1"/>
          <w:color w:val="auto"/>
        </w:rPr>
        <w:t>Sole power to dispose or to direct the disposition:</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the responses to Item 7 on the attached cover pages.</w:t>
      </w:r>
    </w:p>
    <w:p>
      <w:pPr>
        <w:spacing w:after="0" w:line="127" w:lineRule="exact"/>
        <w:rPr>
          <w:sz w:val="20"/>
          <w:szCs w:val="20"/>
          <w:color w:val="auto"/>
        </w:rPr>
      </w:pPr>
    </w:p>
    <w:p>
      <w:pPr>
        <w:ind w:left="98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7"/>
          <w:szCs w:val="17"/>
          <w:b w:val="1"/>
          <w:bCs w:val="1"/>
          <w:color w:val="auto"/>
        </w:rPr>
        <w:t>Shared power to dispose or to direct the disposition:</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the responses to Item 8 on the attached cover pages.</w:t>
      </w:r>
    </w:p>
    <w:p>
      <w:pPr>
        <w:spacing w:after="0" w:line="117" w:lineRule="exact"/>
        <w:rPr>
          <w:sz w:val="20"/>
          <w:szCs w:val="20"/>
          <w:color w:val="auto"/>
        </w:rPr>
      </w:pPr>
    </w:p>
    <w:p>
      <w:pPr>
        <w:ind w:left="980" w:right="20"/>
        <w:spacing w:after="0" w:line="258" w:lineRule="auto"/>
        <w:rPr>
          <w:sz w:val="20"/>
          <w:szCs w:val="20"/>
          <w:color w:val="auto"/>
        </w:rPr>
      </w:pPr>
      <w:r>
        <w:rPr>
          <w:rFonts w:ascii="Times New Roman" w:cs="Times New Roman" w:eastAsia="Times New Roman" w:hAnsi="Times New Roman"/>
          <w:sz w:val="18"/>
          <w:szCs w:val="18"/>
          <w:color w:val="auto"/>
        </w:rPr>
        <w:t>32,946,296 Ordinary Shares are owned directly by AI Biotechnology and may be deemed to be beneficially owned by AIH, AIM and Mr. Blavatnik because (i) Len Blavatnik controls AIM and holds a majority of the outstanding voting interests in AIH, (ii) AIM controls AIH, and (iii) AIH directly controls all of the outstanding voting interests in in AI Biotechnology. Each of the Reporting Persons (other than AI Biotechnology) and each of their affiliated entities and the officers, partners, members and managers thereof, disclaims beneficial ownership of these securities.</w:t>
      </w:r>
    </w:p>
    <w:p>
      <w:pPr>
        <w:spacing w:after="0" w:line="32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121" w:lineRule="exact"/>
        <w:rPr>
          <w:sz w:val="20"/>
          <w:szCs w:val="20"/>
          <w:color w:val="auto"/>
        </w:rPr>
      </w:pPr>
    </w:p>
    <w:p>
      <w:pPr>
        <w:ind w:left="980" w:right="32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3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980" w:right="620" w:hanging="984"/>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5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440" w:top="266" w:right="539" w:bottom="1440" w:gutter="0" w:footer="0" w:header="0"/>
        </w:sectPr>
      </w:pPr>
    </w:p>
    <w:bookmarkStart w:id="7" w:name="page8"/>
    <w:bookmarkEnd w:id="7"/>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10.</w:t>
      </w:r>
      <w:r>
        <w:rPr>
          <w:sz w:val="20"/>
          <w:szCs w:val="20"/>
          <w:color w:val="auto"/>
        </w:rPr>
        <w:tab/>
      </w:r>
      <w:r>
        <w:rPr>
          <w:rFonts w:ascii="Times New Roman" w:cs="Times New Roman" w:eastAsia="Times New Roman" w:hAnsi="Times New Roman"/>
          <w:sz w:val="18"/>
          <w:szCs w:val="18"/>
          <w:b w:val="1"/>
          <w:bCs w:val="1"/>
          <w:color w:val="auto"/>
        </w:rPr>
        <w:t>Certifications.</w:t>
      </w:r>
    </w:p>
    <w:p>
      <w:pPr>
        <w:spacing w:after="0" w:line="121" w:lineRule="exact"/>
        <w:rPr>
          <w:sz w:val="20"/>
          <w:szCs w:val="20"/>
          <w:color w:val="auto"/>
        </w:rPr>
      </w:pPr>
    </w:p>
    <w:p>
      <w:pPr>
        <w:ind w:left="98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20"/>
          </w:cols>
          <w:pgMar w:left="440" w:top="266" w:right="639" w:bottom="1440" w:gutter="0" w:footer="0" w:header="0"/>
        </w:sectPr>
      </w:pPr>
    </w:p>
    <w:bookmarkStart w:id="8" w:name="page9"/>
    <w:bookmarkEnd w:id="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9, 2023</w:t>
            </w:r>
          </w:p>
        </w:tc>
        <w:tc>
          <w:tcPr>
            <w:tcW w:w="5740" w:type="dxa"/>
            <w:vAlign w:val="bottom"/>
          </w:tcPr>
          <w:p>
            <w:pPr>
              <w:spacing w:after="0"/>
              <w:rPr>
                <w:sz w:val="20"/>
                <w:szCs w:val="20"/>
                <w:color w:val="auto"/>
              </w:rPr>
            </w:pPr>
          </w:p>
        </w:tc>
      </w:tr>
      <w:tr>
        <w:trPr>
          <w:trHeight w:val="45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AI BIOTECHNOLOGY LLC</w:t>
            </w:r>
          </w:p>
        </w:tc>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By: Access Industries Management, LLC, its Manager</w:t>
            </w:r>
          </w:p>
        </w:tc>
      </w:tr>
      <w:tr>
        <w:trPr>
          <w:trHeight w:val="432"/>
        </w:trPr>
        <w:tc>
          <w:tcPr>
            <w:tcW w:w="5280" w:type="dxa"/>
            <w:vAlign w:val="bottom"/>
          </w:tcPr>
          <w:p>
            <w:pPr>
              <w:spacing w:after="0"/>
              <w:rPr>
                <w:sz w:val="24"/>
                <w:szCs w:val="24"/>
                <w:color w:val="auto"/>
              </w:rPr>
            </w:pPr>
          </w:p>
        </w:tc>
        <w:tc>
          <w:tcPr>
            <w:tcW w:w="5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Alejandro Moreno</w:t>
            </w:r>
          </w:p>
        </w:tc>
      </w:tr>
      <w:tr>
        <w:trPr>
          <w:trHeight w:val="191"/>
        </w:trPr>
        <w:tc>
          <w:tcPr>
            <w:tcW w:w="5280" w:type="dxa"/>
            <w:vAlign w:val="bottom"/>
          </w:tcPr>
          <w:p>
            <w:pPr>
              <w:spacing w:after="0"/>
              <w:rPr>
                <w:sz w:val="16"/>
                <w:szCs w:val="16"/>
                <w:color w:val="auto"/>
              </w:rPr>
            </w:pPr>
          </w:p>
        </w:tc>
        <w:tc>
          <w:tcPr>
            <w:tcW w:w="57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Name: Alejandro Moreno</w:t>
            </w:r>
          </w:p>
        </w:tc>
      </w:tr>
      <w:tr>
        <w:trPr>
          <w:trHeight w:val="234"/>
        </w:trPr>
        <w:tc>
          <w:tcPr>
            <w:tcW w:w="5280" w:type="dxa"/>
            <w:vAlign w:val="bottom"/>
          </w:tcPr>
          <w:p>
            <w:pPr>
              <w:spacing w:after="0"/>
              <w:rPr>
                <w:sz w:val="20"/>
                <w:szCs w:val="20"/>
                <w:color w:val="auto"/>
              </w:rPr>
            </w:pPr>
          </w:p>
        </w:tc>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 Executive Vice President</w:t>
            </w:r>
          </w:p>
        </w:tc>
      </w:tr>
      <w:tr>
        <w:trPr>
          <w:trHeight w:val="432"/>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ACCESS INDUSTRIES HOLDINGS LLC</w:t>
            </w:r>
          </w:p>
        </w:tc>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By: Access Industries Management, LLC, its Manager</w:t>
            </w:r>
          </w:p>
        </w:tc>
      </w:tr>
      <w:tr>
        <w:trPr>
          <w:trHeight w:val="432"/>
        </w:trPr>
        <w:tc>
          <w:tcPr>
            <w:tcW w:w="5280" w:type="dxa"/>
            <w:vAlign w:val="bottom"/>
          </w:tcPr>
          <w:p>
            <w:pPr>
              <w:spacing w:after="0"/>
              <w:rPr>
                <w:sz w:val="24"/>
                <w:szCs w:val="24"/>
                <w:color w:val="auto"/>
              </w:rPr>
            </w:pPr>
          </w:p>
        </w:tc>
        <w:tc>
          <w:tcPr>
            <w:tcW w:w="5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Alejandro Moreno</w:t>
            </w:r>
          </w:p>
        </w:tc>
      </w:tr>
      <w:tr>
        <w:trPr>
          <w:trHeight w:val="191"/>
        </w:trPr>
        <w:tc>
          <w:tcPr>
            <w:tcW w:w="5280" w:type="dxa"/>
            <w:vAlign w:val="bottom"/>
          </w:tcPr>
          <w:p>
            <w:pPr>
              <w:spacing w:after="0"/>
              <w:rPr>
                <w:sz w:val="16"/>
                <w:szCs w:val="16"/>
                <w:color w:val="auto"/>
              </w:rPr>
            </w:pPr>
          </w:p>
        </w:tc>
        <w:tc>
          <w:tcPr>
            <w:tcW w:w="57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Name: Alejandro Moreno</w:t>
            </w:r>
          </w:p>
        </w:tc>
      </w:tr>
      <w:tr>
        <w:trPr>
          <w:trHeight w:val="234"/>
        </w:trPr>
        <w:tc>
          <w:tcPr>
            <w:tcW w:w="5280" w:type="dxa"/>
            <w:vAlign w:val="bottom"/>
          </w:tcPr>
          <w:p>
            <w:pPr>
              <w:spacing w:after="0"/>
              <w:rPr>
                <w:sz w:val="20"/>
                <w:szCs w:val="20"/>
                <w:color w:val="auto"/>
              </w:rPr>
            </w:pPr>
          </w:p>
        </w:tc>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 Executive Vice President</w:t>
            </w:r>
          </w:p>
        </w:tc>
      </w:tr>
      <w:tr>
        <w:trPr>
          <w:trHeight w:val="432"/>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ACCESS INDUSTRIES MANAGEMENT, LLC</w:t>
            </w:r>
          </w:p>
        </w:tc>
        <w:tc>
          <w:tcPr>
            <w:tcW w:w="5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Alejandro Moreno</w:t>
            </w:r>
          </w:p>
        </w:tc>
      </w:tr>
      <w:tr>
        <w:trPr>
          <w:trHeight w:val="191"/>
        </w:trPr>
        <w:tc>
          <w:tcPr>
            <w:tcW w:w="5280" w:type="dxa"/>
            <w:vAlign w:val="bottom"/>
          </w:tcPr>
          <w:p>
            <w:pPr>
              <w:spacing w:after="0"/>
              <w:rPr>
                <w:sz w:val="16"/>
                <w:szCs w:val="16"/>
                <w:color w:val="auto"/>
              </w:rPr>
            </w:pPr>
          </w:p>
        </w:tc>
        <w:tc>
          <w:tcPr>
            <w:tcW w:w="57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Name: Alejandro Moreno</w:t>
            </w:r>
          </w:p>
        </w:tc>
      </w:tr>
      <w:tr>
        <w:trPr>
          <w:trHeight w:val="234"/>
        </w:trPr>
        <w:tc>
          <w:tcPr>
            <w:tcW w:w="5280" w:type="dxa"/>
            <w:vAlign w:val="bottom"/>
          </w:tcPr>
          <w:p>
            <w:pPr>
              <w:spacing w:after="0"/>
              <w:rPr>
                <w:sz w:val="20"/>
                <w:szCs w:val="20"/>
                <w:color w:val="auto"/>
              </w:rPr>
            </w:pPr>
          </w:p>
        </w:tc>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 Executive Vice President</w:t>
            </w:r>
          </w:p>
        </w:tc>
      </w:tr>
      <w:tr>
        <w:trPr>
          <w:trHeight w:val="432"/>
        </w:trPr>
        <w:tc>
          <w:tcPr>
            <w:tcW w:w="5280" w:type="dxa"/>
            <w:vAlign w:val="bottom"/>
          </w:tcPr>
          <w:p>
            <w:pPr>
              <w:spacing w:after="0"/>
              <w:rPr>
                <w:sz w:val="24"/>
                <w:szCs w:val="24"/>
                <w:color w:val="auto"/>
              </w:rPr>
            </w:pPr>
          </w:p>
        </w:tc>
        <w:tc>
          <w:tcPr>
            <w:tcW w:w="5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5280" w:type="dxa"/>
            <w:vAlign w:val="bottom"/>
          </w:tcPr>
          <w:p>
            <w:pPr>
              <w:spacing w:after="0"/>
              <w:rPr>
                <w:sz w:val="19"/>
                <w:szCs w:val="19"/>
                <w:color w:val="auto"/>
              </w:rPr>
            </w:pPr>
          </w:p>
        </w:tc>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Name: Len Blavatnik</w:t>
            </w:r>
          </w:p>
        </w:tc>
      </w:tr>
    </w:tbl>
    <w:p>
      <w:pPr>
        <w:spacing w:after="0" w:line="206" w:lineRule="exact"/>
        <w:rPr>
          <w:sz w:val="20"/>
          <w:szCs w:val="20"/>
          <w:color w:val="auto"/>
        </w:rPr>
      </w:pPr>
    </w:p>
    <w:p>
      <w:pPr>
        <w:ind w:left="224" w:right="360" w:hanging="224"/>
        <w:spacing w:after="0" w:line="282" w:lineRule="auto"/>
        <w:tabs>
          <w:tab w:leader="none" w:pos="2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by signing his name hereto, executes this Schedule 13G pursuant to the Power of Attorney executed on behalf of Mr. Blavatnik (filed as Exhibit 99.2 to his Schedule 13G related to the common stock of Pandion Therapeutics, Inc. filed on July 24, 2020).</w:t>
      </w:r>
    </w:p>
    <w:p>
      <w:pPr>
        <w:spacing w:after="0" w:line="189" w:lineRule="exact"/>
        <w:rPr>
          <w:sz w:val="20"/>
          <w:szCs w:val="20"/>
          <w:color w:val="auto"/>
        </w:rPr>
      </w:pPr>
    </w:p>
    <w:tbl>
      <w:tblPr>
        <w:tblLayout w:type="fixed"/>
        <w:tblInd w:w="5464" w:type="dxa"/>
        <w:tblCellMar>
          <w:top w:w="0" w:type="dxa"/>
          <w:left w:w="0" w:type="dxa"/>
          <w:bottom w:w="0" w:type="dxa"/>
          <w:right w:w="0" w:type="dxa"/>
        </w:tblCellMar>
      </w:tblPr>
      <w:tr>
        <w:trPr>
          <w:trHeight w:val="234"/>
        </w:trPr>
        <w:tc>
          <w:tcPr>
            <w:tcW w:w="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/s/Alejandro Moreno</w:t>
            </w:r>
          </w:p>
        </w:tc>
      </w:tr>
      <w:tr>
        <w:trPr>
          <w:trHeight w:val="191"/>
        </w:trPr>
        <w:tc>
          <w:tcPr>
            <w:tcW w:w="6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Alejandro Moreno</w:t>
            </w:r>
          </w:p>
        </w:tc>
      </w:tr>
      <w:tr>
        <w:trPr>
          <w:trHeight w:val="234"/>
        </w:trPr>
        <w:tc>
          <w:tcPr>
            <w:tcW w:w="60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Attorney-in-Fact</w:t>
            </w:r>
          </w:p>
        </w:tc>
      </w:tr>
      <w:tr>
        <w:trPr>
          <w:trHeight w:val="365"/>
        </w:trPr>
        <w:tc>
          <w:tcPr>
            <w:tcW w:w="600" w:type="dxa"/>
            <w:vAlign w:val="bottom"/>
          </w:tcPr>
          <w:p>
            <w:pPr>
              <w:jc w:val="right"/>
              <w:ind w:right="432"/>
              <w:spacing w:after="0"/>
              <w:rPr>
                <w:sz w:val="20"/>
                <w:szCs w:val="20"/>
                <w:color w:val="auto"/>
              </w:rPr>
            </w:pPr>
            <w:r>
              <w:rPr>
                <w:rFonts w:ascii="Times New Roman" w:cs="Times New Roman" w:eastAsia="Times New Roman" w:hAnsi="Times New Roman"/>
                <w:sz w:val="17"/>
                <w:szCs w:val="17"/>
                <w:color w:val="auto"/>
                <w:w w:val="70"/>
              </w:rPr>
              <w:t>9</w:t>
            </w:r>
          </w:p>
        </w:tc>
        <w:tc>
          <w:tcPr>
            <w:tcW w:w="4960" w:type="dxa"/>
            <w:vAlign w:val="bottom"/>
          </w:tcPr>
          <w:p>
            <w:pPr>
              <w:spacing w:after="0"/>
              <w:rPr>
                <w:sz w:val="24"/>
                <w:szCs w:val="24"/>
                <w:color w:val="auto"/>
              </w:rPr>
            </w:pPr>
          </w:p>
        </w:tc>
      </w:tr>
    </w:tbl>
    <w:p>
      <w:pPr>
        <w:sectPr>
          <w:pgSz w:w="11900" w:h="16838" w:orient="portrait"/>
          <w:cols w:equalWidth="0" w:num="1">
            <w:col w:w="11024"/>
          </w:cols>
          <w:pgMar w:left="436" w:top="266" w:right="4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99.1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left="4" w:right="40"/>
        <w:spacing w:after="0" w:line="277" w:lineRule="auto"/>
        <w:rPr>
          <w:sz w:val="20"/>
          <w:szCs w:val="20"/>
          <w:color w:val="auto"/>
        </w:rPr>
      </w:pPr>
      <w:r>
        <w:rPr>
          <w:rFonts w:ascii="Times New Roman" w:cs="Times New Roman" w:eastAsia="Times New Roman" w:hAnsi="Times New Roman"/>
          <w:sz w:val="17"/>
          <w:szCs w:val="17"/>
          <w:color w:val="auto"/>
        </w:rPr>
        <w:t>Pursuant to Rule 13d-1(k)(1) promulgated under the Securities Exchange Act of 1934, as amended, the undersigned agree that the Statement on Schedule 13G to which this Exhibit is attached is filed on behalf of each of them. Each of them is individually eligible to use the Schedule 13G to which this Exhibit is attached. 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WITNESS WHEREOF, the undersigned hereby execute this Joint Filing Agreement as of February 9, 2023.</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AI BIOTECHNOLOGY LLC</w:t>
            </w:r>
          </w:p>
        </w:tc>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By: Access Industries Management, LLC, its Manager</w:t>
            </w:r>
          </w:p>
        </w:tc>
      </w:tr>
      <w:tr>
        <w:trPr>
          <w:trHeight w:val="432"/>
        </w:trPr>
        <w:tc>
          <w:tcPr>
            <w:tcW w:w="5280" w:type="dxa"/>
            <w:vAlign w:val="bottom"/>
          </w:tcPr>
          <w:p>
            <w:pPr>
              <w:spacing w:after="0"/>
              <w:rPr>
                <w:sz w:val="24"/>
                <w:szCs w:val="24"/>
                <w:color w:val="auto"/>
              </w:rPr>
            </w:pPr>
          </w:p>
        </w:tc>
        <w:tc>
          <w:tcPr>
            <w:tcW w:w="5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Alejandro Moreno</w:t>
            </w:r>
          </w:p>
        </w:tc>
      </w:tr>
      <w:tr>
        <w:trPr>
          <w:trHeight w:val="191"/>
        </w:trPr>
        <w:tc>
          <w:tcPr>
            <w:tcW w:w="5280" w:type="dxa"/>
            <w:vAlign w:val="bottom"/>
          </w:tcPr>
          <w:p>
            <w:pPr>
              <w:spacing w:after="0"/>
              <w:rPr>
                <w:sz w:val="16"/>
                <w:szCs w:val="16"/>
                <w:color w:val="auto"/>
              </w:rPr>
            </w:pPr>
          </w:p>
        </w:tc>
        <w:tc>
          <w:tcPr>
            <w:tcW w:w="57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Name: Alejandro Moreno</w:t>
            </w:r>
          </w:p>
        </w:tc>
      </w:tr>
      <w:tr>
        <w:trPr>
          <w:trHeight w:val="234"/>
        </w:trPr>
        <w:tc>
          <w:tcPr>
            <w:tcW w:w="5280" w:type="dxa"/>
            <w:vAlign w:val="bottom"/>
          </w:tcPr>
          <w:p>
            <w:pPr>
              <w:spacing w:after="0"/>
              <w:rPr>
                <w:sz w:val="20"/>
                <w:szCs w:val="20"/>
                <w:color w:val="auto"/>
              </w:rPr>
            </w:pPr>
          </w:p>
        </w:tc>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 Executive Vice President</w:t>
            </w:r>
          </w:p>
        </w:tc>
      </w:tr>
      <w:tr>
        <w:trPr>
          <w:trHeight w:val="432"/>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ACCESS INDUSTRIES HOLDINGS LLC</w:t>
            </w:r>
          </w:p>
        </w:tc>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By: Access Industries Management, LLC, its Manager</w:t>
            </w:r>
          </w:p>
        </w:tc>
      </w:tr>
      <w:tr>
        <w:trPr>
          <w:trHeight w:val="432"/>
        </w:trPr>
        <w:tc>
          <w:tcPr>
            <w:tcW w:w="5280" w:type="dxa"/>
            <w:vAlign w:val="bottom"/>
          </w:tcPr>
          <w:p>
            <w:pPr>
              <w:spacing w:after="0"/>
              <w:rPr>
                <w:sz w:val="24"/>
                <w:szCs w:val="24"/>
                <w:color w:val="auto"/>
              </w:rPr>
            </w:pPr>
          </w:p>
        </w:tc>
        <w:tc>
          <w:tcPr>
            <w:tcW w:w="5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Alejandro Moreno</w:t>
            </w:r>
          </w:p>
        </w:tc>
      </w:tr>
      <w:tr>
        <w:trPr>
          <w:trHeight w:val="191"/>
        </w:trPr>
        <w:tc>
          <w:tcPr>
            <w:tcW w:w="5280" w:type="dxa"/>
            <w:vAlign w:val="bottom"/>
          </w:tcPr>
          <w:p>
            <w:pPr>
              <w:spacing w:after="0"/>
              <w:rPr>
                <w:sz w:val="16"/>
                <w:szCs w:val="16"/>
                <w:color w:val="auto"/>
              </w:rPr>
            </w:pPr>
          </w:p>
        </w:tc>
        <w:tc>
          <w:tcPr>
            <w:tcW w:w="57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Name: Alejandro Moreno</w:t>
            </w:r>
          </w:p>
        </w:tc>
      </w:tr>
      <w:tr>
        <w:trPr>
          <w:trHeight w:val="234"/>
        </w:trPr>
        <w:tc>
          <w:tcPr>
            <w:tcW w:w="5280" w:type="dxa"/>
            <w:vAlign w:val="bottom"/>
          </w:tcPr>
          <w:p>
            <w:pPr>
              <w:spacing w:after="0"/>
              <w:rPr>
                <w:sz w:val="20"/>
                <w:szCs w:val="20"/>
                <w:color w:val="auto"/>
              </w:rPr>
            </w:pPr>
          </w:p>
        </w:tc>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 Executive Vice President</w:t>
            </w:r>
          </w:p>
        </w:tc>
      </w:tr>
      <w:tr>
        <w:trPr>
          <w:trHeight w:val="432"/>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ACCESS INDUSTRIES MANAGEMENT, LLC</w:t>
            </w:r>
          </w:p>
        </w:tc>
        <w:tc>
          <w:tcPr>
            <w:tcW w:w="5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Alejandro Moreno</w:t>
            </w:r>
          </w:p>
        </w:tc>
      </w:tr>
      <w:tr>
        <w:trPr>
          <w:trHeight w:val="191"/>
        </w:trPr>
        <w:tc>
          <w:tcPr>
            <w:tcW w:w="5280" w:type="dxa"/>
            <w:vAlign w:val="bottom"/>
          </w:tcPr>
          <w:p>
            <w:pPr>
              <w:spacing w:after="0"/>
              <w:rPr>
                <w:sz w:val="16"/>
                <w:szCs w:val="16"/>
                <w:color w:val="auto"/>
              </w:rPr>
            </w:pPr>
          </w:p>
        </w:tc>
        <w:tc>
          <w:tcPr>
            <w:tcW w:w="57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Name: Alejandro Moreno</w:t>
            </w:r>
          </w:p>
        </w:tc>
      </w:tr>
      <w:tr>
        <w:trPr>
          <w:trHeight w:val="234"/>
        </w:trPr>
        <w:tc>
          <w:tcPr>
            <w:tcW w:w="5280" w:type="dxa"/>
            <w:vAlign w:val="bottom"/>
          </w:tcPr>
          <w:p>
            <w:pPr>
              <w:spacing w:after="0"/>
              <w:rPr>
                <w:sz w:val="20"/>
                <w:szCs w:val="20"/>
                <w:color w:val="auto"/>
              </w:rPr>
            </w:pPr>
          </w:p>
        </w:tc>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 Executive Vice President</w:t>
            </w:r>
          </w:p>
        </w:tc>
      </w:tr>
      <w:tr>
        <w:trPr>
          <w:trHeight w:val="432"/>
        </w:trPr>
        <w:tc>
          <w:tcPr>
            <w:tcW w:w="5280" w:type="dxa"/>
            <w:vAlign w:val="bottom"/>
          </w:tcPr>
          <w:p>
            <w:pPr>
              <w:spacing w:after="0"/>
              <w:rPr>
                <w:sz w:val="24"/>
                <w:szCs w:val="24"/>
                <w:color w:val="auto"/>
              </w:rPr>
            </w:pPr>
          </w:p>
        </w:tc>
        <w:tc>
          <w:tcPr>
            <w:tcW w:w="5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5280" w:type="dxa"/>
            <w:vAlign w:val="bottom"/>
          </w:tcPr>
          <w:p>
            <w:pPr>
              <w:spacing w:after="0"/>
              <w:rPr>
                <w:sz w:val="19"/>
                <w:szCs w:val="19"/>
                <w:color w:val="auto"/>
              </w:rPr>
            </w:pPr>
          </w:p>
        </w:tc>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Name: Len Blavatnik</w:t>
            </w:r>
          </w:p>
        </w:tc>
      </w:tr>
    </w:tbl>
    <w:p>
      <w:pPr>
        <w:spacing w:after="0" w:line="206" w:lineRule="exact"/>
        <w:rPr>
          <w:sz w:val="20"/>
          <w:szCs w:val="20"/>
          <w:color w:val="auto"/>
        </w:rPr>
      </w:pPr>
    </w:p>
    <w:p>
      <w:pPr>
        <w:jc w:val="both"/>
        <w:ind w:left="224" w:right="760" w:hanging="224"/>
        <w:spacing w:after="0" w:line="312" w:lineRule="auto"/>
        <w:tabs>
          <w:tab w:leader="none" w:pos="224"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by signing his name hereto, executes this Joint Filing Agreement pursuant to the Power of Attorney executed on behalf of Mr. Blavatnik (filed as Exhibit 99.2 to his Schedule 13G related to the common stock of Pandion Therapeutics, Inc. filed on July 24, 2020).</w:t>
      </w:r>
    </w:p>
    <w:p>
      <w:pPr>
        <w:spacing w:after="0" w:line="167" w:lineRule="exact"/>
        <w:rPr>
          <w:sz w:val="20"/>
          <w:szCs w:val="20"/>
          <w:color w:val="auto"/>
        </w:rPr>
      </w:pPr>
    </w:p>
    <w:tbl>
      <w:tblPr>
        <w:tblLayout w:type="fixed"/>
        <w:tblInd w:w="5424" w:type="dxa"/>
        <w:tblCellMar>
          <w:top w:w="0" w:type="dxa"/>
          <w:left w:w="0" w:type="dxa"/>
          <w:bottom w:w="0" w:type="dxa"/>
          <w:right w:w="0" w:type="dxa"/>
        </w:tblCellMar>
      </w:tblPr>
      <w:tr>
        <w:trPr>
          <w:trHeight w:val="234"/>
        </w:trPr>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/s/Alejandro Moreno</w:t>
            </w:r>
          </w:p>
        </w:tc>
      </w:tr>
      <w:tr>
        <w:trPr>
          <w:trHeight w:val="191"/>
        </w:trPr>
        <w:tc>
          <w:tcPr>
            <w:tcW w:w="6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Alejandro Moreno</w:t>
            </w:r>
          </w:p>
        </w:tc>
      </w:tr>
      <w:tr>
        <w:trPr>
          <w:trHeight w:val="234"/>
        </w:trPr>
        <w:tc>
          <w:tcPr>
            <w:tcW w:w="64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Attorney-in-Fact</w:t>
            </w:r>
          </w:p>
        </w:tc>
      </w:tr>
      <w:tr>
        <w:trPr>
          <w:trHeight w:val="365"/>
        </w:trPr>
        <w:tc>
          <w:tcPr>
            <w:tcW w:w="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10</w:t>
            </w:r>
          </w:p>
        </w:tc>
        <w:tc>
          <w:tcPr>
            <w:tcW w:w="49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3"/>
    </w:lvl>
    <w:lvl w:ilvl="1">
      <w:lvlJc w:val="left"/>
      <w:lvlText w:val="%2."/>
      <w:numFmt w:val="decimal"/>
      <w:start w:val="5"/>
    </w:lvl>
  </w:abstractNum>
  <w:abstractNum w:abstractNumId="6">
    <w:nsid w:val="431BD7B7"/>
    <w:multiLevelType w:val="hybridMultilevel"/>
    <w:lvl w:ilvl="0">
      <w:lvlJc w:val="left"/>
      <w:lvlText w:val="%1"/>
      <w:numFmt w:val="decimal"/>
      <w:start w:val="1"/>
    </w:lvl>
    <w:lvl w:ilvl="1">
      <w:lvlJc w:val="left"/>
      <w:lvlText w:val="%2."/>
      <w:numFmt w:val="decimal"/>
      <w:start w:val="9"/>
    </w:lvl>
  </w:abstractNum>
  <w:abstractNum w:abstractNumId="7">
    <w:nsid w:val="3F2DBA31"/>
    <w:multiLevelType w:val="hybridMultilevel"/>
    <w:lvl w:ilvl="0">
      <w:lvlJc w:val="left"/>
      <w:lvlText w:val="(%1)"/>
      <w:numFmt w:val="decimal"/>
      <w:start w:val="1"/>
    </w:lvl>
    <w:lvl w:ilvl="1">
      <w:lvlJc w:val="left"/>
      <w:lvlText w:val="%2"/>
      <w:numFmt w:val="decimal"/>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3"/>
    </w:lvl>
    <w:lvl w:ilvl="1">
      <w:lvlJc w:val="left"/>
      <w:lvlText w:val="%2."/>
      <w:numFmt w:val="decimal"/>
      <w:start w:val="5"/>
    </w:lvl>
  </w:abstractNum>
  <w:abstractNum w:abstractNumId="10">
    <w:nsid w:val="62BBD95A"/>
    <w:multiLevelType w:val="hybridMultilevel"/>
    <w:lvl w:ilvl="0">
      <w:lvlJc w:val="left"/>
      <w:lvlText w:val="%1"/>
      <w:numFmt w:val="decimal"/>
      <w:start w:val="1"/>
    </w:lvl>
    <w:lvl w:ilvl="1">
      <w:lvlJc w:val="left"/>
      <w:lvlText w:val="%2."/>
      <w:numFmt w:val="decimal"/>
      <w:start w:val="9"/>
    </w:lvl>
  </w:abstractNum>
  <w:abstractNum w:abstractNumId="11">
    <w:nsid w:val="436C6125"/>
    <w:multiLevelType w:val="hybridMultilevel"/>
    <w:lvl w:ilvl="0">
      <w:lvlJc w:val="left"/>
      <w:lvlText w:val="(%1)"/>
      <w:numFmt w:val="decimal"/>
      <w:start w:val="1"/>
    </w:lvl>
    <w:lvl w:ilvl="1">
      <w:lvlJc w:val="left"/>
      <w:lvlText w:val="%2"/>
      <w:numFmt w:val="decimal"/>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3"/>
    </w:lvl>
    <w:lvl w:ilvl="1">
      <w:lvlJc w:val="left"/>
      <w:lvlText w:val="%2."/>
      <w:numFmt w:val="decimal"/>
      <w:start w:val="5"/>
    </w:lvl>
  </w:abstractNum>
  <w:abstractNum w:abstractNumId="14">
    <w:nsid w:val="721DA317"/>
    <w:multiLevelType w:val="hybridMultilevel"/>
    <w:lvl w:ilvl="0">
      <w:lvlJc w:val="left"/>
      <w:lvlText w:val="%1"/>
      <w:numFmt w:val="decimal"/>
      <w:start w:val="1"/>
    </w:lvl>
    <w:lvl w:ilvl="1">
      <w:lvlJc w:val="left"/>
      <w:lvlText w:val="%2."/>
      <w:numFmt w:val="decimal"/>
      <w:start w:val="9"/>
    </w:lvl>
  </w:abstractNum>
  <w:abstractNum w:abstractNumId="15">
    <w:nsid w:val="2443A858"/>
    <w:multiLevelType w:val="hybridMultilevel"/>
    <w:lvl w:ilvl="0">
      <w:lvlJc w:val="left"/>
      <w:lvlText w:val="(%1)"/>
      <w:numFmt w:val="decimal"/>
      <w:start w:val="1"/>
    </w:lvl>
    <w:lvl w:ilvl="1">
      <w:lvlJc w:val="left"/>
      <w:lvlText w:val="%2"/>
      <w:numFmt w:val="decimal"/>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3"/>
    </w:lvl>
    <w:lvl w:ilvl="1">
      <w:lvlJc w:val="left"/>
      <w:lvlText w:val="%2."/>
      <w:numFmt w:val="decimal"/>
      <w:start w:val="5"/>
    </w:lvl>
  </w:abstractNum>
  <w:abstractNum w:abstractNumId="18">
    <w:nsid w:val="75A2A8D4"/>
    <w:multiLevelType w:val="hybridMultilevel"/>
    <w:lvl w:ilvl="0">
      <w:lvlJc w:val="left"/>
      <w:lvlText w:val="%1"/>
      <w:numFmt w:val="decimal"/>
      <w:start w:val="1"/>
    </w:lvl>
    <w:lvl w:ilvl="1">
      <w:lvlJc w:val="left"/>
      <w:lvlText w:val="%2."/>
      <w:numFmt w:val="decimal"/>
      <w:start w:val="9"/>
    </w:lvl>
  </w:abstractNum>
  <w:abstractNum w:abstractNumId="19">
    <w:nsid w:val="8EDBDAB"/>
    <w:multiLevelType w:val="hybridMultilevel"/>
    <w:lvl w:ilvl="0">
      <w:lvlJc w:val="left"/>
      <w:lvlText w:val="(%1)"/>
      <w:numFmt w:val="decimal"/>
      <w:start w:val="1"/>
    </w:lvl>
    <w:lvl w:ilvl="1">
      <w:lvlJc w:val="left"/>
      <w:lvlText w:val="%2"/>
      <w:numFmt w:val="decimal"/>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lowerLetter"/>
      <w:start w:val="9"/>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lowerRoman"/>
      <w:start w:val="1"/>
    </w:lvl>
  </w:abstractNum>
  <w:abstractNum w:abstractNumId="26">
    <w:nsid w:val="2CA88611"/>
    <w:multiLevelType w:val="hybridMultilevel"/>
    <w:lvl w:ilvl="0">
      <w:lvlJc w:val="left"/>
      <w:lvlText w:val="(%1)"/>
      <w:numFmt w:val="lowerRoman"/>
      <w:start w:val="2"/>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2023-02-09T15:00:18Z</dcterms:created>
  <dcterms:modified xsi:type="dcterms:W3CDTF">2023-02-09T15:00:18Z</dcterms:modified>
</cp:coreProperties>
</file>