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388" w:lineRule="exact"/>
        <w:rPr>
          <w:sz w:val="24"/>
          <w:szCs w:val="24"/>
          <w:color w:val="auto"/>
        </w:rPr>
      </w:pPr>
    </w:p>
    <w:p>
      <w:pPr>
        <w:jc w:val="center"/>
        <w:ind w:right="-200"/>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2"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107950</wp:posOffset>
            </wp:positionV>
            <wp:extent cx="10960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96" w:lineRule="exact"/>
        <w:rPr>
          <w:sz w:val="24"/>
          <w:szCs w:val="24"/>
          <w:color w:val="auto"/>
        </w:rPr>
      </w:pPr>
    </w:p>
    <w:p>
      <w:pPr>
        <w:jc w:val="center"/>
        <w:ind w:right="-260"/>
        <w:spacing w:after="0"/>
        <w:rPr>
          <w:sz w:val="20"/>
          <w:szCs w:val="20"/>
          <w:color w:val="auto"/>
        </w:rPr>
      </w:pPr>
      <w:r>
        <w:rPr>
          <w:rFonts w:ascii="Arial" w:cs="Arial" w:eastAsia="Arial" w:hAnsi="Arial"/>
          <w:sz w:val="22"/>
          <w:szCs w:val="22"/>
          <w:b w:val="1"/>
          <w:bCs w:val="1"/>
          <w:color w:val="auto"/>
        </w:rPr>
        <w:t>SCHEDULE 14A</w:t>
      </w:r>
    </w:p>
    <w:p>
      <w:pPr>
        <w:spacing w:after="0" w:line="38"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(Rule 14a-101)</w:t>
      </w:r>
    </w:p>
    <w:p>
      <w:pPr>
        <w:spacing w:after="0" w:line="93"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4"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9279"/>
          </w:cols>
          <w:pgMar w:left="1180" w:top="228" w:right="1440" w:bottom="1440" w:gutter="0" w:footer="0" w:header="0"/>
        </w:sectPr>
      </w:pPr>
    </w:p>
    <w:p>
      <w:pPr>
        <w:spacing w:after="0" w:line="26" w:lineRule="exact"/>
        <w:rPr>
          <w:sz w:val="24"/>
          <w:szCs w:val="24"/>
          <w:color w:val="auto"/>
        </w:rPr>
      </w:pPr>
    </w:p>
    <w:p>
      <w:pPr>
        <w:ind w:left="2760" w:firstLine="404"/>
        <w:spacing w:after="0" w:line="338" w:lineRule="auto"/>
        <w:rPr>
          <w:sz w:val="20"/>
          <w:szCs w:val="20"/>
          <w:color w:val="auto"/>
        </w:rPr>
      </w:pPr>
      <w:r>
        <w:rPr>
          <w:rFonts w:ascii="Arial" w:cs="Arial" w:eastAsia="Arial" w:hAnsi="Arial"/>
          <w:sz w:val="14"/>
          <w:szCs w:val="14"/>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34925</wp:posOffset>
            </wp:positionV>
            <wp:extent cx="10960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21" w:lineRule="exact"/>
        <w:rPr>
          <w:sz w:val="24"/>
          <w:szCs w:val="24"/>
          <w:color w:val="auto"/>
        </w:rPr>
      </w:pPr>
    </w:p>
    <w:p>
      <w:pPr>
        <w:sectPr>
          <w:pgSz w:w="11900" w:h="16838" w:orient="portrait"/>
          <w:cols w:equalWidth="0" w:num="2">
            <w:col w:w="6340" w:space="380"/>
            <w:col w:w="2559"/>
          </w:cols>
          <w:pgMar w:left="1180" w:top="228" w:right="1440" w:bottom="1440" w:gutter="0" w:footer="0" w:header="0"/>
          <w:type w:val="continuous"/>
        </w:sectPr>
      </w:pPr>
    </w:p>
    <w:p>
      <w:pPr>
        <w:ind w:left="440"/>
        <w:spacing w:after="0" w:line="184" w:lineRule="exact"/>
        <w:tabs>
          <w:tab w:leader="none" w:pos="208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8" w:lineRule="exact"/>
        <w:rPr>
          <w:sz w:val="24"/>
          <w:szCs w:val="24"/>
          <w:color w:val="auto"/>
        </w:rPr>
      </w:pPr>
    </w:p>
    <w:p>
      <w:pPr>
        <w:ind w:left="440"/>
        <w:spacing w:after="0" w:line="184" w:lineRule="exact"/>
        <w:tabs>
          <w:tab w:leader="none" w:pos="332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Check the appropriate box:</w:t>
      </w:r>
    </w:p>
    <w:p>
      <w:pPr>
        <w:spacing w:after="0" w:line="32" w:lineRule="exact"/>
        <w:rPr>
          <w:sz w:val="24"/>
          <w:szCs w:val="24"/>
          <w:color w:val="auto"/>
        </w:rPr>
      </w:pPr>
    </w:p>
    <w:p>
      <w:pPr>
        <w:ind w:left="760" w:hanging="322"/>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8" w:lineRule="exact"/>
        <w:rPr>
          <w:rFonts w:ascii="MS PGothic" w:cs="MS PGothic" w:eastAsia="MS PGothic" w:hAnsi="MS PGothic"/>
          <w:sz w:val="16"/>
          <w:szCs w:val="16"/>
          <w:color w:val="auto"/>
        </w:rPr>
      </w:pPr>
    </w:p>
    <w:p>
      <w:pPr>
        <w:ind w:left="760" w:hanging="322"/>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31" w:lineRule="exact"/>
        <w:rPr>
          <w:rFonts w:ascii="MS PGothic" w:cs="MS PGothic" w:eastAsia="MS PGothic" w:hAnsi="MS PGothic"/>
          <w:sz w:val="16"/>
          <w:szCs w:val="16"/>
          <w:color w:val="auto"/>
        </w:rPr>
      </w:pPr>
    </w:p>
    <w:p>
      <w:pPr>
        <w:ind w:left="44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37" w:lineRule="exact"/>
        <w:rPr>
          <w:rFonts w:ascii="MS PGothic" w:cs="MS PGothic" w:eastAsia="MS PGothic" w:hAnsi="MS PGothic"/>
          <w:sz w:val="16"/>
          <w:szCs w:val="16"/>
          <w:color w:val="auto"/>
        </w:rPr>
      </w:pPr>
    </w:p>
    <w:p>
      <w:pPr>
        <w:ind w:left="760" w:hanging="322"/>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8" w:lineRule="exact"/>
        <w:rPr>
          <w:rFonts w:ascii="MS PGothic" w:cs="MS PGothic" w:eastAsia="MS PGothic" w:hAnsi="MS PGothic"/>
          <w:sz w:val="16"/>
          <w:szCs w:val="16"/>
          <w:color w:val="auto"/>
        </w:rPr>
      </w:pPr>
    </w:p>
    <w:p>
      <w:pPr>
        <w:ind w:left="760" w:hanging="322"/>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88" w:lineRule="exact"/>
        <w:rPr>
          <w:sz w:val="24"/>
          <w:szCs w:val="24"/>
          <w:color w:val="auto"/>
        </w:rPr>
      </w:pPr>
    </w:p>
    <w:p>
      <w:pPr>
        <w:jc w:val="center"/>
        <w:ind w:right="-260"/>
        <w:spacing w:after="0"/>
        <w:rPr>
          <w:sz w:val="20"/>
          <w:szCs w:val="20"/>
          <w:color w:val="auto"/>
        </w:rPr>
      </w:pPr>
      <w:r>
        <w:rPr>
          <w:rFonts w:ascii="Arial" w:cs="Arial" w:eastAsia="Arial" w:hAnsi="Arial"/>
          <w:sz w:val="22"/>
          <w:szCs w:val="22"/>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27940</wp:posOffset>
            </wp:positionV>
            <wp:extent cx="54883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8305" cy="7620"/>
                    </a:xfrm>
                    <a:prstGeom prst="rect">
                      <a:avLst/>
                    </a:prstGeom>
                    <a:noFill/>
                  </pic:spPr>
                </pic:pic>
              </a:graphicData>
            </a:graphic>
          </wp:anchor>
        </w:drawing>
      </w:r>
    </w:p>
    <w:p>
      <w:pPr>
        <w:spacing w:after="0" w:line="88" w:lineRule="exact"/>
        <w:rPr>
          <w:sz w:val="24"/>
          <w:szCs w:val="24"/>
          <w:color w:val="auto"/>
        </w:rPr>
      </w:pPr>
    </w:p>
    <w:p>
      <w:pPr>
        <w:jc w:val="center"/>
        <w:ind w:right="-260"/>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184150</wp:posOffset>
            </wp:positionV>
            <wp:extent cx="54883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8305" cy="7620"/>
                    </a:xfrm>
                    <a:prstGeom prst="rect">
                      <a:avLst/>
                    </a:prstGeom>
                    <a:noFill/>
                  </pic:spPr>
                </pic:pic>
              </a:graphicData>
            </a:graphic>
          </wp:anchor>
        </w:drawing>
      </w:r>
    </w:p>
    <w:p>
      <w:pPr>
        <w:spacing w:after="0" w:line="298" w:lineRule="exact"/>
        <w:rPr>
          <w:sz w:val="24"/>
          <w:szCs w:val="24"/>
          <w:color w:val="auto"/>
        </w:rPr>
      </w:pPr>
    </w:p>
    <w:p>
      <w:pPr>
        <w:ind w:left="290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Payment of Filing Fee (Check the appropriate box):</w:t>
      </w:r>
    </w:p>
    <w:p>
      <w:pPr>
        <w:spacing w:after="0" w:line="56" w:lineRule="exact"/>
        <w:rPr>
          <w:sz w:val="24"/>
          <w:szCs w:val="24"/>
          <w:color w:val="auto"/>
        </w:rPr>
      </w:pPr>
    </w:p>
    <w:p>
      <w:pPr>
        <w:ind w:left="760" w:hanging="322"/>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68" w:lineRule="exact"/>
        <w:rPr>
          <w:sz w:val="24"/>
          <w:szCs w:val="24"/>
          <w:color w:val="auto"/>
        </w:rPr>
      </w:pPr>
    </w:p>
    <w:p>
      <w:pPr>
        <w:ind w:left="760" w:hanging="322"/>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91" w:lineRule="exact"/>
        <w:rPr>
          <w:rFonts w:ascii="MS PGothic" w:cs="MS PGothic" w:eastAsia="MS PGothic" w:hAnsi="MS PGothic"/>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43"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43" w:lineRule="exact"/>
        <w:rPr>
          <w:rFonts w:ascii="Arial" w:cs="Arial" w:eastAsia="Arial" w:hAnsi="Arial"/>
          <w:sz w:val="16"/>
          <w:szCs w:val="16"/>
          <w:color w:val="auto"/>
        </w:rPr>
      </w:pPr>
    </w:p>
    <w:p>
      <w:pPr>
        <w:ind w:left="1080" w:right="519" w:hanging="322"/>
        <w:spacing w:after="0" w:line="276" w:lineRule="auto"/>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96"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43"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760" w:hanging="322"/>
        <w:spacing w:after="0"/>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79" w:lineRule="exact"/>
        <w:rPr>
          <w:rFonts w:ascii="MS PGothic" w:cs="MS PGothic" w:eastAsia="MS PGothic" w:hAnsi="MS PGothic"/>
          <w:sz w:val="16"/>
          <w:szCs w:val="16"/>
          <w:color w:val="auto"/>
        </w:rPr>
      </w:pPr>
    </w:p>
    <w:p>
      <w:pPr>
        <w:ind w:left="760" w:right="279" w:hanging="322"/>
        <w:spacing w:after="0" w:line="263" w:lineRule="auto"/>
        <w:tabs>
          <w:tab w:leader="none" w:pos="7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0" w:lineRule="exact"/>
        <w:rPr>
          <w:rFonts w:ascii="MS PGothic" w:cs="MS PGothic" w:eastAsia="MS PGothic" w:hAnsi="MS PGothic"/>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07"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9"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07" w:lineRule="exact"/>
        <w:rPr>
          <w:rFonts w:ascii="Arial" w:cs="Arial" w:eastAsia="Arial" w:hAnsi="Arial"/>
          <w:sz w:val="16"/>
          <w:szCs w:val="16"/>
          <w:color w:val="auto"/>
        </w:rPr>
      </w:pPr>
    </w:p>
    <w:p>
      <w:pPr>
        <w:ind w:left="1080" w:hanging="322"/>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-3168015</wp:posOffset>
            </wp:positionV>
            <wp:extent cx="50850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-2833370</wp:posOffset>
            </wp:positionV>
            <wp:extent cx="50850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-2376805</wp:posOffset>
            </wp:positionV>
            <wp:extent cx="5085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-2041525</wp:posOffset>
            </wp:positionV>
            <wp:extent cx="50850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-1706880</wp:posOffset>
            </wp:positionV>
            <wp:extent cx="5085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-785495</wp:posOffset>
            </wp:positionV>
            <wp:extent cx="50850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-473710</wp:posOffset>
            </wp:positionV>
            <wp:extent cx="50850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-153670</wp:posOffset>
            </wp:positionV>
            <wp:extent cx="50850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wp:posOffset>
            </wp:positionH>
            <wp:positionV relativeFrom="paragraph">
              <wp:posOffset>157480</wp:posOffset>
            </wp:positionV>
            <wp:extent cx="50850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8508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606171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228" w:right="1440" w:bottom="1440" w:gutter="0" w:footer="0" w:header="0"/>
          <w:type w:val="continuous"/>
        </w:sectPr>
      </w:pPr>
    </w:p>
    <w:bookmarkStart w:id="1" w:name="page2"/>
    <w:bookmarkEnd w:id="1"/>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20"/>
        <w:spacing w:after="0"/>
        <w:rPr>
          <w:sz w:val="20"/>
          <w:szCs w:val="20"/>
          <w:color w:val="auto"/>
        </w:rPr>
      </w:pPr>
      <w:r>
        <w:rPr>
          <w:rFonts w:ascii="Arial" w:cs="Arial" w:eastAsia="Arial" w:hAnsi="Arial"/>
          <w:sz w:val="26"/>
          <w:szCs w:val="26"/>
          <w:b w:val="1"/>
          <w:bCs w:val="1"/>
          <w:color w:val="auto"/>
        </w:rPr>
        <w:t>Verona Pharma plc</w:t>
      </w:r>
    </w:p>
    <w:p>
      <w:pPr>
        <w:spacing w:after="0" w:line="200" w:lineRule="exact"/>
        <w:rPr>
          <w:sz w:val="20"/>
          <w:szCs w:val="20"/>
          <w:color w:val="auto"/>
        </w:rPr>
      </w:pPr>
    </w:p>
    <w:p>
      <w:pPr>
        <w:spacing w:after="0" w:line="259" w:lineRule="exact"/>
        <w:rPr>
          <w:sz w:val="20"/>
          <w:szCs w:val="20"/>
          <w:color w:val="auto"/>
        </w:rPr>
      </w:pPr>
    </w:p>
    <w:p>
      <w:pPr>
        <w:ind w:left="1120"/>
        <w:spacing w:after="0"/>
        <w:rPr>
          <w:sz w:val="20"/>
          <w:szCs w:val="20"/>
          <w:color w:val="auto"/>
        </w:rPr>
      </w:pPr>
      <w:r>
        <w:rPr>
          <w:rFonts w:ascii="Arial" w:cs="Arial" w:eastAsia="Arial" w:hAnsi="Arial"/>
          <w:sz w:val="47"/>
          <w:szCs w:val="47"/>
          <w:color w:val="auto"/>
        </w:rPr>
        <w:t>NOTICE &amp; PROXY STATEMENT</w:t>
      </w:r>
    </w:p>
    <w:p>
      <w:pPr>
        <w:spacing w:after="0" w:line="114" w:lineRule="exact"/>
        <w:rPr>
          <w:sz w:val="20"/>
          <w:szCs w:val="20"/>
          <w:color w:val="auto"/>
        </w:rPr>
      </w:pPr>
    </w:p>
    <w:p>
      <w:pPr>
        <w:ind w:left="1120"/>
        <w:spacing w:after="0"/>
        <w:rPr>
          <w:sz w:val="20"/>
          <w:szCs w:val="20"/>
          <w:color w:val="auto"/>
        </w:rPr>
      </w:pPr>
      <w:r>
        <w:rPr>
          <w:rFonts w:ascii="Arial" w:cs="Arial" w:eastAsia="Arial" w:hAnsi="Arial"/>
          <w:sz w:val="40"/>
          <w:szCs w:val="40"/>
          <w:color w:val="auto"/>
        </w:rPr>
        <w:t>Annual General Meeting</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40"/>
          <w:szCs w:val="40"/>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April 27, 2021</w:t>
      </w:r>
    </w:p>
    <w:p>
      <w:pPr>
        <w:spacing w:after="0" w:line="12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1:00 p.m. (British Summer Time)</w:t>
      </w:r>
    </w:p>
    <w:p>
      <w:pPr>
        <w:spacing w:after="0" w:line="200" w:lineRule="exact"/>
        <w:rPr>
          <w:sz w:val="20"/>
          <w:szCs w:val="20"/>
          <w:color w:val="auto"/>
        </w:rPr>
      </w:pPr>
    </w:p>
    <w:p>
      <w:pPr>
        <w:spacing w:after="0" w:line="367"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VERONA PHARMA PLC</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ONE CENTRAL SQUARE</w:t>
      </w:r>
    </w:p>
    <w:p>
      <w:pPr>
        <w:ind w:left="1120"/>
        <w:spacing w:after="0" w:line="237" w:lineRule="auto"/>
        <w:rPr>
          <w:sz w:val="20"/>
          <w:szCs w:val="20"/>
          <w:color w:val="auto"/>
        </w:rPr>
      </w:pPr>
      <w:r>
        <w:rPr>
          <w:rFonts w:ascii="Arial" w:cs="Arial" w:eastAsia="Arial" w:hAnsi="Arial"/>
          <w:sz w:val="19"/>
          <w:szCs w:val="19"/>
          <w:b w:val="1"/>
          <w:bCs w:val="1"/>
          <w:color w:val="auto"/>
        </w:rPr>
        <w:t>CARDIFF, CF10 1FS</w:t>
      </w:r>
    </w:p>
    <w:p>
      <w:pPr>
        <w:ind w:left="1120"/>
        <w:spacing w:after="0"/>
        <w:rPr>
          <w:sz w:val="20"/>
          <w:szCs w:val="20"/>
          <w:color w:val="auto"/>
        </w:rPr>
      </w:pPr>
      <w:r>
        <w:rPr>
          <w:rFonts w:ascii="Arial" w:cs="Arial" w:eastAsia="Arial" w:hAnsi="Arial"/>
          <w:sz w:val="19"/>
          <w:szCs w:val="19"/>
          <w:b w:val="1"/>
          <w:bCs w:val="1"/>
          <w:color w:val="auto"/>
        </w:rPr>
        <w:t>WALES,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606171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 w:name="page3"/>
    <w:bookmarkEnd w:id="2"/>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435610</wp:posOffset>
            </wp:positionV>
            <wp:extent cx="1499870" cy="578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VERONA PHARMA PLC</w:t>
      </w:r>
    </w:p>
    <w:p>
      <w:pPr>
        <w:spacing w:after="0" w:line="200"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Registered office: One Central Square, Cardiff, CF10 1FS, Wales, U.K.</w:t>
      </w:r>
    </w:p>
    <w:p>
      <w:pPr>
        <w:spacing w:after="0" w:line="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Incorporated in England and Wales with registered no. 5375156</w:t>
      </w:r>
    </w:p>
    <w:p>
      <w:pPr>
        <w:spacing w:after="0" w:line="102" w:lineRule="exact"/>
        <w:rPr>
          <w:sz w:val="20"/>
          <w:szCs w:val="20"/>
          <w:color w:val="auto"/>
        </w:rPr>
      </w:pPr>
    </w:p>
    <w:p>
      <w:pPr>
        <w:jc w:val="right"/>
        <w:ind w:right="879"/>
        <w:spacing w:after="0"/>
        <w:rPr>
          <w:sz w:val="20"/>
          <w:szCs w:val="20"/>
          <w:color w:val="auto"/>
        </w:rPr>
      </w:pPr>
      <w:r>
        <w:rPr>
          <w:rFonts w:ascii="Arial" w:cs="Arial" w:eastAsia="Arial" w:hAnsi="Arial"/>
          <w:sz w:val="16"/>
          <w:szCs w:val="16"/>
          <w:color w:val="auto"/>
        </w:rPr>
        <w:t>March 19, 2021</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Dear Shareholder:</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2021 Annual General Meeting of Verona Pharma plc (“AGM”)</w:t>
      </w:r>
    </w:p>
    <w:p>
      <w:pPr>
        <w:spacing w:after="0" w:line="132" w:lineRule="exact"/>
        <w:rPr>
          <w:sz w:val="20"/>
          <w:szCs w:val="20"/>
          <w:color w:val="auto"/>
        </w:rPr>
      </w:pPr>
    </w:p>
    <w:p>
      <w:pPr>
        <w:ind w:left="1120" w:right="959" w:firstLine="320"/>
        <w:spacing w:after="0" w:line="239" w:lineRule="auto"/>
        <w:rPr>
          <w:sz w:val="20"/>
          <w:szCs w:val="20"/>
          <w:color w:val="auto"/>
        </w:rPr>
      </w:pPr>
      <w:r>
        <w:rPr>
          <w:rFonts w:ascii="Arial" w:cs="Arial" w:eastAsia="Arial" w:hAnsi="Arial"/>
          <w:sz w:val="16"/>
          <w:szCs w:val="16"/>
          <w:color w:val="auto"/>
        </w:rPr>
        <w:t>This letter, the notice of AGM set out in this document (“Notice”) and associated materials for the AGM are being sent to you because, as of March 12, 2021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111" w:lineRule="exact"/>
        <w:rPr>
          <w:sz w:val="20"/>
          <w:szCs w:val="20"/>
          <w:color w:val="auto"/>
        </w:rPr>
      </w:pPr>
    </w:p>
    <w:p>
      <w:pPr>
        <w:ind w:left="1120" w:right="919" w:firstLine="320"/>
        <w:spacing w:after="0" w:line="247" w:lineRule="auto"/>
        <w:rPr>
          <w:sz w:val="20"/>
          <w:szCs w:val="20"/>
          <w:color w:val="auto"/>
        </w:rPr>
      </w:pPr>
      <w:r>
        <w:rPr>
          <w:rFonts w:ascii="Arial" w:cs="Arial" w:eastAsia="Arial" w:hAnsi="Arial"/>
          <w:sz w:val="16"/>
          <w:szCs w:val="16"/>
          <w:color w:val="auto"/>
        </w:rPr>
        <w:t>I confirm that our AGM will be held electronically as a telephone meeting at 1:00 p.m. British Summer Time (8:00 a.m. Eastern Time) on Tuesday, April 27, 2021. The Notice is set out in this document and it contains the resolutions to be proposed at the AGM.</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Impact of COVID-19</w:t>
      </w:r>
    </w:p>
    <w:p>
      <w:pPr>
        <w:spacing w:after="0" w:line="144" w:lineRule="exact"/>
        <w:rPr>
          <w:sz w:val="20"/>
          <w:szCs w:val="20"/>
          <w:color w:val="auto"/>
        </w:rPr>
      </w:pPr>
    </w:p>
    <w:p>
      <w:pPr>
        <w:ind w:left="1120" w:right="979" w:firstLine="320"/>
        <w:spacing w:after="0" w:line="264" w:lineRule="auto"/>
        <w:rPr>
          <w:sz w:val="20"/>
          <w:szCs w:val="20"/>
          <w:color w:val="auto"/>
        </w:rPr>
      </w:pPr>
      <w:r>
        <w:rPr>
          <w:rFonts w:ascii="Arial" w:cs="Arial" w:eastAsia="Arial" w:hAnsi="Arial"/>
          <w:sz w:val="15"/>
          <w:szCs w:val="15"/>
          <w:color w:val="auto"/>
        </w:rPr>
        <w:t>The health and wellbeing of the shareholders, employees and other stakeholders has been the Board of Directors’ priority in the planning of the AGM. In light of the restrictions on movement and gatherings imposed by the UK Government in response to the COVID-19 pandemic, and in accordance with our Articles, we have decided that the AGM will be held electronically as a telephone meeting.</w:t>
      </w:r>
    </w:p>
    <w:p>
      <w:pPr>
        <w:spacing w:after="0" w:line="148" w:lineRule="exact"/>
        <w:rPr>
          <w:sz w:val="20"/>
          <w:szCs w:val="20"/>
          <w:color w:val="auto"/>
        </w:rPr>
      </w:pPr>
    </w:p>
    <w:p>
      <w:pPr>
        <w:ind w:left="1120" w:right="899"/>
        <w:spacing w:after="0" w:line="245" w:lineRule="auto"/>
        <w:rPr>
          <w:sz w:val="20"/>
          <w:szCs w:val="20"/>
          <w:color w:val="auto"/>
        </w:rPr>
      </w:pPr>
      <w:r>
        <w:rPr>
          <w:rFonts w:ascii="Arial" w:cs="Arial" w:eastAsia="Arial" w:hAnsi="Arial"/>
          <w:sz w:val="16"/>
          <w:szCs w:val="16"/>
          <w:b w:val="1"/>
          <w:bCs w:val="1"/>
          <w:color w:val="auto"/>
        </w:rPr>
        <w:t>The Board of Directors strongly encourages all shareholders to exercise their votes by submitting their proxy in advance of the AGM and to appoint the Chairman of the AGM as their proxy with their voting instructions to ensure that the AGM is quorate and to vote on the proposed resolutions. You will not be able to vote your shares at the AGM via teleconference.</w:t>
      </w:r>
    </w:p>
    <w:p>
      <w:pPr>
        <w:spacing w:after="0" w:line="92" w:lineRule="exact"/>
        <w:rPr>
          <w:sz w:val="20"/>
          <w:szCs w:val="20"/>
          <w:color w:val="auto"/>
        </w:rPr>
      </w:pPr>
    </w:p>
    <w:p>
      <w:pPr>
        <w:jc w:val="both"/>
        <w:ind w:left="1120" w:right="1019" w:firstLine="320"/>
        <w:spacing w:after="0" w:line="247" w:lineRule="auto"/>
        <w:rPr>
          <w:sz w:val="20"/>
          <w:szCs w:val="20"/>
          <w:color w:val="auto"/>
        </w:rPr>
      </w:pPr>
      <w:r>
        <w:rPr>
          <w:rFonts w:ascii="Arial" w:cs="Arial" w:eastAsia="Arial" w:hAnsi="Arial"/>
          <w:sz w:val="16"/>
          <w:szCs w:val="16"/>
          <w:color w:val="auto"/>
        </w:rPr>
        <w:t>The return of a completed form of proxy will not preclude a shareholder from attending the AGM by telephone, should they subsequently decide to do so, however you must appoint the Chairman of the AGM as your proxy for your vote to be counted.</w:t>
      </w:r>
    </w:p>
    <w:p>
      <w:pPr>
        <w:spacing w:after="0" w:line="103" w:lineRule="exact"/>
        <w:rPr>
          <w:sz w:val="20"/>
          <w:szCs w:val="20"/>
          <w:color w:val="auto"/>
        </w:rPr>
      </w:pPr>
    </w:p>
    <w:p>
      <w:pPr>
        <w:ind w:left="1120" w:right="879" w:firstLine="320"/>
        <w:spacing w:after="0" w:line="259" w:lineRule="auto"/>
        <w:rPr>
          <w:sz w:val="20"/>
          <w:szCs w:val="20"/>
          <w:color w:val="auto"/>
        </w:rPr>
      </w:pPr>
      <w:r>
        <w:rPr>
          <w:rFonts w:ascii="Arial" w:cs="Arial" w:eastAsia="Arial" w:hAnsi="Arial"/>
          <w:sz w:val="15"/>
          <w:szCs w:val="15"/>
          <w:color w:val="auto"/>
        </w:rPr>
        <w:t xml:space="preserve">The Board of Directors recognizes that the AGM provides an invaluable opportunity to engage directly with shareholders and to respond to any questions. Whilst there will be an opportunity for shareholders to attend a live Q&amp;A session during the AGM, in order for the AGM to run in an expedient manner, the Board of Directors strongly encourages shareholders to submit any questions they may have relating to the business of the AGM in advance by email to the Company Secretary at </w:t>
      </w:r>
      <w:r>
        <w:rPr>
          <w:rFonts w:ascii="Arial" w:cs="Arial" w:eastAsia="Arial" w:hAnsi="Arial"/>
          <w:sz w:val="15"/>
          <w:szCs w:val="15"/>
          <w:b w:val="1"/>
          <w:bCs w:val="1"/>
          <w:color w:val="auto"/>
        </w:rPr>
        <w:t>ben.harber@shma.co.uk</w:t>
      </w:r>
      <w:r>
        <w:rPr>
          <w:rFonts w:ascii="Arial" w:cs="Arial" w:eastAsia="Arial" w:hAnsi="Arial"/>
          <w:sz w:val="15"/>
          <w:szCs w:val="15"/>
          <w:color w:val="auto"/>
        </w:rPr>
        <w:t xml:space="preserve"> by </w:t>
      </w:r>
      <w:r>
        <w:rPr>
          <w:rFonts w:ascii="Arial" w:cs="Arial" w:eastAsia="Arial" w:hAnsi="Arial"/>
          <w:sz w:val="15"/>
          <w:szCs w:val="15"/>
          <w:b w:val="1"/>
          <w:bCs w:val="1"/>
          <w:color w:val="auto"/>
        </w:rPr>
        <w:t>1:00 p.m.</w:t>
      </w:r>
      <w:r>
        <w:rPr>
          <w:rFonts w:ascii="Arial" w:cs="Arial" w:eastAsia="Arial" w:hAnsi="Arial"/>
          <w:sz w:val="15"/>
          <w:szCs w:val="15"/>
          <w:color w:val="auto"/>
        </w:rPr>
        <w:t xml:space="preserve"> </w:t>
      </w:r>
      <w:r>
        <w:rPr>
          <w:rFonts w:ascii="Arial" w:cs="Arial" w:eastAsia="Arial" w:hAnsi="Arial"/>
          <w:sz w:val="15"/>
          <w:szCs w:val="15"/>
          <w:b w:val="1"/>
          <w:bCs w:val="1"/>
          <w:color w:val="auto"/>
        </w:rPr>
        <w:t>British Summer Time (8:00 a.m. Eastern Time) on April 23, 2021.</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Action to be taken by holders of ordinary shares in the Company</w:t>
      </w:r>
    </w:p>
    <w:p>
      <w:pPr>
        <w:spacing w:after="0" w:line="14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If you are a holder of ADSs, please ignore this section and refer instead to the section below</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i w:val="1"/>
          <w:iCs w:val="1"/>
          <w:color w:val="auto"/>
        </w:rPr>
        <w:t>Holders of American Depositary Shares</w:t>
      </w:r>
      <w:r>
        <w:rPr>
          <w:rFonts w:ascii="Arial" w:cs="Arial" w:eastAsia="Arial" w:hAnsi="Arial"/>
          <w:sz w:val="16"/>
          <w:szCs w:val="16"/>
          <w:color w:val="auto"/>
        </w:rPr>
        <w:t>”.</w:t>
      </w:r>
    </w:p>
    <w:p>
      <w:pPr>
        <w:spacing w:after="0" w:line="102" w:lineRule="exact"/>
        <w:rPr>
          <w:sz w:val="20"/>
          <w:szCs w:val="20"/>
          <w:color w:val="auto"/>
        </w:rPr>
      </w:pPr>
    </w:p>
    <w:p>
      <w:pPr>
        <w:jc w:val="both"/>
        <w:ind w:left="1120" w:right="1019" w:firstLine="320"/>
        <w:spacing w:after="0" w:line="300" w:lineRule="auto"/>
        <w:rPr>
          <w:sz w:val="20"/>
          <w:szCs w:val="20"/>
          <w:color w:val="auto"/>
        </w:rPr>
      </w:pPr>
      <w:r>
        <w:rPr>
          <w:rFonts w:ascii="Arial" w:cs="Arial" w:eastAsia="Arial" w:hAnsi="Arial"/>
          <w:sz w:val="14"/>
          <w:szCs w:val="14"/>
          <w:color w:val="auto"/>
        </w:rPr>
        <w:t xml:space="preserve">If you are a holder of voting ordinary shares in the Company, please vote on the proposed resolutions by appointing a proxy. A form of proxy for use at the AGM is enclosed. </w:t>
      </w:r>
      <w:r>
        <w:rPr>
          <w:rFonts w:ascii="Arial" w:cs="Arial" w:eastAsia="Arial" w:hAnsi="Arial"/>
          <w:sz w:val="14"/>
          <w:szCs w:val="14"/>
          <w:b w:val="1"/>
          <w:bCs w:val="1"/>
          <w:color w:val="auto"/>
        </w:rPr>
        <w:t>Whether or not you plan to attend</w:t>
      </w:r>
      <w:r>
        <w:rPr>
          <w:rFonts w:ascii="Arial" w:cs="Arial" w:eastAsia="Arial" w:hAnsi="Arial"/>
          <w:sz w:val="14"/>
          <w:szCs w:val="14"/>
          <w:color w:val="auto"/>
        </w:rPr>
        <w:t xml:space="preserve"> </w:t>
      </w:r>
      <w:r>
        <w:rPr>
          <w:rFonts w:ascii="Arial" w:cs="Arial" w:eastAsia="Arial" w:hAnsi="Arial"/>
          <w:sz w:val="14"/>
          <w:szCs w:val="14"/>
          <w:b w:val="1"/>
          <w:bCs w:val="1"/>
          <w:color w:val="auto"/>
        </w:rPr>
        <w:t>the AGM via teleconference, you are strongly encouraged to appoint the Chairman of the AGM as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606171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 w:name="page4"/>
    <w:bookmarkEnd w:id="3"/>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20" w:right="879"/>
        <w:spacing w:after="0" w:line="266" w:lineRule="auto"/>
        <w:rPr>
          <w:sz w:val="20"/>
          <w:szCs w:val="20"/>
          <w:color w:val="auto"/>
        </w:rPr>
      </w:pPr>
      <w:r>
        <w:rPr>
          <w:rFonts w:ascii="Arial" w:cs="Arial" w:eastAsia="Arial" w:hAnsi="Arial"/>
          <w:sz w:val="16"/>
          <w:szCs w:val="16"/>
          <w:b w:val="1"/>
          <w:bCs w:val="1"/>
          <w:color w:val="auto"/>
        </w:rPr>
        <w:t>and to provide voting instructions in advance of the AGM. This is because neither shareholders nor any other named person will be able to attend the AGM in person and you will not be able to vote your shares at the AGM via teleconference.</w:t>
      </w:r>
    </w:p>
    <w:p>
      <w:pPr>
        <w:spacing w:after="0" w:line="88" w:lineRule="exact"/>
        <w:rPr>
          <w:sz w:val="20"/>
          <w:szCs w:val="20"/>
          <w:color w:val="auto"/>
        </w:rPr>
      </w:pPr>
    </w:p>
    <w:p>
      <w:pPr>
        <w:ind w:left="1120" w:right="879" w:firstLine="320"/>
        <w:spacing w:after="0" w:line="241" w:lineRule="auto"/>
        <w:rPr>
          <w:sz w:val="20"/>
          <w:szCs w:val="20"/>
          <w:color w:val="auto"/>
        </w:rPr>
      </w:pPr>
      <w:r>
        <w:rPr>
          <w:rFonts w:ascii="Arial" w:cs="Arial" w:eastAsia="Arial" w:hAnsi="Arial"/>
          <w:sz w:val="16"/>
          <w:szCs w:val="16"/>
          <w:color w:val="auto"/>
        </w:rPr>
        <w:t>Shareholders are urged to submit their proxies as early as possible using the form of proxy sent to them with this notice and return it in accordance with the instructions printed on the form so as to be received by the Company Secretary, Verona Pharma plc, c/o Shakespeare Martineau LLP, 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60 Gracechurch Street, London, EC3V 0HR by hand or by post, or by email to ben.harber@shma.co.uk in accordance with the instructions printed thereon. In any event, it must be received by the Company Secretary by </w:t>
      </w:r>
      <w:r>
        <w:rPr>
          <w:rFonts w:ascii="Arial" w:cs="Arial" w:eastAsia="Arial" w:hAnsi="Arial"/>
          <w:sz w:val="16"/>
          <w:szCs w:val="16"/>
          <w:b w:val="1"/>
          <w:bCs w:val="1"/>
          <w:color w:val="auto"/>
        </w:rPr>
        <w:t>no later than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1:00 p.m. British Summer Time (8:00 a.m. Eastern Time) on April 23, 2021, </w:t>
      </w:r>
      <w:r>
        <w:rPr>
          <w:rFonts w:ascii="Arial" w:cs="Arial" w:eastAsia="Arial" w:hAnsi="Arial"/>
          <w:sz w:val="16"/>
          <w:szCs w:val="16"/>
          <w:color w:val="auto"/>
        </w:rPr>
        <w:t>or if the AGM is adjourned, not</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48 hours before the time fixed for the holding of the adjourned meeting (excluding any day which is not a working day).</w:t>
      </w:r>
    </w:p>
    <w:p>
      <w:pPr>
        <w:spacing w:after="0" w:line="119" w:lineRule="exact"/>
        <w:rPr>
          <w:sz w:val="20"/>
          <w:szCs w:val="20"/>
          <w:color w:val="auto"/>
        </w:rPr>
      </w:pPr>
    </w:p>
    <w:p>
      <w:pPr>
        <w:ind w:left="1120" w:right="999" w:firstLine="320"/>
        <w:spacing w:after="0" w:line="274" w:lineRule="auto"/>
        <w:rPr>
          <w:sz w:val="20"/>
          <w:szCs w:val="20"/>
          <w:color w:val="auto"/>
        </w:rPr>
      </w:pPr>
      <w:r>
        <w:rPr>
          <w:rFonts w:ascii="Arial" w:cs="Arial" w:eastAsia="Arial" w:hAnsi="Arial"/>
          <w:sz w:val="15"/>
          <w:szCs w:val="15"/>
          <w:color w:val="auto"/>
        </w:rPr>
        <w:t>In order for your form of proxy to remain valid, you must continue to be registered as a holder of ordinary shares in the Company’s register of members as of 1:00 p.m. British Summer Time (8:00 a.m. Eastern Time) on April 23, 2021. Therefore, if you sell or transfer your ordinary shares in the Company on or prior to April 23, 2021,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96" w:lineRule="exact"/>
        <w:rPr>
          <w:sz w:val="20"/>
          <w:szCs w:val="20"/>
          <w:color w:val="auto"/>
        </w:rPr>
      </w:pPr>
    </w:p>
    <w:p>
      <w:pPr>
        <w:ind w:left="1120" w:right="919" w:firstLine="320"/>
        <w:spacing w:after="0" w:line="255" w:lineRule="auto"/>
        <w:rPr>
          <w:sz w:val="20"/>
          <w:szCs w:val="20"/>
          <w:color w:val="auto"/>
        </w:rPr>
      </w:pPr>
      <w:r>
        <w:rPr>
          <w:rFonts w:ascii="Arial" w:cs="Arial" w:eastAsia="Arial" w:hAnsi="Arial"/>
          <w:sz w:val="16"/>
          <w:szCs w:val="16"/>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Arial" w:cs="Arial" w:eastAsia="Arial" w:hAnsi="Arial"/>
          <w:sz w:val="16"/>
          <w:szCs w:val="16"/>
          <w:i w:val="1"/>
          <w:iCs w:val="1"/>
          <w:color w:val="auto"/>
        </w:rPr>
        <w:t>Holders of American Depositary Shares.</w:t>
      </w:r>
      <w:r>
        <w:rPr>
          <w:rFonts w:ascii="Arial" w:cs="Arial" w:eastAsia="Arial" w:hAnsi="Arial"/>
          <w:sz w:val="16"/>
          <w:szCs w:val="16"/>
          <w:color w:val="auto"/>
        </w:rPr>
        <w:t>”</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Holders of American Depositary Shares</w:t>
      </w:r>
    </w:p>
    <w:p>
      <w:pPr>
        <w:spacing w:after="0" w:line="132" w:lineRule="exact"/>
        <w:rPr>
          <w:sz w:val="20"/>
          <w:szCs w:val="20"/>
          <w:color w:val="auto"/>
        </w:rPr>
      </w:pPr>
    </w:p>
    <w:p>
      <w:pPr>
        <w:ind w:left="1120" w:right="1019" w:firstLine="320"/>
        <w:spacing w:after="0" w:line="289" w:lineRule="auto"/>
        <w:rPr>
          <w:sz w:val="20"/>
          <w:szCs w:val="20"/>
          <w:color w:val="auto"/>
        </w:rPr>
      </w:pPr>
      <w:r>
        <w:rPr>
          <w:rFonts w:ascii="Arial" w:cs="Arial" w:eastAsia="Arial" w:hAnsi="Arial"/>
          <w:sz w:val="15"/>
          <w:szCs w:val="15"/>
          <w:color w:val="auto"/>
        </w:rPr>
        <w:t xml:space="preserve">In order to exercise your vote as a holder of an interest in the capital of the Company represented by ADSs, you or your bank, broker or nominee must be registered as a holder of ADSs in the ADS register </w:t>
      </w:r>
      <w:r>
        <w:rPr>
          <w:rFonts w:ascii="Arial" w:cs="Arial" w:eastAsia="Arial" w:hAnsi="Arial"/>
          <w:sz w:val="15"/>
          <w:szCs w:val="15"/>
          <w:b w:val="1"/>
          <w:bCs w:val="1"/>
          <w:color w:val="auto"/>
        </w:rPr>
        <w:t>as</w:t>
      </w:r>
      <w:r>
        <w:rPr>
          <w:rFonts w:ascii="Arial" w:cs="Arial" w:eastAsia="Arial" w:hAnsi="Arial"/>
          <w:sz w:val="15"/>
          <w:szCs w:val="15"/>
          <w:color w:val="auto"/>
        </w:rPr>
        <w:t xml:space="preserve"> </w:t>
      </w:r>
      <w:r>
        <w:rPr>
          <w:rFonts w:ascii="Arial" w:cs="Arial" w:eastAsia="Arial" w:hAnsi="Arial"/>
          <w:sz w:val="15"/>
          <w:szCs w:val="15"/>
          <w:b w:val="1"/>
          <w:bCs w:val="1"/>
          <w:color w:val="auto"/>
        </w:rPr>
        <w:t>of 5:00 p.m. Eastern Time on Friday, March 12, 2021 (the “ADS Record Date”)</w:t>
      </w:r>
      <w:r>
        <w:rPr>
          <w:rFonts w:ascii="Arial" w:cs="Arial" w:eastAsia="Arial" w:hAnsi="Arial"/>
          <w:sz w:val="15"/>
          <w:szCs w:val="15"/>
          <w:color w:val="auto"/>
        </w:rPr>
        <w:t>.</w:t>
      </w:r>
    </w:p>
    <w:p>
      <w:pPr>
        <w:spacing w:after="0" w:line="84" w:lineRule="exact"/>
        <w:rPr>
          <w:sz w:val="20"/>
          <w:szCs w:val="20"/>
          <w:color w:val="auto"/>
        </w:rPr>
      </w:pPr>
    </w:p>
    <w:p>
      <w:pPr>
        <w:ind w:left="1120" w:right="959" w:firstLine="320"/>
        <w:spacing w:after="0" w:line="289" w:lineRule="auto"/>
        <w:rPr>
          <w:sz w:val="20"/>
          <w:szCs w:val="20"/>
          <w:color w:val="auto"/>
        </w:rPr>
      </w:pPr>
      <w:r>
        <w:rPr>
          <w:rFonts w:ascii="Arial" w:cs="Arial" w:eastAsia="Arial" w:hAnsi="Arial"/>
          <w:sz w:val="15"/>
          <w:szCs w:val="15"/>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8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Please note that ADS voting instructions submitted by ADS holders must be received by Citibank, N.A.</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no later than 10:00 a.m. Eastern Time on Wednesday, April 21, 2021</w:t>
      </w:r>
      <w:r>
        <w:rPr>
          <w:rFonts w:ascii="Arial" w:cs="Arial" w:eastAsia="Arial" w:hAnsi="Arial"/>
          <w:sz w:val="16"/>
          <w:szCs w:val="16"/>
          <w:color w:val="auto"/>
        </w:rPr>
        <w:t>.</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Contact for ADS holders</w:t>
      </w:r>
    </w:p>
    <w:p>
      <w:pPr>
        <w:spacing w:after="0" w:line="132" w:lineRule="exact"/>
        <w:rPr>
          <w:sz w:val="20"/>
          <w:szCs w:val="20"/>
          <w:color w:val="auto"/>
        </w:rPr>
      </w:pPr>
    </w:p>
    <w:p>
      <w:pPr>
        <w:ind w:left="1120" w:right="959" w:firstLine="320"/>
        <w:spacing w:after="0" w:line="259" w:lineRule="auto"/>
        <w:rPr>
          <w:sz w:val="20"/>
          <w:szCs w:val="20"/>
          <w:color w:val="auto"/>
        </w:rPr>
      </w:pPr>
      <w:r>
        <w:rPr>
          <w:rFonts w:ascii="Arial" w:cs="Arial" w:eastAsia="Arial" w:hAnsi="Arial"/>
          <w:sz w:val="16"/>
          <w:szCs w:val="16"/>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Contact at Verona Pharma</w:t>
      </w:r>
    </w:p>
    <w:p>
      <w:pPr>
        <w:spacing w:after="0" w:line="14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If at any point you require guidance, please contact Claire Poll, General Counsel, on email:</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claire.poll@veronapharma.com.</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Recommendation</w:t>
      </w:r>
    </w:p>
    <w:p>
      <w:pPr>
        <w:spacing w:after="0" w:line="144" w:lineRule="exact"/>
        <w:rPr>
          <w:sz w:val="20"/>
          <w:szCs w:val="20"/>
          <w:color w:val="auto"/>
        </w:rPr>
      </w:pPr>
    </w:p>
    <w:p>
      <w:pPr>
        <w:jc w:val="both"/>
        <w:ind w:left="1120" w:right="939" w:firstLine="320"/>
        <w:spacing w:after="0" w:line="289" w:lineRule="auto"/>
        <w:rPr>
          <w:sz w:val="20"/>
          <w:szCs w:val="20"/>
          <w:color w:val="auto"/>
        </w:rPr>
      </w:pPr>
      <w:r>
        <w:rPr>
          <w:rFonts w:ascii="Arial" w:cs="Arial" w:eastAsia="Arial" w:hAnsi="Arial"/>
          <w:sz w:val="15"/>
          <w:szCs w:val="15"/>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606171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 w:name="page5"/>
    <w:bookmarkEnd w:id="4"/>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99"/>
        <w:spacing w:after="0" w:line="276" w:lineRule="auto"/>
        <w:rPr>
          <w:sz w:val="20"/>
          <w:szCs w:val="20"/>
          <w:color w:val="auto"/>
        </w:rPr>
      </w:pPr>
      <w:r>
        <w:rPr>
          <w:rFonts w:ascii="Arial" w:cs="Arial" w:eastAsia="Arial" w:hAnsi="Arial"/>
          <w:sz w:val="16"/>
          <w:szCs w:val="16"/>
          <w:color w:val="auto"/>
        </w:rPr>
        <w:t>recommend that Shareholders vote in favor of the resolutions to be proposed at the AGM, as they intend to do in respect of their own beneficial holdings.</w:t>
      </w:r>
    </w:p>
    <w:p>
      <w:pPr>
        <w:spacing w:after="0" w:line="8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Thank you for your ongoing support of Verona Pharma plc.</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111760</wp:posOffset>
            </wp:positionV>
            <wp:extent cx="1050290" cy="601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David Ebsworth, Ph.D.</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6"/>
          <w:szCs w:val="16"/>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5488305</wp:posOffset>
            </wp:positionV>
            <wp:extent cx="606171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 w:name="page6"/>
    <w:bookmarkEnd w:id="5"/>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709295</wp:posOffset>
            </wp:positionV>
            <wp:extent cx="1499870" cy="578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9870" cy="57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VERONA PHARMA PLC</w:t>
      </w:r>
    </w:p>
    <w:p>
      <w:pPr>
        <w:spacing w:after="0" w:line="200"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Registered office: One Central Square, Cardiff, CF10 1FS, Wales, U.K.</w:t>
      </w:r>
    </w:p>
    <w:p>
      <w:pPr>
        <w:spacing w:after="0" w:line="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Incorporated in England and Wales with registered no. 5375156</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NOTICE OF 2021 ANNUAL GENERAL MEETING OF SHAREHOLDERS</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TO BE HELD ON TUESDAY, APRIL 27, 2021</w:t>
      </w:r>
    </w:p>
    <w:p>
      <w:pPr>
        <w:spacing w:after="0" w:line="98" w:lineRule="exact"/>
        <w:rPr>
          <w:sz w:val="20"/>
          <w:szCs w:val="20"/>
          <w:color w:val="auto"/>
        </w:rPr>
      </w:pPr>
    </w:p>
    <w:p>
      <w:pPr>
        <w:ind w:left="1120" w:right="879" w:firstLine="320"/>
        <w:spacing w:after="0" w:line="242" w:lineRule="auto"/>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an Annual General Meeting (“AGM”) of Verona Pharma plc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be held electronically as a telephone meeting at 1:00 p.m. British Summer Time (8:00 a.m. Eastern Time) on Tuesday, April 27, 2021. You will be able to attend the AGM via teleconference by calling +1-888-317-6003 (for United States callers) or +1-412-317-6061 (for international callers) and providing conference ID 2027253.</w:t>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At the AGM, the following business shall be transacted:</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Ordinary resolutions</w:t>
      </w:r>
    </w:p>
    <w:p>
      <w:pPr>
        <w:spacing w:after="0" w:line="204"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Re-election of Directors</w:t>
      </w:r>
    </w:p>
    <w:p>
      <w:pPr>
        <w:spacing w:after="0" w:line="128" w:lineRule="exact"/>
        <w:rPr>
          <w:sz w:val="20"/>
          <w:szCs w:val="20"/>
          <w:color w:val="auto"/>
        </w:rPr>
      </w:pPr>
    </w:p>
    <w:p>
      <w:pPr>
        <w:ind w:left="1760" w:right="1179" w:hanging="320"/>
        <w:spacing w:after="0" w:line="311" w:lineRule="auto"/>
        <w:tabs>
          <w:tab w:leader="none" w:pos="1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re-elect, as a Director of the Company, Dr. David Ebsworth, who retires in accordance with Article 26.2 of the Company’s Articles of Association and offers himself for re-election.</w:t>
      </w:r>
    </w:p>
    <w:p>
      <w:pPr>
        <w:spacing w:after="0" w:line="68" w:lineRule="exact"/>
        <w:rPr>
          <w:rFonts w:ascii="Arial" w:cs="Arial" w:eastAsia="Arial" w:hAnsi="Arial"/>
          <w:sz w:val="15"/>
          <w:szCs w:val="15"/>
          <w:color w:val="auto"/>
        </w:rPr>
      </w:pPr>
    </w:p>
    <w:p>
      <w:pPr>
        <w:ind w:left="1760" w:right="1199" w:hanging="320"/>
        <w:spacing w:after="0" w:line="311" w:lineRule="auto"/>
        <w:tabs>
          <w:tab w:leader="none" w:pos="1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re-elect, as a Director of the Company, Dr. Martin Edwards, who retires in accordance with Article 26.2 of the Company’s Articles of Association and offers himself for re-election.</w:t>
      </w:r>
    </w:p>
    <w:p>
      <w:pPr>
        <w:spacing w:after="0" w:line="56" w:lineRule="exact"/>
        <w:rPr>
          <w:rFonts w:ascii="Arial" w:cs="Arial" w:eastAsia="Arial" w:hAnsi="Arial"/>
          <w:sz w:val="15"/>
          <w:szCs w:val="15"/>
          <w:color w:val="auto"/>
        </w:rPr>
      </w:pPr>
    </w:p>
    <w:p>
      <w:pPr>
        <w:ind w:left="1760" w:right="979" w:hanging="320"/>
        <w:spacing w:after="0" w:line="263" w:lineRule="auto"/>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re-elect, as a Director of the Company, Dr. Sven Anders Ullman (known as “Anders Ullman”), who retires in accordance with Article 26.2 of the Company’s Articles of Association and offers himself for re-election.</w:t>
      </w:r>
    </w:p>
    <w:p>
      <w:pPr>
        <w:spacing w:after="0" w:line="102" w:lineRule="exact"/>
        <w:rPr>
          <w:rFonts w:ascii="Arial" w:cs="Arial" w:eastAsia="Arial" w:hAnsi="Arial"/>
          <w:sz w:val="16"/>
          <w:szCs w:val="16"/>
          <w:color w:val="auto"/>
        </w:rPr>
      </w:pPr>
    </w:p>
    <w:p>
      <w:pPr>
        <w:ind w:left="1760" w:right="1419" w:hanging="320"/>
        <w:spacing w:after="0" w:line="311" w:lineRule="auto"/>
        <w:tabs>
          <w:tab w:leader="none" w:pos="1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re-elect, as a Director of the Company, Lisa Deschamps, who retires in accordance with Article 21.2 of the Company’s Articles of Association and offers herself for re-election.</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U.K. statutory Annual Report</w:t>
      </w:r>
    </w:p>
    <w:p>
      <w:pPr>
        <w:spacing w:after="0" w:line="128" w:lineRule="exact"/>
        <w:rPr>
          <w:sz w:val="20"/>
          <w:szCs w:val="20"/>
          <w:color w:val="auto"/>
        </w:rPr>
      </w:pPr>
    </w:p>
    <w:p>
      <w:pPr>
        <w:ind w:left="1760" w:right="1059" w:hanging="320"/>
        <w:spacing w:after="0" w:line="311" w:lineRule="auto"/>
        <w:tabs>
          <w:tab w:leader="none" w:pos="17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receive and adopt the U.K. statutory annual accounts and Directors’ report for the year ended December 31, 2020 and the report of the auditors thereon (the “2020 U.K. Annual Report”).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U.K. statutory Remuneration Report and Policy</w:t>
      </w:r>
    </w:p>
    <w:p>
      <w:pPr>
        <w:spacing w:after="0" w:line="128" w:lineRule="exact"/>
        <w:rPr>
          <w:sz w:val="20"/>
          <w:szCs w:val="20"/>
          <w:color w:val="auto"/>
        </w:rPr>
      </w:pPr>
    </w:p>
    <w:p>
      <w:pPr>
        <w:ind w:left="1760" w:right="1099" w:hanging="320"/>
        <w:spacing w:after="0" w:line="263" w:lineRule="auto"/>
        <w:tabs>
          <w:tab w:leader="none" w:pos="1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receive and approve, as a non-binding advisory resolution, the U.K. statutory Directors’ Remuneration Report for the year ended December 31, 2020, as set out on pages 28 to 46 of the 2020 U.K. Annual Report.</w:t>
      </w:r>
    </w:p>
    <w:p>
      <w:pPr>
        <w:spacing w:after="0" w:line="102" w:lineRule="exact"/>
        <w:rPr>
          <w:rFonts w:ascii="Arial" w:cs="Arial" w:eastAsia="Arial" w:hAnsi="Arial"/>
          <w:sz w:val="16"/>
          <w:szCs w:val="16"/>
          <w:color w:val="auto"/>
        </w:rPr>
      </w:pPr>
    </w:p>
    <w:p>
      <w:pPr>
        <w:jc w:val="both"/>
        <w:ind w:left="1760" w:right="1059" w:hanging="320"/>
        <w:spacing w:after="0" w:line="311" w:lineRule="auto"/>
        <w:tabs>
          <w:tab w:leader="none" w:pos="1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receive and approve the U.K. Directors’ Remuneration Policy, as set out on pages 38 to 46 of the 2020 U.K. Annual Report, which, if approved, will take effect upon conclusion of the AGM.</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Appointment and remuneration of auditor</w:t>
      </w:r>
    </w:p>
    <w:p>
      <w:pPr>
        <w:spacing w:after="0" w:line="128" w:lineRule="exact"/>
        <w:rPr>
          <w:sz w:val="20"/>
          <w:szCs w:val="20"/>
          <w:color w:val="auto"/>
        </w:rPr>
      </w:pPr>
    </w:p>
    <w:p>
      <w:pPr>
        <w:ind w:left="1760" w:right="1179" w:hanging="320"/>
        <w:spacing w:after="0" w:line="276" w:lineRule="auto"/>
        <w:tabs>
          <w:tab w:leader="none" w:pos="1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re-appoint PricewaterhouseCoopers LLP as the Company’s auditors, to hold office until the conclusion of the next annual general meeting of shareholders.</w:t>
      </w:r>
    </w:p>
    <w:p>
      <w:pPr>
        <w:spacing w:after="0" w:line="92" w:lineRule="exact"/>
        <w:rPr>
          <w:rFonts w:ascii="Arial" w:cs="Arial" w:eastAsia="Arial" w:hAnsi="Arial"/>
          <w:sz w:val="16"/>
          <w:szCs w:val="16"/>
          <w:color w:val="auto"/>
        </w:rPr>
      </w:pPr>
    </w:p>
    <w:p>
      <w:pPr>
        <w:ind w:left="1760" w:right="1079" w:hanging="320"/>
        <w:spacing w:after="0" w:line="276" w:lineRule="auto"/>
        <w:tabs>
          <w:tab w:leader="none" w:pos="1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authorize the Audit and Risk Committee to determine the auditors’ remuneration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606171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6" w:name="page7"/>
    <w:bookmarkEnd w:id="6"/>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Authority to allot shares</w:t>
      </w:r>
    </w:p>
    <w:p>
      <w:pPr>
        <w:spacing w:after="0" w:line="116" w:lineRule="exact"/>
        <w:rPr>
          <w:sz w:val="20"/>
          <w:szCs w:val="20"/>
          <w:color w:val="auto"/>
        </w:rPr>
      </w:pPr>
    </w:p>
    <w:p>
      <w:pPr>
        <w:ind w:left="1760" w:right="959" w:hanging="320"/>
        <w:spacing w:after="0" w:line="255" w:lineRule="auto"/>
        <w:tabs>
          <w:tab w:leader="none" w:pos="1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£24,415,222.30 to such persons at such times and upon such conditions as the directors may determine (subject to the Company’s articles of association).</w:t>
      </w:r>
    </w:p>
    <w:p>
      <w:pPr>
        <w:spacing w:after="0" w:line="110" w:lineRule="exact"/>
        <w:rPr>
          <w:sz w:val="20"/>
          <w:szCs w:val="20"/>
          <w:color w:val="auto"/>
        </w:rPr>
      </w:pPr>
    </w:p>
    <w:p>
      <w:pPr>
        <w:ind w:left="1120" w:right="879" w:firstLine="320"/>
        <w:spacing w:after="0" w:line="239" w:lineRule="auto"/>
        <w:rPr>
          <w:sz w:val="20"/>
          <w:szCs w:val="20"/>
          <w:color w:val="auto"/>
        </w:rPr>
      </w:pPr>
      <w:r>
        <w:rPr>
          <w:rFonts w:ascii="Arial" w:cs="Arial" w:eastAsia="Arial" w:hAnsi="Arial"/>
          <w:sz w:val="16"/>
          <w:szCs w:val="16"/>
          <w:color w:val="auto"/>
        </w:rPr>
        <w:t>This authority shall replace any existing authorities to the extent not utilized at the date this resolution is passed and shall, unless previously renewed, revoked or varied by the Company in general meeting, expire on June 1, 2022,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Special resolution</w:t>
      </w:r>
    </w:p>
    <w:p>
      <w:pPr>
        <w:spacing w:after="0" w:line="204"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Disapplication of pre-emption rights</w:t>
      </w:r>
    </w:p>
    <w:p>
      <w:pPr>
        <w:spacing w:after="0" w:line="116" w:lineRule="exact"/>
        <w:rPr>
          <w:sz w:val="20"/>
          <w:szCs w:val="20"/>
          <w:color w:val="auto"/>
        </w:rPr>
      </w:pPr>
    </w:p>
    <w:p>
      <w:pPr>
        <w:ind w:left="1760" w:right="919" w:hanging="320"/>
        <w:spacing w:after="0" w:line="270" w:lineRule="auto"/>
        <w:tabs>
          <w:tab w:leader="none" w:pos="1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Subject to and conditional upon the passing of resolution 10 above, to authorize the Directors pursuant to Section 570 and 573 of the Companies Act to allot equity securities (as defined in Section 560 of the Companies Act) for cash pursuant to the authority conferred by resolution 10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£24,415,222.30, shall replace any existing disapplication of section 561 of the Companies Act to the extent not utilized at the date this resolution is passed and shall expire on June 1, 2022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ectPr>
          <w:pgSz w:w="11900" w:h="16838" w:orient="portrait"/>
          <w:cols w:equalWidth="0" w:num="1">
            <w:col w:w="9279"/>
          </w:cols>
          <w:pgMar w:left="1180" w:top="132" w:right="1440" w:bottom="1440" w:gutter="0" w:footer="0" w:header="0"/>
        </w:sectPr>
      </w:pPr>
    </w:p>
    <w:p>
      <w:pPr>
        <w:spacing w:after="0" w:line="120"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By order of the Board: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Registered Office:</w:t>
      </w:r>
    </w:p>
    <w:p>
      <w:pPr>
        <w:spacing w:after="0" w:line="200" w:lineRule="exact"/>
        <w:rPr>
          <w:sz w:val="20"/>
          <w:szCs w:val="20"/>
          <w:color w:val="auto"/>
        </w:rPr>
      </w:pPr>
    </w:p>
    <w:p>
      <w:pPr>
        <w:sectPr>
          <w:pgSz w:w="11900" w:h="16838" w:orient="portrait"/>
          <w:cols w:equalWidth="0" w:num="2">
            <w:col w:w="4140" w:space="720"/>
            <w:col w:w="4419"/>
          </w:cols>
          <w:pgMar w:left="1180" w:top="132" w:right="1440" w:bottom="1440" w:gutter="0" w:footer="0" w:header="0"/>
          <w:type w:val="continuous"/>
        </w:sectPr>
      </w:pPr>
    </w:p>
    <w:p>
      <w:pPr>
        <w:spacing w:after="0" w:line="38"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Ben Harber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One Central Square</w:t>
      </w:r>
    </w:p>
    <w:p>
      <w:pPr>
        <w:spacing w:after="0" w:line="67" w:lineRule="exact"/>
        <w:rPr>
          <w:sz w:val="20"/>
          <w:szCs w:val="20"/>
          <w:color w:val="auto"/>
        </w:rPr>
      </w:pPr>
    </w:p>
    <w:p>
      <w:pPr>
        <w:sectPr>
          <w:pgSz w:w="11900" w:h="16838" w:orient="portrait"/>
          <w:cols w:equalWidth="0" w:num="2">
            <w:col w:w="4140" w:space="720"/>
            <w:col w:w="4419"/>
          </w:cols>
          <w:pgMar w:left="1180" w:top="132" w:right="1440" w:bottom="1440" w:gutter="0" w:footer="0" w:header="0"/>
          <w:type w:val="continuous"/>
        </w:sectPr>
      </w:pPr>
    </w:p>
    <w:p>
      <w:pPr>
        <w:ind w:left="1440"/>
        <w:spacing w:after="0"/>
        <w:rPr>
          <w:sz w:val="20"/>
          <w:szCs w:val="20"/>
          <w:color w:val="auto"/>
        </w:rPr>
      </w:pPr>
      <w:r>
        <w:rPr>
          <w:rFonts w:ascii="Arial" w:cs="Arial" w:eastAsia="Arial" w:hAnsi="Arial"/>
          <w:sz w:val="14"/>
          <w:szCs w:val="14"/>
          <w:i w:val="1"/>
          <w:i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Cardiff, CF10 1FS, Wales,</w:t>
      </w:r>
    </w:p>
    <w:p>
      <w:pPr>
        <w:spacing w:after="0" w:line="55" w:lineRule="exact"/>
        <w:rPr>
          <w:sz w:val="20"/>
          <w:szCs w:val="20"/>
          <w:color w:val="auto"/>
        </w:rPr>
      </w:pPr>
    </w:p>
    <w:p>
      <w:pPr>
        <w:sectPr>
          <w:pgSz w:w="11900" w:h="16838" w:orient="portrait"/>
          <w:cols w:equalWidth="0" w:num="2">
            <w:col w:w="4140" w:space="720"/>
            <w:col w:w="4419"/>
          </w:cols>
          <w:pgMar w:left="1180" w:top="132" w:right="1440" w:bottom="1440" w:gutter="0" w:footer="0" w:header="0"/>
          <w:type w:val="continuous"/>
        </w:sectPr>
      </w:pPr>
    </w:p>
    <w:p>
      <w:pPr>
        <w:ind w:left="1440"/>
        <w:spacing w:after="0"/>
        <w:rPr>
          <w:sz w:val="20"/>
          <w:szCs w:val="20"/>
          <w:color w:val="auto"/>
        </w:rPr>
      </w:pPr>
      <w:r>
        <w:rPr>
          <w:rFonts w:ascii="Arial" w:cs="Arial" w:eastAsia="Arial" w:hAnsi="Arial"/>
          <w:sz w:val="15"/>
          <w:szCs w:val="15"/>
          <w:color w:val="auto"/>
        </w:rPr>
        <w:t>March 19,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U.K.</w:t>
      </w:r>
    </w:p>
    <w:p>
      <w:pPr>
        <w:spacing w:after="0" w:line="172" w:lineRule="exact"/>
        <w:rPr>
          <w:sz w:val="20"/>
          <w:szCs w:val="20"/>
          <w:color w:val="auto"/>
        </w:rPr>
      </w:pPr>
    </w:p>
    <w:p>
      <w:pPr>
        <w:sectPr>
          <w:pgSz w:w="11900" w:h="16838" w:orient="portrait"/>
          <w:cols w:equalWidth="0" w:num="2">
            <w:col w:w="4140" w:space="720"/>
            <w:col w:w="4419"/>
          </w:cols>
          <w:pgMar w:left="1180" w:top="132" w:right="1440" w:bottom="1440" w:gutter="0" w:footer="0" w:header="0"/>
          <w:type w:val="continuous"/>
        </w:sectPr>
      </w:pPr>
    </w:p>
    <w:p>
      <w:pPr>
        <w:ind w:left="1120"/>
        <w:spacing w:after="0"/>
        <w:rPr>
          <w:sz w:val="20"/>
          <w:szCs w:val="20"/>
          <w:color w:val="auto"/>
        </w:rPr>
      </w:pPr>
      <w:r>
        <w:rPr>
          <w:rFonts w:ascii="Arial" w:cs="Arial" w:eastAsia="Arial" w:hAnsi="Arial"/>
          <w:sz w:val="13"/>
          <w:szCs w:val="13"/>
          <w:b w:val="1"/>
          <w:bCs w:val="1"/>
          <w:color w:val="auto"/>
        </w:rPr>
        <w:t>Notes:</w:t>
      </w:r>
    </w:p>
    <w:p>
      <w:pPr>
        <w:sectPr>
          <w:pgSz w:w="11900" w:h="16838" w:orient="portrait"/>
          <w:cols w:equalWidth="0" w:num="1">
            <w:col w:w="9279"/>
          </w:cols>
          <w:pgMar w:left="1180" w:top="132" w:right="1440" w:bottom="1440" w:gutter="0" w:footer="0" w:header="0"/>
          <w:type w:val="continuous"/>
        </w:sectPr>
      </w:pPr>
    </w:p>
    <w:p>
      <w:pPr>
        <w:spacing w:after="0" w:line="210" w:lineRule="exact"/>
        <w:rPr>
          <w:sz w:val="20"/>
          <w:szCs w:val="20"/>
          <w:color w:val="auto"/>
        </w:rPr>
      </w:pPr>
    </w:p>
    <w:p>
      <w:pPr>
        <w:ind w:left="1440" w:hanging="320"/>
        <w:spacing w:after="0"/>
        <w:tabs>
          <w:tab w:leader="none" w:pos="14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Resolutions and voting</w:t>
      </w:r>
    </w:p>
    <w:p>
      <w:pPr>
        <w:spacing w:after="0" w:line="143" w:lineRule="exact"/>
        <w:rPr>
          <w:rFonts w:ascii="Arial" w:cs="Arial" w:eastAsia="Arial" w:hAnsi="Arial"/>
          <w:sz w:val="16"/>
          <w:szCs w:val="16"/>
          <w:b w:val="1"/>
          <w:bCs w:val="1"/>
          <w:color w:val="auto"/>
        </w:rPr>
      </w:pPr>
    </w:p>
    <w:p>
      <w:pPr>
        <w:jc w:val="both"/>
        <w:ind w:left="1440" w:right="999"/>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3" w:lineRule="exact"/>
        <w:rPr>
          <w:rFonts w:ascii="Arial" w:cs="Arial" w:eastAsia="Arial" w:hAnsi="Arial"/>
          <w:sz w:val="16"/>
          <w:szCs w:val="16"/>
          <w:b w:val="1"/>
          <w:bCs w:val="1"/>
          <w:color w:val="auto"/>
        </w:rPr>
      </w:pPr>
    </w:p>
    <w:p>
      <w:pPr>
        <w:ind w:left="1440" w:right="919"/>
        <w:spacing w:after="0" w:line="239" w:lineRule="auto"/>
        <w:rPr>
          <w:rFonts w:ascii="Arial" w:cs="Arial" w:eastAsia="Arial" w:hAnsi="Arial"/>
          <w:sz w:val="16"/>
          <w:szCs w:val="16"/>
          <w:b w:val="1"/>
          <w:bCs w:val="1"/>
          <w:color w:val="auto"/>
        </w:rPr>
      </w:pPr>
      <w:r>
        <w:rPr>
          <w:rFonts w:ascii="Arial" w:cs="Arial" w:eastAsia="Arial" w:hAnsi="Arial"/>
          <w:sz w:val="16"/>
          <w:szCs w:val="16"/>
          <w:color w:val="auto"/>
        </w:rPr>
        <w:t>Resolutions 1 to 10 are proposed as ordinary resolutions. On a poll, an ordinary resolution is passed if it is approved by holders representing a simple majority of the total voting rights of shareholders present (in person or by proxy) who (being entitled to vote) vote on the resolution. Resolution 11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99" w:lineRule="exact"/>
        <w:rPr>
          <w:rFonts w:ascii="Arial" w:cs="Arial" w:eastAsia="Arial" w:hAnsi="Arial"/>
          <w:sz w:val="16"/>
          <w:szCs w:val="16"/>
          <w:b w:val="1"/>
          <w:bCs w:val="1"/>
          <w:color w:val="auto"/>
        </w:rPr>
      </w:pPr>
    </w:p>
    <w:p>
      <w:pPr>
        <w:ind w:left="1440" w:right="1039"/>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606171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type w:val="continuous"/>
        </w:sectPr>
      </w:pPr>
    </w:p>
    <w:bookmarkStart w:id="7" w:name="page8"/>
    <w:bookmarkEnd w:id="7"/>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hanging="320"/>
        <w:spacing w:after="0"/>
        <w:tabs>
          <w:tab w:leader="none" w:pos="14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proxies</w:t>
      </w:r>
    </w:p>
    <w:p>
      <w:pPr>
        <w:spacing w:after="0" w:line="131" w:lineRule="exact"/>
        <w:rPr>
          <w:rFonts w:ascii="Arial" w:cs="Arial" w:eastAsia="Arial" w:hAnsi="Arial"/>
          <w:sz w:val="16"/>
          <w:szCs w:val="16"/>
          <w:b w:val="1"/>
          <w:bCs w:val="1"/>
          <w:color w:val="auto"/>
        </w:rPr>
      </w:pPr>
    </w:p>
    <w:p>
      <w:pPr>
        <w:ind w:left="1440" w:right="939"/>
        <w:spacing w:after="0" w:line="255" w:lineRule="auto"/>
        <w:rPr>
          <w:rFonts w:ascii="Arial" w:cs="Arial" w:eastAsia="Arial" w:hAnsi="Arial"/>
          <w:sz w:val="16"/>
          <w:szCs w:val="16"/>
          <w:b w:val="1"/>
          <w:bCs w:val="1"/>
          <w:color w:val="auto"/>
        </w:rPr>
      </w:pPr>
      <w:r>
        <w:rPr>
          <w:rFonts w:ascii="Arial" w:cs="Arial" w:eastAsia="Arial" w:hAnsi="Arial"/>
          <w:sz w:val="15"/>
          <w:szCs w:val="15"/>
          <w:color w:val="auto"/>
        </w:rPr>
        <w:t>Generally, 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w:t>
      </w:r>
    </w:p>
    <w:p>
      <w:pPr>
        <w:ind w:left="1440" w:right="899"/>
        <w:spacing w:after="0" w:line="242" w:lineRule="auto"/>
        <w:rPr>
          <w:rFonts w:ascii="Arial" w:cs="Arial" w:eastAsia="Arial" w:hAnsi="Arial"/>
          <w:sz w:val="16"/>
          <w:szCs w:val="16"/>
          <w:b w:val="1"/>
          <w:bCs w:val="1"/>
          <w:color w:val="auto"/>
        </w:rPr>
      </w:pPr>
      <w:r>
        <w:rPr>
          <w:rFonts w:ascii="Arial" w:cs="Arial" w:eastAsia="Arial" w:hAnsi="Arial"/>
          <w:sz w:val="15"/>
          <w:szCs w:val="15"/>
          <w:b w:val="1"/>
          <w:bCs w:val="1"/>
          <w:color w:val="auto"/>
        </w:rPr>
        <w:t>However, as more fully described in the letter from the Chairman accompanying this notice, under the current arrangements, proxies (other than the Chairman of the AGM) will not be able to vote during the AGM</w:t>
      </w:r>
      <w:r>
        <w:rPr>
          <w:rFonts w:ascii="Arial" w:cs="Arial" w:eastAsia="Arial" w:hAnsi="Arial"/>
          <w:sz w:val="15"/>
          <w:szCs w:val="15"/>
          <w:color w:val="auto"/>
        </w:rPr>
        <w:t>. As a result, if a member wishes to appoint a proxy, they are strongly advised to appoint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Chairman of the AGM as their proxy in order for their vote to count. </w:t>
      </w:r>
      <w:r>
        <w:rPr>
          <w:rFonts w:ascii="Arial" w:cs="Arial" w:eastAsia="Arial" w:hAnsi="Arial"/>
          <w:sz w:val="15"/>
          <w:szCs w:val="15"/>
          <w:b w:val="1"/>
          <w:bCs w:val="1"/>
          <w:color w:val="auto"/>
        </w:rPr>
        <w:t>To be valid, the form of proxy and</w:t>
      </w:r>
      <w:r>
        <w:rPr>
          <w:rFonts w:ascii="Arial" w:cs="Arial" w:eastAsia="Arial" w:hAnsi="Arial"/>
          <w:sz w:val="15"/>
          <w:szCs w:val="15"/>
          <w:color w:val="auto"/>
        </w:rPr>
        <w:t xml:space="preserve"> </w:t>
      </w:r>
      <w:r>
        <w:rPr>
          <w:rFonts w:ascii="Arial" w:cs="Arial" w:eastAsia="Arial" w:hAnsi="Arial"/>
          <w:sz w:val="15"/>
          <w:szCs w:val="15"/>
          <w:b w:val="1"/>
          <w:bCs w:val="1"/>
          <w:color w:val="auto"/>
        </w:rPr>
        <w:t>the power of attorney or other authority (if any) under which it is signed or a certified copy of such power or authority must be lodged at the office of the Company Secretary, Verona Pharma plc, c/o Shakespeare Martineau LLP, 6</w:t>
      </w:r>
      <w:r>
        <w:rPr>
          <w:rFonts w:ascii="Arial" w:cs="Arial" w:eastAsia="Arial" w:hAnsi="Arial"/>
          <w:sz w:val="22"/>
          <w:szCs w:val="22"/>
          <w:b w:val="1"/>
          <w:bCs w:val="1"/>
          <w:color w:val="auto"/>
          <w:vertAlign w:val="superscript"/>
        </w:rPr>
        <w:t>th</w:t>
      </w:r>
      <w:r>
        <w:rPr>
          <w:rFonts w:ascii="Arial" w:cs="Arial" w:eastAsia="Arial" w:hAnsi="Arial"/>
          <w:sz w:val="15"/>
          <w:szCs w:val="15"/>
          <w:b w:val="1"/>
          <w:bCs w:val="1"/>
          <w:color w:val="auto"/>
        </w:rPr>
        <w:t xml:space="preserve">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107" w:lineRule="exact"/>
        <w:rPr>
          <w:rFonts w:ascii="Arial" w:cs="Arial" w:eastAsia="Arial" w:hAnsi="Arial"/>
          <w:sz w:val="16"/>
          <w:szCs w:val="16"/>
          <w:b w:val="1"/>
          <w:bCs w:val="1"/>
          <w:color w:val="auto"/>
        </w:rPr>
      </w:pPr>
    </w:p>
    <w:p>
      <w:pPr>
        <w:jc w:val="both"/>
        <w:ind w:left="1440" w:right="1079"/>
        <w:spacing w:after="0" w:line="272" w:lineRule="auto"/>
        <w:rPr>
          <w:rFonts w:ascii="Arial" w:cs="Arial" w:eastAsia="Arial" w:hAnsi="Arial"/>
          <w:sz w:val="16"/>
          <w:szCs w:val="16"/>
          <w:b w:val="1"/>
          <w:bCs w:val="1"/>
          <w:color w:val="auto"/>
        </w:rPr>
      </w:pPr>
      <w:r>
        <w:rPr>
          <w:rFonts w:ascii="Arial" w:cs="Arial" w:eastAsia="Arial" w:hAnsi="Arial"/>
          <w:sz w:val="15"/>
          <w:szCs w:val="15"/>
          <w:color w:val="auto"/>
        </w:rPr>
        <w:t>The return of a completed form of proxy will not preclude a shareholder from attending the AGM by telephone, should they subsequently decide to do so, however, you must appoint the Chairman of the AGM as your proxy for your vote to be counted as you will not be able to vote during the AGM.</w:t>
      </w:r>
    </w:p>
    <w:p>
      <w:pPr>
        <w:spacing w:after="0" w:line="84" w:lineRule="exact"/>
        <w:rPr>
          <w:rFonts w:ascii="Arial" w:cs="Arial" w:eastAsia="Arial" w:hAnsi="Arial"/>
          <w:sz w:val="16"/>
          <w:szCs w:val="16"/>
          <w:b w:val="1"/>
          <w:bCs w:val="1"/>
          <w:color w:val="auto"/>
        </w:rPr>
      </w:pPr>
    </w:p>
    <w:p>
      <w:pPr>
        <w:ind w:left="1440" w:right="999"/>
        <w:spacing w:after="0" w:line="243" w:lineRule="auto"/>
        <w:rPr>
          <w:rFonts w:ascii="Arial" w:cs="Arial" w:eastAsia="Arial" w:hAnsi="Arial"/>
          <w:sz w:val="16"/>
          <w:szCs w:val="16"/>
          <w:b w:val="1"/>
          <w:bCs w:val="1"/>
          <w:color w:val="auto"/>
        </w:rPr>
      </w:pPr>
      <w:r>
        <w:rPr>
          <w:rFonts w:ascii="Arial" w:cs="Arial" w:eastAsia="Arial" w:hAnsi="Arial"/>
          <w:sz w:val="16"/>
          <w:szCs w:val="16"/>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Arial" w:cs="Arial" w:eastAsia="Arial" w:hAnsi="Arial"/>
          <w:sz w:val="16"/>
          <w:szCs w:val="16"/>
          <w:i w:val="1"/>
          <w:iCs w:val="1"/>
          <w:color w:val="auto"/>
        </w:rPr>
        <w:t>Questions and Answers</w:t>
      </w:r>
      <w:r>
        <w:rPr>
          <w:rFonts w:ascii="Arial" w:cs="Arial" w:eastAsia="Arial" w:hAnsi="Arial"/>
          <w:sz w:val="16"/>
          <w:szCs w:val="16"/>
          <w:color w:val="auto"/>
        </w:rPr>
        <w:t xml:space="preserve"> </w:t>
      </w:r>
      <w:r>
        <w:rPr>
          <w:rFonts w:ascii="Arial" w:cs="Arial" w:eastAsia="Arial" w:hAnsi="Arial"/>
          <w:sz w:val="16"/>
          <w:szCs w:val="16"/>
          <w:i w:val="1"/>
          <w:iCs w:val="1"/>
          <w:color w:val="auto"/>
        </w:rPr>
        <w:t>About the Annual General Meeting</w:t>
      </w:r>
      <w:r>
        <w:rPr>
          <w:rFonts w:ascii="Arial" w:cs="Arial" w:eastAsia="Arial" w:hAnsi="Arial"/>
          <w:sz w:val="16"/>
          <w:szCs w:val="16"/>
          <w:color w:val="auto"/>
        </w:rPr>
        <w:t>.”</w:t>
      </w:r>
    </w:p>
    <w:p>
      <w:pPr>
        <w:spacing w:after="0" w:line="93" w:lineRule="exact"/>
        <w:rPr>
          <w:rFonts w:ascii="Arial" w:cs="Arial" w:eastAsia="Arial" w:hAnsi="Arial"/>
          <w:sz w:val="16"/>
          <w:szCs w:val="16"/>
          <w:b w:val="1"/>
          <w:bCs w:val="1"/>
          <w:color w:val="auto"/>
        </w:rPr>
      </w:pPr>
    </w:p>
    <w:p>
      <w:pPr>
        <w:ind w:left="1440" w:right="899"/>
        <w:spacing w:after="0" w:line="264" w:lineRule="auto"/>
        <w:rPr>
          <w:rFonts w:ascii="Arial" w:cs="Arial" w:eastAsia="Arial" w:hAnsi="Arial"/>
          <w:sz w:val="16"/>
          <w:szCs w:val="16"/>
          <w:b w:val="1"/>
          <w:bCs w:val="1"/>
          <w:color w:val="auto"/>
        </w:rPr>
      </w:pPr>
      <w:r>
        <w:rPr>
          <w:rFonts w:ascii="Arial" w:cs="Arial" w:eastAsia="Arial" w:hAnsi="Arial"/>
          <w:sz w:val="15"/>
          <w:szCs w:val="15"/>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92" w:lineRule="exact"/>
        <w:rPr>
          <w:rFonts w:ascii="Arial" w:cs="Arial" w:eastAsia="Arial" w:hAnsi="Arial"/>
          <w:sz w:val="16"/>
          <w:szCs w:val="16"/>
          <w:b w:val="1"/>
          <w:bCs w:val="1"/>
          <w:color w:val="auto"/>
        </w:rPr>
      </w:pPr>
    </w:p>
    <w:p>
      <w:pPr>
        <w:ind w:left="1440" w:right="999"/>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10" w:lineRule="exact"/>
        <w:rPr>
          <w:rFonts w:ascii="Arial" w:cs="Arial" w:eastAsia="Arial" w:hAnsi="Arial"/>
          <w:sz w:val="16"/>
          <w:szCs w:val="16"/>
          <w:b w:val="1"/>
          <w:bCs w:val="1"/>
          <w:color w:val="auto"/>
        </w:rPr>
      </w:pPr>
    </w:p>
    <w:p>
      <w:pPr>
        <w:ind w:left="1440" w:right="879"/>
        <w:spacing w:after="0" w:line="226" w:lineRule="auto"/>
        <w:rPr>
          <w:rFonts w:ascii="Arial" w:cs="Arial" w:eastAsia="Arial" w:hAnsi="Arial"/>
          <w:sz w:val="16"/>
          <w:szCs w:val="16"/>
          <w:b w:val="1"/>
          <w:bCs w:val="1"/>
          <w:color w:val="auto"/>
        </w:rPr>
      </w:pPr>
      <w:r>
        <w:rPr>
          <w:rFonts w:ascii="Arial" w:cs="Arial" w:eastAsia="Arial" w:hAnsi="Arial"/>
          <w:sz w:val="16"/>
          <w:szCs w:val="16"/>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c/o Shakespeare Martineau LLP, 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60 Gracechurch Street, London EC3V 0HR, no less than 48 hours before the time fixed for the holding of the AGM or any adjournment thereof (as the case may be).</w:t>
      </w:r>
    </w:p>
    <w:p>
      <w:pPr>
        <w:spacing w:after="0" w:line="151" w:lineRule="exact"/>
        <w:rPr>
          <w:rFonts w:ascii="Arial" w:cs="Arial" w:eastAsia="Arial" w:hAnsi="Arial"/>
          <w:sz w:val="16"/>
          <w:szCs w:val="16"/>
          <w:b w:val="1"/>
          <w:bCs w:val="1"/>
          <w:color w:val="auto"/>
        </w:rPr>
      </w:pPr>
    </w:p>
    <w:p>
      <w:pPr>
        <w:ind w:left="1440" w:hanging="320"/>
        <w:spacing w:after="0"/>
        <w:tabs>
          <w:tab w:leader="none" w:pos="14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 proxy by joint members</w:t>
      </w:r>
    </w:p>
    <w:p>
      <w:pPr>
        <w:spacing w:after="0" w:line="143" w:lineRule="exact"/>
        <w:rPr>
          <w:rFonts w:ascii="Arial" w:cs="Arial" w:eastAsia="Arial" w:hAnsi="Arial"/>
          <w:sz w:val="16"/>
          <w:szCs w:val="16"/>
          <w:b w:val="1"/>
          <w:bCs w:val="1"/>
          <w:color w:val="auto"/>
        </w:rPr>
      </w:pPr>
    </w:p>
    <w:p>
      <w:pPr>
        <w:ind w:left="1440" w:right="999"/>
        <w:spacing w:after="0" w:line="243" w:lineRule="auto"/>
        <w:rPr>
          <w:rFonts w:ascii="Arial" w:cs="Arial" w:eastAsia="Arial" w:hAnsi="Arial"/>
          <w:sz w:val="16"/>
          <w:szCs w:val="16"/>
          <w:b w:val="1"/>
          <w:bCs w:val="1"/>
          <w:color w:val="auto"/>
        </w:rPr>
      </w:pPr>
      <w:r>
        <w:rPr>
          <w:rFonts w:ascii="Arial" w:cs="Arial" w:eastAsia="Arial" w:hAnsi="Arial"/>
          <w:sz w:val="16"/>
          <w:szCs w:val="16"/>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61" w:lineRule="exact"/>
        <w:rPr>
          <w:rFonts w:ascii="Arial" w:cs="Arial" w:eastAsia="Arial" w:hAnsi="Arial"/>
          <w:sz w:val="16"/>
          <w:szCs w:val="16"/>
          <w:b w:val="1"/>
          <w:bCs w:val="1"/>
          <w:color w:val="auto"/>
        </w:rPr>
      </w:pPr>
    </w:p>
    <w:p>
      <w:pPr>
        <w:ind w:left="1440" w:hanging="320"/>
        <w:spacing w:after="0"/>
        <w:tabs>
          <w:tab w:leader="none" w:pos="14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Issued shares and total voting rights</w:t>
      </w:r>
    </w:p>
    <w:p>
      <w:pPr>
        <w:spacing w:after="0" w:line="131" w:lineRule="exact"/>
        <w:rPr>
          <w:rFonts w:ascii="Arial" w:cs="Arial" w:eastAsia="Arial" w:hAnsi="Arial"/>
          <w:sz w:val="16"/>
          <w:szCs w:val="16"/>
          <w:b w:val="1"/>
          <w:bCs w:val="1"/>
          <w:color w:val="auto"/>
        </w:rPr>
      </w:pPr>
    </w:p>
    <w:p>
      <w:pPr>
        <w:ind w:left="1440" w:right="919"/>
        <w:spacing w:after="0" w:line="264" w:lineRule="auto"/>
        <w:rPr>
          <w:rFonts w:ascii="Arial" w:cs="Arial" w:eastAsia="Arial" w:hAnsi="Arial"/>
          <w:sz w:val="16"/>
          <w:szCs w:val="16"/>
          <w:b w:val="1"/>
          <w:bCs w:val="1"/>
          <w:color w:val="auto"/>
        </w:rPr>
      </w:pPr>
      <w:r>
        <w:rPr>
          <w:rFonts w:ascii="Arial" w:cs="Arial" w:eastAsia="Arial" w:hAnsi="Arial"/>
          <w:sz w:val="15"/>
          <w:szCs w:val="15"/>
          <w:color w:val="auto"/>
        </w:rPr>
        <w:t>As at the close of business on March 12, 2021 (being the latest practicable date prior to publication of this document), the Company’s issued ordinary share capital comprised 440,215,550 voting ordinary shares. Each voting ordinary share carries the right to one vote and therefore the total number of voting rights at the close of business on March 12, 2021 is 440,215,550.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606171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8" w:name="page9"/>
    <w:bookmarkEnd w:id="8"/>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20" w:right="1059"/>
        <w:spacing w:after="0" w:line="300" w:lineRule="auto"/>
        <w:rPr>
          <w:sz w:val="20"/>
          <w:szCs w:val="20"/>
          <w:color w:val="auto"/>
        </w:rPr>
      </w:pPr>
      <w:r>
        <w:rPr>
          <w:rFonts w:ascii="Arial" w:cs="Arial" w:eastAsia="Arial" w:hAnsi="Arial"/>
          <w:sz w:val="14"/>
          <w:szCs w:val="14"/>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12, 2021, the ADS Record Date, who do not provide the depositary bank with voting instructions on or before 10:00 a.m. Eastern Time on April 21, 2021,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6462395</wp:posOffset>
            </wp:positionV>
            <wp:extent cx="606171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9" w:name="page10"/>
    <w:bookmarkEnd w:id="9"/>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9"/>
          </w:tcPr>
          <w:p>
            <w:pPr>
              <w:ind w:left="140"/>
              <w:spacing w:after="0"/>
              <w:rPr>
                <w:sz w:val="20"/>
                <w:szCs w:val="20"/>
                <w:color w:val="auto"/>
              </w:rPr>
            </w:pPr>
            <w:r>
              <w:rPr>
                <w:rFonts w:ascii="Arial" w:cs="Arial" w:eastAsia="Arial" w:hAnsi="Arial"/>
                <w:sz w:val="16"/>
                <w:szCs w:val="16"/>
                <w:b w:val="1"/>
                <w:bCs w:val="1"/>
                <w:color w:val="auto"/>
              </w:rPr>
              <w:t>TABLE OF CONTENTS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820" w:type="dxa"/>
            <w:vAlign w:val="bottom"/>
            <w:gridSpan w:val="27"/>
            <w:shd w:val="clear" w:color="auto" w:fill="CCEEFF"/>
          </w:tcPr>
          <w:p>
            <w:pPr>
              <w:spacing w:after="0" w:line="168" w:lineRule="exact"/>
              <w:rPr>
                <w:rFonts w:ascii="Arial" w:cs="Arial" w:eastAsia="Arial" w:hAnsi="Arial"/>
                <w:sz w:val="16"/>
                <w:szCs w:val="16"/>
                <w:color w:val="0000EE"/>
              </w:rPr>
            </w:pPr>
            <w:hyperlink w:anchor="page11">
              <w:r>
                <w:rPr>
                  <w:rFonts w:ascii="Arial" w:cs="Arial" w:eastAsia="Arial" w:hAnsi="Arial"/>
                  <w:sz w:val="16"/>
                  <w:szCs w:val="16"/>
                  <w:color w:val="0000EE"/>
                </w:rPr>
                <w:t>Proxy Statement</w:t>
              </w:r>
            </w:hyperlink>
          </w:p>
        </w:tc>
        <w:tc>
          <w:tcPr>
            <w:tcW w:w="2440" w:type="dxa"/>
            <w:vAlign w:val="bottom"/>
            <w:gridSpan w:val="3"/>
            <w:shd w:val="clear" w:color="auto" w:fill="CCEEFF"/>
          </w:tcPr>
          <w:p>
            <w:pPr>
              <w:jc w:val="right"/>
              <w:spacing w:after="0" w:line="168" w:lineRule="exact"/>
              <w:rPr>
                <w:rFonts w:ascii="Arial" w:cs="Arial" w:eastAsia="Arial" w:hAnsi="Arial"/>
                <w:sz w:val="16"/>
                <w:szCs w:val="16"/>
                <w:color w:val="0000EE"/>
              </w:rPr>
            </w:pPr>
            <w:hyperlink w:anchor="page11">
              <w:r>
                <w:rPr>
                  <w:rFonts w:ascii="Arial" w:cs="Arial" w:eastAsia="Arial" w:hAnsi="Arial"/>
                  <w:sz w:val="16"/>
                  <w:szCs w:val="16"/>
                  <w:color w:val="0000EE"/>
                </w:rPr>
                <w:t>1</w:t>
              </w:r>
            </w:hyperlink>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gridSpan w:val="2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Questions and Answers About the Annual General Meeting</w:t>
              </w:r>
            </w:hyperlink>
          </w:p>
        </w:tc>
        <w:tc>
          <w:tcPr>
            <w:tcW w:w="244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0000EE"/>
              <w:bottom w:val="single" w:sz="8" w:color="0000EE"/>
            </w:tcBorders>
          </w:tcPr>
          <w:p>
            <w:pPr>
              <w:spacing w:after="0"/>
              <w:rPr>
                <w:sz w:val="18"/>
                <w:szCs w:val="18"/>
                <w:color w:val="auto"/>
              </w:rPr>
            </w:pPr>
          </w:p>
        </w:tc>
        <w:tc>
          <w:tcPr>
            <w:tcW w:w="1720" w:type="dxa"/>
            <w:vAlign w:val="bottom"/>
            <w:tcBorders>
              <w:top w:val="single" w:sz="8" w:color="0000EE"/>
              <w:bottom w:val="single" w:sz="8" w:color="0000EE"/>
              <w:right w:val="single" w:sz="8" w:color="CCEEFF"/>
            </w:tcBorders>
            <w:gridSpan w:val="11"/>
            <w:shd w:val="clear" w:color="auto" w:fill="CCEEFF"/>
          </w:tcPr>
          <w:p>
            <w:pPr>
              <w:spacing w:after="0"/>
              <w:rPr>
                <w:rFonts w:ascii="Arial" w:cs="Arial" w:eastAsia="Arial" w:hAnsi="Arial"/>
                <w:sz w:val="16"/>
                <w:szCs w:val="16"/>
                <w:color w:val="0000EE"/>
                <w:w w:val="91"/>
              </w:rPr>
            </w:pPr>
            <w:hyperlink w:anchor="page17">
              <w:r>
                <w:rPr>
                  <w:rFonts w:ascii="Arial" w:cs="Arial" w:eastAsia="Arial" w:hAnsi="Arial"/>
                  <w:sz w:val="16"/>
                  <w:szCs w:val="16"/>
                  <w:color w:val="0000EE"/>
                  <w:w w:val="91"/>
                </w:rPr>
                <w:t>Proposals to be Voted On</w:t>
              </w:r>
            </w:hyperlink>
          </w:p>
        </w:tc>
        <w:tc>
          <w:tcPr>
            <w:tcW w:w="224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spacing w:after="0"/>
              <w:rPr>
                <w:sz w:val="18"/>
                <w:szCs w:val="18"/>
                <w:color w:val="auto"/>
              </w:rPr>
            </w:pPr>
          </w:p>
        </w:tc>
        <w:tc>
          <w:tcPr>
            <w:tcW w:w="23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0000EE"/>
              <w:bottom w:val="single" w:sz="8" w:color="0000EE"/>
            </w:tcBorders>
            <w:shd w:val="clear" w:color="auto" w:fill="CCEEFF"/>
          </w:tcPr>
          <w:p>
            <w:pPr>
              <w:jc w:val="right"/>
              <w:spacing w:after="0"/>
              <w:rPr>
                <w:rFonts w:ascii="Arial" w:cs="Arial" w:eastAsia="Arial" w:hAnsi="Arial"/>
                <w:sz w:val="15"/>
                <w:szCs w:val="15"/>
                <w:color w:val="0000EE"/>
                <w:w w:val="71"/>
              </w:rPr>
            </w:pPr>
            <w:hyperlink w:anchor="page17">
              <w:r>
                <w:rPr>
                  <w:rFonts w:ascii="Arial" w:cs="Arial" w:eastAsia="Arial" w:hAnsi="Arial"/>
                  <w:sz w:val="15"/>
                  <w:szCs w:val="15"/>
                  <w:color w:val="0000EE"/>
                  <w:w w:val="71"/>
                </w:rPr>
                <w:t>7</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PROPOSAL 1</w:t>
              </w:r>
            </w:hyperlink>
          </w:p>
        </w:tc>
        <w:tc>
          <w:tcPr>
            <w:tcW w:w="244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PROPOSAL 2</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8</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PROPOSAL 3</w:t>
              </w:r>
            </w:hyperlink>
          </w:p>
        </w:tc>
        <w:tc>
          <w:tcPr>
            <w:tcW w:w="244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PROPOSAL 4</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9</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bottom w:val="single" w:sz="8" w:color="0000EE"/>
            </w:tcBorders>
            <w:gridSpan w:val="10"/>
          </w:tcPr>
          <w:p>
            <w:pPr>
              <w:spacing w:after="0"/>
              <w:rPr>
                <w:rFonts w:ascii="Arial" w:cs="Arial" w:eastAsia="Arial" w:hAnsi="Arial"/>
                <w:sz w:val="16"/>
                <w:szCs w:val="16"/>
                <w:color w:val="0000EE"/>
                <w:w w:val="96"/>
              </w:rPr>
            </w:pPr>
            <w:hyperlink w:anchor="page20">
              <w:r>
                <w:rPr>
                  <w:rFonts w:ascii="Arial" w:cs="Arial" w:eastAsia="Arial" w:hAnsi="Arial"/>
                  <w:sz w:val="16"/>
                  <w:szCs w:val="16"/>
                  <w:color w:val="0000EE"/>
                  <w:w w:val="96"/>
                </w:rPr>
                <w:t>Our Board of Directors</w:t>
              </w:r>
            </w:hyperlink>
          </w:p>
        </w:tc>
        <w:tc>
          <w:tcPr>
            <w:tcW w:w="3100" w:type="dxa"/>
            <w:vAlign w:val="bottom"/>
            <w:gridSpan w:val="16"/>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0">
              <w:r>
                <w:rPr>
                  <w:rFonts w:ascii="Arial" w:cs="Arial" w:eastAsia="Arial" w:hAnsi="Arial"/>
                  <w:sz w:val="16"/>
                  <w:szCs w:val="16"/>
                  <w:color w:val="0000EE"/>
                  <w:w w:val="78"/>
                </w:rPr>
                <w:t>10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Continuing Members of the Board of Directors</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11</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140" w:type="dxa"/>
            <w:vAlign w:val="bottom"/>
            <w:tcBorders>
              <w:top w:val="single" w:sz="8" w:color="0000EE"/>
            </w:tcBorders>
            <w:gridSpan w:val="1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PROPOSAL 5</w:t>
              </w:r>
            </w:hyperlink>
          </w:p>
        </w:tc>
        <w:tc>
          <w:tcPr>
            <w:tcW w:w="1540" w:type="dxa"/>
            <w:vAlign w:val="bottom"/>
            <w:tcBorders>
              <w:top w:val="single" w:sz="8" w:color="CCEEFF"/>
            </w:tcBorders>
            <w:gridSpan w:val="8"/>
          </w:tcPr>
          <w:p>
            <w:pPr>
              <w:spacing w:after="0"/>
              <w:rPr>
                <w:sz w:val="19"/>
                <w:szCs w:val="19"/>
                <w:color w:val="auto"/>
              </w:rPr>
            </w:pPr>
          </w:p>
        </w:tc>
        <w:tc>
          <w:tcPr>
            <w:tcW w:w="228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12</w:t>
              </w:r>
            </w:hyperlink>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PROPOSAL 6</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13</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PROPOSAL 7</w:t>
              </w:r>
            </w:hyperlink>
          </w:p>
        </w:tc>
        <w:tc>
          <w:tcPr>
            <w:tcW w:w="244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PROPOSAL 8</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14</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PROPOSAL 9</w:t>
              </w:r>
            </w:hyperlink>
          </w:p>
        </w:tc>
        <w:tc>
          <w:tcPr>
            <w:tcW w:w="244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16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0000EE"/>
            </w:tcBorders>
            <w:gridSpan w:val="4"/>
            <w:shd w:val="clear" w:color="auto" w:fill="CCEEFF"/>
          </w:tcPr>
          <w:p>
            <w:pPr>
              <w:spacing w:after="0"/>
              <w:rPr>
                <w:rFonts w:ascii="Arial" w:cs="Arial" w:eastAsia="Arial" w:hAnsi="Arial"/>
                <w:sz w:val="16"/>
                <w:szCs w:val="16"/>
                <w:color w:val="0000EE"/>
                <w:w w:val="94"/>
              </w:rPr>
            </w:pPr>
            <w:hyperlink w:anchor="page26">
              <w:r>
                <w:rPr>
                  <w:rFonts w:ascii="Arial" w:cs="Arial" w:eastAsia="Arial" w:hAnsi="Arial"/>
                  <w:sz w:val="16"/>
                  <w:szCs w:val="16"/>
                  <w:color w:val="0000EE"/>
                  <w:w w:val="94"/>
                </w:rPr>
                <w:t>PROPOSAL 10</w:t>
              </w:r>
            </w:hyperlink>
          </w:p>
        </w:tc>
        <w:tc>
          <w:tcPr>
            <w:tcW w:w="3620" w:type="dxa"/>
            <w:vAlign w:val="bottom"/>
            <w:tcBorders>
              <w:bottom w:val="single" w:sz="8" w:color="CCEEFF"/>
            </w:tcBorders>
            <w:gridSpan w:val="22"/>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26">
              <w:r>
                <w:rPr>
                  <w:rFonts w:ascii="Arial" w:cs="Arial" w:eastAsia="Arial" w:hAnsi="Arial"/>
                  <w:sz w:val="16"/>
                  <w:szCs w:val="16"/>
                  <w:color w:val="0000EE"/>
                  <w:w w:val="78"/>
                </w:rPr>
                <w:t>16</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PROPOSAL 11</w:t>
              </w:r>
            </w:hyperlink>
          </w:p>
        </w:tc>
        <w:tc>
          <w:tcPr>
            <w:tcW w:w="244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Borders>
              <w:bottom w:val="single" w:sz="8" w:color="0000EE"/>
            </w:tcBorders>
          </w:tcPr>
          <w:p>
            <w:pPr>
              <w:spacing w:after="0"/>
              <w:rPr>
                <w:sz w:val="19"/>
                <w:szCs w:val="19"/>
                <w:color w:val="auto"/>
              </w:rPr>
            </w:pPr>
          </w:p>
        </w:tc>
        <w:tc>
          <w:tcPr>
            <w:tcW w:w="1240" w:type="dxa"/>
            <w:vAlign w:val="bottom"/>
            <w:tcBorders>
              <w:bottom w:val="single" w:sz="8" w:color="0000EE"/>
            </w:tcBorders>
            <w:gridSpan w:val="6"/>
            <w:shd w:val="clear" w:color="auto" w:fill="CCEEFF"/>
          </w:tcPr>
          <w:p>
            <w:pPr>
              <w:spacing w:after="0"/>
              <w:rPr>
                <w:rFonts w:ascii="Arial" w:cs="Arial" w:eastAsia="Arial" w:hAnsi="Arial"/>
                <w:sz w:val="16"/>
                <w:szCs w:val="16"/>
                <w:color w:val="0000EE"/>
                <w:w w:val="94"/>
              </w:rPr>
            </w:pPr>
            <w:hyperlink w:anchor="page29">
              <w:r>
                <w:rPr>
                  <w:rFonts w:ascii="Arial" w:cs="Arial" w:eastAsia="Arial" w:hAnsi="Arial"/>
                  <w:sz w:val="16"/>
                  <w:szCs w:val="16"/>
                  <w:color w:val="0000EE"/>
                  <w:w w:val="94"/>
                </w:rPr>
                <w:t>Executive Officers</w:t>
              </w:r>
            </w:hyperlink>
          </w:p>
        </w:tc>
        <w:tc>
          <w:tcPr>
            <w:tcW w:w="3580" w:type="dxa"/>
            <w:vAlign w:val="bottom"/>
            <w:tcBorders>
              <w:bottom w:val="single" w:sz="8" w:color="CCEEFF"/>
            </w:tcBorders>
            <w:gridSpan w:val="21"/>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29">
              <w:r>
                <w:rPr>
                  <w:rFonts w:ascii="Arial" w:cs="Arial" w:eastAsia="Arial" w:hAnsi="Arial"/>
                  <w:sz w:val="16"/>
                  <w:szCs w:val="16"/>
                  <w:color w:val="0000EE"/>
                  <w:w w:val="78"/>
                </w:rPr>
                <w:t>19</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29">
              <w:r>
                <w:rPr>
                  <w:rFonts w:ascii="Arial" w:cs="Arial" w:eastAsia="Arial" w:hAnsi="Arial"/>
                  <w:sz w:val="16"/>
                  <w:szCs w:val="16"/>
                  <w:color w:val="0000EE"/>
                  <w:w w:val="92"/>
                </w:rPr>
                <w:t>Corporate Governance</w:t>
              </w:r>
            </w:hyperlink>
          </w:p>
        </w:tc>
        <w:tc>
          <w:tcPr>
            <w:tcW w:w="3320" w:type="dxa"/>
            <w:vAlign w:val="bottom"/>
            <w:gridSpan w:val="18"/>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29">
              <w:r>
                <w:rPr>
                  <w:rFonts w:ascii="Arial" w:cs="Arial" w:eastAsia="Arial" w:hAnsi="Arial"/>
                  <w:sz w:val="16"/>
                  <w:szCs w:val="16"/>
                  <w:color w:val="0000EE"/>
                  <w:w w:val="78"/>
                </w:rPr>
                <w:t>19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General</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19</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Board Composition</w:t>
              </w:r>
            </w:hyperlink>
          </w:p>
        </w:tc>
        <w:tc>
          <w:tcPr>
            <w:tcW w:w="2440" w:type="dxa"/>
            <w:vAlign w:val="bottom"/>
            <w:gridSpan w:val="3"/>
          </w:tcPr>
          <w:p>
            <w:pPr>
              <w:jc w:val="right"/>
              <w:spacing w:after="0"/>
              <w:rPr>
                <w:rFonts w:ascii="Arial" w:cs="Arial" w:eastAsia="Arial" w:hAnsi="Arial"/>
                <w:sz w:val="16"/>
                <w:szCs w:val="16"/>
                <w:color w:val="0000EE"/>
              </w:rPr>
            </w:pPr>
            <w:hyperlink w:anchor="page29">
              <w:r>
                <w:rPr>
                  <w:rFonts w:ascii="Arial" w:cs="Arial" w:eastAsia="Arial" w:hAnsi="Arial"/>
                  <w:sz w:val="16"/>
                  <w:szCs w:val="16"/>
                  <w:color w:val="0000EE"/>
                </w:rPr>
                <w:t>19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Director Independence</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20</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3"/>
              </w:rPr>
            </w:pPr>
            <w:hyperlink w:anchor="page30">
              <w:r>
                <w:rPr>
                  <w:rFonts w:ascii="Arial" w:cs="Arial" w:eastAsia="Arial" w:hAnsi="Arial"/>
                  <w:sz w:val="16"/>
                  <w:szCs w:val="16"/>
                  <w:color w:val="0000EE"/>
                  <w:w w:val="93"/>
                </w:rPr>
                <w:t>Director Candidates</w:t>
              </w:r>
            </w:hyperlink>
          </w:p>
        </w:tc>
        <w:tc>
          <w:tcPr>
            <w:tcW w:w="240" w:type="dxa"/>
            <w:vAlign w:val="bottom"/>
            <w:tcBorders>
              <w:top w:val="single" w:sz="8" w:color="0000EE"/>
            </w:tcBorders>
            <w:gridSpan w:val="3"/>
          </w:tcPr>
          <w:p>
            <w:pPr>
              <w:spacing w:after="0"/>
              <w:rPr>
                <w:sz w:val="19"/>
                <w:szCs w:val="19"/>
                <w:color w:val="auto"/>
              </w:rPr>
            </w:pPr>
          </w:p>
        </w:tc>
        <w:tc>
          <w:tcPr>
            <w:tcW w:w="3100" w:type="dxa"/>
            <w:vAlign w:val="bottom"/>
            <w:tcBorders>
              <w:top w:val="single" w:sz="8" w:color="CCEEFF"/>
            </w:tcBorders>
            <w:gridSpan w:val="16"/>
          </w:tcPr>
          <w:p>
            <w:pPr>
              <w:spacing w:after="0"/>
              <w:rPr>
                <w:sz w:val="19"/>
                <w:szCs w:val="19"/>
                <w:color w:val="auto"/>
              </w:rPr>
            </w:pPr>
          </w:p>
        </w:tc>
        <w:tc>
          <w:tcPr>
            <w:tcW w:w="2280" w:type="dxa"/>
            <w:vAlign w:val="bottom"/>
            <w:tcBorders>
              <w:top w:val="single" w:sz="8" w:color="CCEEFF"/>
            </w:tcBorders>
          </w:tcPr>
          <w:p>
            <w:pPr>
              <w:spacing w:after="0"/>
              <w:rPr>
                <w:sz w:val="19"/>
                <w:szCs w:val="19"/>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30">
              <w:r>
                <w:rPr>
                  <w:rFonts w:ascii="Arial" w:cs="Arial" w:eastAsia="Arial" w:hAnsi="Arial"/>
                  <w:sz w:val="16"/>
                  <w:szCs w:val="16"/>
                  <w:color w:val="0000EE"/>
                  <w:w w:val="78"/>
                </w:rPr>
                <w:t>20</w:t>
              </w:r>
            </w:hyperlink>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EE"/>
            </w:tcBorders>
            <w:gridSpan w:val="15"/>
            <w:shd w:val="clear" w:color="auto" w:fill="CCEEFF"/>
          </w:tcPr>
          <w:p>
            <w:pPr>
              <w:spacing w:after="0"/>
              <w:rPr>
                <w:rFonts w:ascii="Arial" w:cs="Arial" w:eastAsia="Arial" w:hAnsi="Arial"/>
                <w:sz w:val="16"/>
                <w:szCs w:val="16"/>
                <w:color w:val="0000EE"/>
                <w:w w:val="94"/>
              </w:rPr>
            </w:pPr>
            <w:hyperlink w:anchor="page31">
              <w:r>
                <w:rPr>
                  <w:rFonts w:ascii="Arial" w:cs="Arial" w:eastAsia="Arial" w:hAnsi="Arial"/>
                  <w:sz w:val="16"/>
                  <w:szCs w:val="16"/>
                  <w:color w:val="0000EE"/>
                  <w:w w:val="94"/>
                </w:rPr>
                <w:t>Communications from Shareholders</w:t>
              </w:r>
            </w:hyperlink>
          </w:p>
        </w:tc>
        <w:tc>
          <w:tcPr>
            <w:tcW w:w="2260" w:type="dxa"/>
            <w:vAlign w:val="bottom"/>
            <w:tcBorders>
              <w:bottom w:val="single" w:sz="8" w:color="CCEEFF"/>
            </w:tcBorders>
            <w:gridSpan w:val="11"/>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21</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Borders>
              <w:bottom w:val="single" w:sz="8" w:color="0000EE"/>
            </w:tcBorders>
            <w:gridSpan w:val="21"/>
          </w:tcPr>
          <w:p>
            <w:pPr>
              <w:spacing w:after="0"/>
              <w:rPr>
                <w:rFonts w:ascii="Arial" w:cs="Arial" w:eastAsia="Arial" w:hAnsi="Arial"/>
                <w:sz w:val="16"/>
                <w:szCs w:val="16"/>
                <w:color w:val="0000EE"/>
                <w:w w:val="94"/>
              </w:rPr>
            </w:pPr>
            <w:hyperlink w:anchor="page31">
              <w:r>
                <w:rPr>
                  <w:rFonts w:ascii="Arial" w:cs="Arial" w:eastAsia="Arial" w:hAnsi="Arial"/>
                  <w:sz w:val="16"/>
                  <w:szCs w:val="16"/>
                  <w:color w:val="0000EE"/>
                  <w:w w:val="94"/>
                </w:rPr>
                <w:t>Board Leadership Structure and Role in Risk Oversight</w:t>
              </w:r>
            </w:hyperlink>
          </w:p>
        </w:tc>
        <w:tc>
          <w:tcPr>
            <w:tcW w:w="960" w:type="dxa"/>
            <w:vAlign w:val="bottom"/>
            <w:gridSpan w:val="5"/>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1">
              <w:r>
                <w:rPr>
                  <w:rFonts w:ascii="Arial" w:cs="Arial" w:eastAsia="Arial" w:hAnsi="Arial"/>
                  <w:sz w:val="16"/>
                  <w:szCs w:val="16"/>
                  <w:color w:val="0000EE"/>
                  <w:w w:val="78"/>
                </w:rPr>
                <w:t>21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6"/>
                <w:szCs w:val="16"/>
                <w:color w:val="0000EE"/>
                <w:w w:val="95"/>
              </w:rPr>
            </w:pPr>
            <w:hyperlink w:anchor="page32">
              <w:r>
                <w:rPr>
                  <w:rFonts w:ascii="Arial" w:cs="Arial" w:eastAsia="Arial" w:hAnsi="Arial"/>
                  <w:sz w:val="16"/>
                  <w:szCs w:val="16"/>
                  <w:color w:val="0000EE"/>
                  <w:w w:val="95"/>
                </w:rPr>
                <w:t>Periodic Board Evaluation</w:t>
              </w:r>
            </w:hyperlink>
          </w:p>
        </w:tc>
        <w:tc>
          <w:tcPr>
            <w:tcW w:w="2880" w:type="dxa"/>
            <w:vAlign w:val="bottom"/>
            <w:tcBorders>
              <w:bottom w:val="single" w:sz="8" w:color="CCEEFF"/>
            </w:tcBorders>
            <w:gridSpan w:val="15"/>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32">
              <w:r>
                <w:rPr>
                  <w:rFonts w:ascii="Arial" w:cs="Arial" w:eastAsia="Arial" w:hAnsi="Arial"/>
                  <w:sz w:val="16"/>
                  <w:szCs w:val="16"/>
                  <w:color w:val="0000EE"/>
                  <w:w w:val="78"/>
                </w:rPr>
                <w:t>22</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tcBorders>
              <w:bottom w:val="single" w:sz="8" w:color="0000EE"/>
            </w:tcBorders>
            <w:gridSpan w:val="17"/>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Code of Business Conduct and Ethics</w:t>
              </w:r>
            </w:hyperlink>
          </w:p>
        </w:tc>
        <w:tc>
          <w:tcPr>
            <w:tcW w:w="2160" w:type="dxa"/>
            <w:vAlign w:val="bottom"/>
            <w:gridSpan w:val="9"/>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2">
              <w:r>
                <w:rPr>
                  <w:rFonts w:ascii="Arial" w:cs="Arial" w:eastAsia="Arial" w:hAnsi="Arial"/>
                  <w:sz w:val="16"/>
                  <w:szCs w:val="16"/>
                  <w:color w:val="0000EE"/>
                  <w:w w:val="78"/>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0000EE"/>
            </w:tcBorders>
            <w:gridSpan w:val="9"/>
            <w:shd w:val="clear" w:color="auto" w:fill="CCEEFF"/>
          </w:tcPr>
          <w:p>
            <w:pPr>
              <w:spacing w:after="0"/>
              <w:rPr>
                <w:rFonts w:ascii="Arial" w:cs="Arial" w:eastAsia="Arial" w:hAnsi="Arial"/>
                <w:sz w:val="16"/>
                <w:szCs w:val="16"/>
                <w:color w:val="0000EE"/>
                <w:w w:val="98"/>
              </w:rPr>
            </w:pPr>
            <w:hyperlink w:anchor="page32">
              <w:r>
                <w:rPr>
                  <w:rFonts w:ascii="Arial" w:cs="Arial" w:eastAsia="Arial" w:hAnsi="Arial"/>
                  <w:sz w:val="16"/>
                  <w:szCs w:val="16"/>
                  <w:color w:val="0000EE"/>
                  <w:w w:val="98"/>
                </w:rPr>
                <w:t>Anti-Hedging Policy</w:t>
              </w:r>
            </w:hyperlink>
          </w:p>
        </w:tc>
        <w:tc>
          <w:tcPr>
            <w:tcW w:w="3280" w:type="dxa"/>
            <w:vAlign w:val="bottom"/>
            <w:tcBorders>
              <w:bottom w:val="single" w:sz="8" w:color="CCEEFF"/>
            </w:tcBorders>
            <w:gridSpan w:val="17"/>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32">
              <w:r>
                <w:rPr>
                  <w:rFonts w:ascii="Arial" w:cs="Arial" w:eastAsia="Arial" w:hAnsi="Arial"/>
                  <w:sz w:val="16"/>
                  <w:szCs w:val="16"/>
                  <w:color w:val="0000EE"/>
                  <w:w w:val="78"/>
                </w:rPr>
                <w:t>22</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Borders>
              <w:bottom w:val="single" w:sz="8" w:color="0000EE"/>
            </w:tcBorders>
            <w:gridSpan w:val="24"/>
          </w:tcPr>
          <w:p>
            <w:pPr>
              <w:spacing w:after="0"/>
              <w:rPr>
                <w:rFonts w:ascii="Arial" w:cs="Arial" w:eastAsia="Arial" w:hAnsi="Arial"/>
                <w:sz w:val="16"/>
                <w:szCs w:val="16"/>
                <w:color w:val="0000EE"/>
                <w:w w:val="95"/>
              </w:rPr>
            </w:pPr>
            <w:hyperlink w:anchor="page33">
              <w:r>
                <w:rPr>
                  <w:rFonts w:ascii="Arial" w:cs="Arial" w:eastAsia="Arial" w:hAnsi="Arial"/>
                  <w:sz w:val="16"/>
                  <w:szCs w:val="16"/>
                  <w:color w:val="0000EE"/>
                  <w:w w:val="95"/>
                </w:rPr>
                <w:t>Attendance by Members of the Board of Directors at Meetings</w:t>
              </w:r>
            </w:hyperlink>
          </w:p>
        </w:tc>
        <w:tc>
          <w:tcPr>
            <w:tcW w:w="48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3">
              <w:r>
                <w:rPr>
                  <w:rFonts w:ascii="Arial" w:cs="Arial" w:eastAsia="Arial" w:hAnsi="Arial"/>
                  <w:sz w:val="16"/>
                  <w:szCs w:val="16"/>
                  <w:color w:val="0000EE"/>
                  <w:w w:val="78"/>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7"/>
            <w:shd w:val="clear" w:color="auto" w:fill="CCEEFF"/>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Committees of the Board</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23</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Borders>
              <w:bottom w:val="single" w:sz="8" w:color="0000EE"/>
            </w:tcBorders>
            <w:gridSpan w:val="11"/>
          </w:tcPr>
          <w:p>
            <w:pPr>
              <w:spacing w:after="0"/>
              <w:rPr>
                <w:rFonts w:ascii="Arial" w:cs="Arial" w:eastAsia="Arial" w:hAnsi="Arial"/>
                <w:sz w:val="16"/>
                <w:szCs w:val="16"/>
                <w:color w:val="0000EE"/>
                <w:w w:val="95"/>
              </w:rPr>
            </w:pPr>
            <w:hyperlink w:anchor="page33">
              <w:r>
                <w:rPr>
                  <w:rFonts w:ascii="Arial" w:cs="Arial" w:eastAsia="Arial" w:hAnsi="Arial"/>
                  <w:sz w:val="16"/>
                  <w:szCs w:val="16"/>
                  <w:color w:val="0000EE"/>
                  <w:w w:val="95"/>
                </w:rPr>
                <w:t>Audit and Risk Committee</w:t>
              </w:r>
            </w:hyperlink>
          </w:p>
        </w:tc>
        <w:tc>
          <w:tcPr>
            <w:tcW w:w="2880" w:type="dxa"/>
            <w:vAlign w:val="bottom"/>
            <w:gridSpan w:val="15"/>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3">
              <w:r>
                <w:rPr>
                  <w:rFonts w:ascii="Arial" w:cs="Arial" w:eastAsia="Arial" w:hAnsi="Arial"/>
                  <w:sz w:val="16"/>
                  <w:szCs w:val="16"/>
                  <w:color w:val="0000EE"/>
                  <w:w w:val="78"/>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Remuneration Committee</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24</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tcBorders>
              <w:bottom w:val="single" w:sz="8" w:color="0000EE"/>
            </w:tcBorders>
            <w:gridSpan w:val="19"/>
          </w:tcPr>
          <w:p>
            <w:pPr>
              <w:spacing w:after="0"/>
              <w:rPr>
                <w:rFonts w:ascii="Arial" w:cs="Arial" w:eastAsia="Arial" w:hAnsi="Arial"/>
                <w:sz w:val="16"/>
                <w:szCs w:val="16"/>
                <w:color w:val="0000EE"/>
                <w:w w:val="94"/>
              </w:rPr>
            </w:pPr>
            <w:hyperlink w:anchor="page35">
              <w:r>
                <w:rPr>
                  <w:rFonts w:ascii="Arial" w:cs="Arial" w:eastAsia="Arial" w:hAnsi="Arial"/>
                  <w:sz w:val="16"/>
                  <w:szCs w:val="16"/>
                  <w:color w:val="0000EE"/>
                  <w:w w:val="94"/>
                </w:rPr>
                <w:t>Nomination and Corporate Governance Committee</w:t>
              </w:r>
            </w:hyperlink>
          </w:p>
        </w:tc>
        <w:tc>
          <w:tcPr>
            <w:tcW w:w="1260" w:type="dxa"/>
            <w:vAlign w:val="bottom"/>
            <w:gridSpan w:val="7"/>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5">
              <w:r>
                <w:rPr>
                  <w:rFonts w:ascii="Arial" w:cs="Arial" w:eastAsia="Arial" w:hAnsi="Arial"/>
                  <w:sz w:val="16"/>
                  <w:szCs w:val="16"/>
                  <w:color w:val="0000EE"/>
                  <w:w w:val="78"/>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0000EE"/>
            </w:tcBorders>
          </w:tcPr>
          <w:p>
            <w:pPr>
              <w:spacing w:after="0"/>
              <w:rPr>
                <w:sz w:val="19"/>
                <w:szCs w:val="19"/>
                <w:color w:val="auto"/>
              </w:rPr>
            </w:pPr>
          </w:p>
        </w:tc>
        <w:tc>
          <w:tcPr>
            <w:tcW w:w="2540" w:type="dxa"/>
            <w:vAlign w:val="bottom"/>
            <w:tcBorders>
              <w:bottom w:val="single" w:sz="8" w:color="0000EE"/>
            </w:tcBorders>
            <w:gridSpan w:val="15"/>
            <w:shd w:val="clear" w:color="auto" w:fill="CCEEFF"/>
          </w:tcPr>
          <w:p>
            <w:pPr>
              <w:spacing w:after="0"/>
              <w:rPr>
                <w:rFonts w:ascii="Arial" w:cs="Arial" w:eastAsia="Arial" w:hAnsi="Arial"/>
                <w:sz w:val="16"/>
                <w:szCs w:val="16"/>
                <w:color w:val="0000EE"/>
                <w:w w:val="93"/>
              </w:rPr>
            </w:pPr>
            <w:hyperlink w:anchor="page35">
              <w:r>
                <w:rPr>
                  <w:rFonts w:ascii="Arial" w:cs="Arial" w:eastAsia="Arial" w:hAnsi="Arial"/>
                  <w:sz w:val="16"/>
                  <w:szCs w:val="16"/>
                  <w:color w:val="0000EE"/>
                  <w:w w:val="93"/>
                </w:rPr>
                <w:t>Executive and Director Compensation</w:t>
              </w:r>
            </w:hyperlink>
          </w:p>
        </w:tc>
        <w:tc>
          <w:tcPr>
            <w:tcW w:w="2280" w:type="dxa"/>
            <w:vAlign w:val="bottom"/>
            <w:tcBorders>
              <w:bottom w:val="single" w:sz="8" w:color="CCEEFF"/>
            </w:tcBorders>
            <w:gridSpan w:val="12"/>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35">
              <w:r>
                <w:rPr>
                  <w:rFonts w:ascii="Arial" w:cs="Arial" w:eastAsia="Arial" w:hAnsi="Arial"/>
                  <w:sz w:val="16"/>
                  <w:szCs w:val="16"/>
                  <w:color w:val="0000EE"/>
                  <w:w w:val="78"/>
                </w:rPr>
                <w:t>25</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Borders>
              <w:bottom w:val="single" w:sz="8" w:color="0000EE"/>
            </w:tcBorders>
            <w:gridSpan w:val="16"/>
          </w:tcPr>
          <w:p>
            <w:pPr>
              <w:spacing w:after="0"/>
              <w:rPr>
                <w:rFonts w:ascii="Arial" w:cs="Arial" w:eastAsia="Arial" w:hAnsi="Arial"/>
                <w:sz w:val="16"/>
                <w:szCs w:val="16"/>
                <w:color w:val="0000EE"/>
                <w:w w:val="92"/>
              </w:rPr>
            </w:pPr>
            <w:hyperlink w:anchor="page36">
              <w:r>
                <w:rPr>
                  <w:rFonts w:ascii="Arial" w:cs="Arial" w:eastAsia="Arial" w:hAnsi="Arial"/>
                  <w:sz w:val="16"/>
                  <w:szCs w:val="16"/>
                  <w:color w:val="0000EE"/>
                  <w:w w:val="92"/>
                </w:rPr>
                <w:t>2020 Summary Compensation Table</w:t>
              </w:r>
            </w:hyperlink>
          </w:p>
        </w:tc>
        <w:tc>
          <w:tcPr>
            <w:tcW w:w="2240" w:type="dxa"/>
            <w:vAlign w:val="bottom"/>
            <w:gridSpan w:val="10"/>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36">
              <w:r>
                <w:rPr>
                  <w:rFonts w:ascii="Arial" w:cs="Arial" w:eastAsia="Arial" w:hAnsi="Arial"/>
                  <w:sz w:val="16"/>
                  <w:szCs w:val="16"/>
                  <w:color w:val="0000EE"/>
                  <w:w w:val="78"/>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80" w:type="dxa"/>
            <w:vAlign w:val="bottom"/>
            <w:gridSpan w:val="26"/>
            <w:shd w:val="clear" w:color="auto" w:fill="CCEEFF"/>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Outstanding Equity Awards at 2020 Fiscal Year-End</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29</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940" w:type="dxa"/>
            <w:vAlign w:val="bottom"/>
            <w:tcBorders>
              <w:top w:val="single" w:sz="8" w:color="0000EE"/>
              <w:bottom w:val="single" w:sz="8" w:color="0000EE"/>
            </w:tcBorders>
            <w:gridSpan w:val="12"/>
          </w:tcPr>
          <w:p>
            <w:pPr>
              <w:spacing w:after="0"/>
              <w:rPr>
                <w:rFonts w:ascii="Arial" w:cs="Arial" w:eastAsia="Arial" w:hAnsi="Arial"/>
                <w:sz w:val="16"/>
                <w:szCs w:val="16"/>
                <w:color w:val="0000EE"/>
                <w:w w:val="94"/>
              </w:rPr>
            </w:pPr>
            <w:hyperlink w:anchor="page42">
              <w:r>
                <w:rPr>
                  <w:rFonts w:ascii="Arial" w:cs="Arial" w:eastAsia="Arial" w:hAnsi="Arial"/>
                  <w:sz w:val="16"/>
                  <w:szCs w:val="16"/>
                  <w:color w:val="0000EE"/>
                  <w:w w:val="94"/>
                </w:rPr>
                <w:t>2020 Director Compensation</w:t>
              </w:r>
            </w:hyperlink>
          </w:p>
        </w:tc>
        <w:tc>
          <w:tcPr>
            <w:tcW w:w="1560" w:type="dxa"/>
            <w:vAlign w:val="bottom"/>
            <w:tcBorders>
              <w:top w:val="single" w:sz="8" w:color="0000EE"/>
            </w:tcBorders>
            <w:gridSpan w:val="8"/>
          </w:tcPr>
          <w:p>
            <w:pPr>
              <w:spacing w:after="0"/>
              <w:rPr>
                <w:sz w:val="19"/>
                <w:szCs w:val="19"/>
                <w:color w:val="auto"/>
              </w:rPr>
            </w:pPr>
          </w:p>
        </w:tc>
        <w:tc>
          <w:tcPr>
            <w:tcW w:w="1180" w:type="dxa"/>
            <w:vAlign w:val="bottom"/>
            <w:tcBorders>
              <w:top w:val="single" w:sz="8" w:color="CCEEFF"/>
            </w:tcBorders>
            <w:gridSpan w:val="6"/>
          </w:tcPr>
          <w:p>
            <w:pPr>
              <w:spacing w:after="0"/>
              <w:rPr>
                <w:sz w:val="19"/>
                <w:szCs w:val="19"/>
                <w:color w:val="auto"/>
              </w:rPr>
            </w:pPr>
          </w:p>
        </w:tc>
        <w:tc>
          <w:tcPr>
            <w:tcW w:w="2280" w:type="dxa"/>
            <w:vAlign w:val="bottom"/>
            <w:tcBorders>
              <w:top w:val="single" w:sz="8" w:color="CCEEFF"/>
            </w:tcBorders>
          </w:tcPr>
          <w:p>
            <w:pPr>
              <w:spacing w:after="0"/>
              <w:rPr>
                <w:sz w:val="19"/>
                <w:szCs w:val="19"/>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42">
              <w:r>
                <w:rPr>
                  <w:rFonts w:ascii="Arial" w:cs="Arial" w:eastAsia="Arial" w:hAnsi="Arial"/>
                  <w:sz w:val="16"/>
                  <w:szCs w:val="16"/>
                  <w:color w:val="0000EE"/>
                  <w:w w:val="78"/>
                </w:rPr>
                <w:t>32</w:t>
              </w:r>
            </w:hyperlink>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0000EE"/>
            </w:tcBorders>
            <w:gridSpan w:val="26"/>
            <w:shd w:val="clear" w:color="auto" w:fill="CCEEFF"/>
          </w:tcPr>
          <w:p>
            <w:pPr>
              <w:spacing w:after="0"/>
              <w:rPr>
                <w:rFonts w:ascii="Arial" w:cs="Arial" w:eastAsia="Arial" w:hAnsi="Arial"/>
                <w:sz w:val="16"/>
                <w:szCs w:val="16"/>
                <w:color w:val="0000EE"/>
                <w:w w:val="94"/>
              </w:rPr>
            </w:pPr>
            <w:hyperlink w:anchor="page44">
              <w:r>
                <w:rPr>
                  <w:rFonts w:ascii="Arial" w:cs="Arial" w:eastAsia="Arial" w:hAnsi="Arial"/>
                  <w:sz w:val="16"/>
                  <w:szCs w:val="16"/>
                  <w:color w:val="0000EE"/>
                  <w:w w:val="94"/>
                </w:rPr>
                <w:t>Securities Authorized for Issuance Under Equity Compensation Plans</w:t>
              </w:r>
            </w:hyperlink>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44">
              <w:r>
                <w:rPr>
                  <w:rFonts w:ascii="Arial" w:cs="Arial" w:eastAsia="Arial" w:hAnsi="Arial"/>
                  <w:sz w:val="16"/>
                  <w:szCs w:val="16"/>
                  <w:color w:val="0000EE"/>
                  <w:w w:val="78"/>
                </w:rPr>
                <w:t>34</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Borders>
              <w:bottom w:val="single" w:sz="8" w:color="0000EE"/>
            </w:tcBorders>
            <w:gridSpan w:val="27"/>
          </w:tcPr>
          <w:p>
            <w:pPr>
              <w:spacing w:after="0"/>
              <w:rPr>
                <w:rFonts w:ascii="Arial" w:cs="Arial" w:eastAsia="Arial" w:hAnsi="Arial"/>
                <w:sz w:val="16"/>
                <w:szCs w:val="16"/>
                <w:color w:val="0000EE"/>
                <w:w w:val="95"/>
              </w:rPr>
            </w:pPr>
            <w:hyperlink w:anchor="page44">
              <w:r>
                <w:rPr>
                  <w:rFonts w:ascii="Arial" w:cs="Arial" w:eastAsia="Arial" w:hAnsi="Arial"/>
                  <w:sz w:val="16"/>
                  <w:szCs w:val="16"/>
                  <w:color w:val="0000EE"/>
                  <w:w w:val="95"/>
                </w:rPr>
                <w:t>Security Ownership of Certain Beneficial Owners and Management</w:t>
              </w:r>
            </w:hyperlink>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44">
              <w:r>
                <w:rPr>
                  <w:rFonts w:ascii="Arial" w:cs="Arial" w:eastAsia="Arial" w:hAnsi="Arial"/>
                  <w:sz w:val="16"/>
                  <w:szCs w:val="16"/>
                  <w:color w:val="0000EE"/>
                  <w:w w:val="78"/>
                </w:rPr>
                <w:t>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27"/>
            <w:shd w:val="clear" w:color="auto" w:fill="CCEEFF"/>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Delinquent Section 16(a) Reports</w:t>
              </w:r>
            </w:hyperlink>
          </w:p>
        </w:tc>
        <w:tc>
          <w:tcPr>
            <w:tcW w:w="2440" w:type="dxa"/>
            <w:vAlign w:val="bottom"/>
            <w:gridSpan w:val="3"/>
            <w:shd w:val="clear" w:color="auto" w:fill="CCEEFF"/>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37</w:t>
              </w:r>
            </w:hyperlink>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40" w:type="dxa"/>
            <w:vAlign w:val="bottom"/>
            <w:tcBorders>
              <w:top w:val="single" w:sz="8" w:color="0000EE"/>
            </w:tcBorders>
            <w:gridSpan w:val="15"/>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Certain Relationships</w:t>
              </w:r>
            </w:hyperlink>
          </w:p>
        </w:tc>
        <w:tc>
          <w:tcPr>
            <w:tcW w:w="2600" w:type="dxa"/>
            <w:vAlign w:val="bottom"/>
            <w:tcBorders>
              <w:top w:val="single" w:sz="8" w:color="CCEEFF"/>
            </w:tcBorders>
            <w:gridSpan w:val="13"/>
          </w:tcPr>
          <w:p>
            <w:pPr>
              <w:spacing w:after="0"/>
              <w:rPr>
                <w:sz w:val="19"/>
                <w:szCs w:val="19"/>
                <w:color w:val="auto"/>
              </w:rPr>
            </w:pPr>
          </w:p>
        </w:tc>
        <w:tc>
          <w:tcPr>
            <w:tcW w:w="228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38</w:t>
              </w:r>
            </w:hyperlink>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780" w:type="dxa"/>
            <w:vAlign w:val="bottom"/>
            <w:tcBorders>
              <w:bottom w:val="single" w:sz="8" w:color="0000EE"/>
            </w:tcBorders>
            <w:gridSpan w:val="22"/>
            <w:shd w:val="clear" w:color="auto" w:fill="CCEEFF"/>
          </w:tcPr>
          <w:p>
            <w:pPr>
              <w:spacing w:after="0"/>
              <w:rPr>
                <w:rFonts w:ascii="Arial" w:cs="Arial" w:eastAsia="Arial" w:hAnsi="Arial"/>
                <w:sz w:val="16"/>
                <w:szCs w:val="16"/>
                <w:color w:val="0000EE"/>
                <w:w w:val="92"/>
              </w:rPr>
            </w:pPr>
            <w:hyperlink w:anchor="page48">
              <w:r>
                <w:rPr>
                  <w:rFonts w:ascii="Arial" w:cs="Arial" w:eastAsia="Arial" w:hAnsi="Arial"/>
                  <w:sz w:val="16"/>
                  <w:szCs w:val="16"/>
                  <w:color w:val="0000EE"/>
                  <w:w w:val="92"/>
                </w:rPr>
                <w:t>Policies and Procedures for Related Person Transactions</w:t>
              </w:r>
            </w:hyperlink>
          </w:p>
        </w:tc>
        <w:tc>
          <w:tcPr>
            <w:tcW w:w="900" w:type="dxa"/>
            <w:vAlign w:val="bottom"/>
            <w:tcBorders>
              <w:bottom w:val="single" w:sz="8" w:color="CCEEFF"/>
            </w:tcBorders>
            <w:gridSpan w:val="4"/>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38</w:t>
              </w:r>
            </w:hyperlink>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gridSpan w:val="26"/>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2020 Private Placement</w:t>
              </w:r>
            </w:hyperlink>
          </w:p>
        </w:tc>
        <w:tc>
          <w:tcPr>
            <w:tcW w:w="2440" w:type="dxa"/>
            <w:vAlign w:val="bottom"/>
            <w:gridSpan w:val="3"/>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0" w:name="page11"/>
    <w:bookmarkEnd w:id="10"/>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160" w:type="dxa"/>
            <w:vAlign w:val="bottom"/>
            <w:shd w:val="clear" w:color="auto" w:fill="CCEEFF"/>
          </w:tcPr>
          <w:p>
            <w:pPr>
              <w:spacing w:after="0"/>
              <w:rPr>
                <w:sz w:val="16"/>
                <w:szCs w:val="16"/>
                <w:color w:val="auto"/>
              </w:rPr>
            </w:pPr>
          </w:p>
        </w:tc>
        <w:tc>
          <w:tcPr>
            <w:tcW w:w="6360" w:type="dxa"/>
            <w:vAlign w:val="bottom"/>
            <w:gridSpan w:val="12"/>
            <w:shd w:val="clear" w:color="auto" w:fill="CCEEFF"/>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Concurrent Placement</w:t>
              </w:r>
            </w:hyperlink>
          </w:p>
        </w:tc>
        <w:tc>
          <w:tcPr>
            <w:tcW w:w="760" w:type="dxa"/>
            <w:vAlign w:val="bottom"/>
            <w:gridSpan w:val="3"/>
            <w:shd w:val="clear" w:color="auto" w:fill="CCEEFF"/>
          </w:tcPr>
          <w:p>
            <w:pPr>
              <w:jc w:val="right"/>
              <w:spacing w:after="0"/>
              <w:rPr>
                <w:rFonts w:ascii="Arial" w:cs="Arial" w:eastAsia="Arial" w:hAnsi="Arial"/>
                <w:sz w:val="16"/>
                <w:szCs w:val="16"/>
                <w:color w:val="0000EE"/>
              </w:rPr>
            </w:pPr>
            <w:hyperlink w:anchor="page49">
              <w:r>
                <w:rPr>
                  <w:rFonts w:ascii="Arial" w:cs="Arial" w:eastAsia="Arial" w:hAnsi="Arial"/>
                  <w:sz w:val="16"/>
                  <w:szCs w:val="16"/>
                  <w:color w:val="0000EE"/>
                </w:rPr>
                <w:t>39</w:t>
              </w:r>
            </w:hyperlink>
          </w:p>
        </w:tc>
        <w:tc>
          <w:tcPr>
            <w:tcW w:w="20" w:type="dxa"/>
            <w:vAlign w:val="bottom"/>
            <w:shd w:val="clear" w:color="auto" w:fill="CCEEFF"/>
          </w:tcPr>
          <w:p>
            <w:pPr>
              <w:spacing w:after="0"/>
              <w:rPr>
                <w:sz w:val="16"/>
                <w:szCs w:val="16"/>
                <w:color w:val="auto"/>
              </w:rPr>
            </w:pPr>
          </w:p>
        </w:tc>
      </w:tr>
      <w:tr>
        <w:trPr>
          <w:trHeight w:val="24"/>
        </w:trPr>
        <w:tc>
          <w:tcPr>
            <w:tcW w:w="160" w:type="dxa"/>
            <w:vAlign w:val="bottom"/>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00"/>
        </w:trPr>
        <w:tc>
          <w:tcPr>
            <w:tcW w:w="160" w:type="dxa"/>
            <w:vAlign w:val="bottom"/>
          </w:tcPr>
          <w:p>
            <w:pPr>
              <w:spacing w:after="0"/>
              <w:rPr>
                <w:sz w:val="17"/>
                <w:szCs w:val="17"/>
                <w:color w:val="auto"/>
              </w:rPr>
            </w:pPr>
          </w:p>
        </w:tc>
        <w:tc>
          <w:tcPr>
            <w:tcW w:w="2460" w:type="dxa"/>
            <w:vAlign w:val="bottom"/>
            <w:tcBorders>
              <w:bottom w:val="single" w:sz="8" w:color="0000EE"/>
            </w:tcBorders>
            <w:gridSpan w:val="7"/>
          </w:tcPr>
          <w:p>
            <w:pPr>
              <w:spacing w:after="0"/>
              <w:rPr>
                <w:rFonts w:ascii="Arial" w:cs="Arial" w:eastAsia="Arial" w:hAnsi="Arial"/>
                <w:sz w:val="16"/>
                <w:szCs w:val="16"/>
                <w:color w:val="0000EE"/>
                <w:w w:val="94"/>
              </w:rPr>
            </w:pPr>
            <w:hyperlink w:anchor="page49">
              <w:r>
                <w:rPr>
                  <w:rFonts w:ascii="Arial" w:cs="Arial" w:eastAsia="Arial" w:hAnsi="Arial"/>
                  <w:sz w:val="16"/>
                  <w:szCs w:val="16"/>
                  <w:color w:val="0000EE"/>
                  <w:w w:val="94"/>
                </w:rPr>
                <w:t>2016 Registration Rights Agreement</w:t>
              </w:r>
            </w:hyperlink>
          </w:p>
        </w:tc>
        <w:tc>
          <w:tcPr>
            <w:tcW w:w="3900" w:type="dxa"/>
            <w:vAlign w:val="bottom"/>
            <w:gridSpan w:val="5"/>
          </w:tcPr>
          <w:p>
            <w:pPr>
              <w:spacing w:after="0"/>
              <w:rPr>
                <w:sz w:val="17"/>
                <w:szCs w:val="17"/>
                <w:color w:val="auto"/>
              </w:rPr>
            </w:pPr>
          </w:p>
        </w:tc>
        <w:tc>
          <w:tcPr>
            <w:tcW w:w="60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39</w:t>
              </w:r>
            </w:hyperlink>
          </w:p>
        </w:tc>
        <w:tc>
          <w:tcPr>
            <w:tcW w:w="20" w:type="dxa"/>
            <w:vAlign w:val="bottom"/>
          </w:tcPr>
          <w:p>
            <w:pPr>
              <w:spacing w:after="0"/>
              <w:rPr>
                <w:sz w:val="17"/>
                <w:szCs w:val="17"/>
                <w:color w:val="auto"/>
              </w:rPr>
            </w:pPr>
          </w:p>
        </w:tc>
      </w:tr>
      <w:tr>
        <w:trPr>
          <w:trHeight w:val="228"/>
        </w:trPr>
        <w:tc>
          <w:tcPr>
            <w:tcW w:w="1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0000EE"/>
            </w:tcBorders>
            <w:gridSpan w:val="6"/>
            <w:shd w:val="clear" w:color="auto" w:fill="CCEEFF"/>
          </w:tcPr>
          <w:p>
            <w:pPr>
              <w:spacing w:after="0"/>
              <w:rPr>
                <w:rFonts w:ascii="Arial" w:cs="Arial" w:eastAsia="Arial" w:hAnsi="Arial"/>
                <w:sz w:val="16"/>
                <w:szCs w:val="16"/>
                <w:color w:val="0000EE"/>
                <w:w w:val="92"/>
              </w:rPr>
            </w:pPr>
            <w:hyperlink w:anchor="page50">
              <w:r>
                <w:rPr>
                  <w:rFonts w:ascii="Arial" w:cs="Arial" w:eastAsia="Arial" w:hAnsi="Arial"/>
                  <w:sz w:val="16"/>
                  <w:szCs w:val="16"/>
                  <w:color w:val="0000EE"/>
                  <w:w w:val="92"/>
                </w:rPr>
                <w:t>Other Agreements and Transactions</w:t>
              </w:r>
            </w:hyperlink>
          </w:p>
        </w:tc>
        <w:tc>
          <w:tcPr>
            <w:tcW w:w="3960" w:type="dxa"/>
            <w:vAlign w:val="bottom"/>
            <w:tcBorders>
              <w:bottom w:val="single" w:sz="8" w:color="CCEEFF"/>
            </w:tcBorders>
            <w:gridSpan w:val="6"/>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0000EE"/>
            </w:tcBorders>
            <w:shd w:val="clear" w:color="auto" w:fill="CCEEFF"/>
          </w:tcPr>
          <w:p>
            <w:pPr>
              <w:jc w:val="right"/>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40</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2"/>
        </w:trPr>
        <w:tc>
          <w:tcPr>
            <w:tcW w:w="156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51">
              <w:r>
                <w:rPr>
                  <w:rFonts w:ascii="Arial" w:cs="Arial" w:eastAsia="Arial" w:hAnsi="Arial"/>
                  <w:sz w:val="16"/>
                  <w:szCs w:val="16"/>
                  <w:color w:val="0000EE"/>
                  <w:w w:val="99"/>
                </w:rPr>
                <w:t>Additional Information</w:t>
              </w:r>
            </w:hyperlink>
          </w:p>
        </w:tc>
        <w:tc>
          <w:tcPr>
            <w:tcW w:w="4960" w:type="dxa"/>
            <w:vAlign w:val="bottom"/>
            <w:gridSpan w:val="9"/>
          </w:tcPr>
          <w:p>
            <w:pPr>
              <w:spacing w:after="0"/>
              <w:rPr>
                <w:sz w:val="18"/>
                <w:szCs w:val="18"/>
                <w:color w:val="auto"/>
              </w:rPr>
            </w:pPr>
          </w:p>
        </w:tc>
        <w:tc>
          <w:tcPr>
            <w:tcW w:w="60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41</w:t>
              </w:r>
            </w:hyperlink>
          </w:p>
        </w:tc>
        <w:tc>
          <w:tcPr>
            <w:tcW w:w="20" w:type="dxa"/>
            <w:vAlign w:val="bottom"/>
          </w:tcPr>
          <w:p>
            <w:pPr>
              <w:spacing w:after="0"/>
              <w:rPr>
                <w:sz w:val="18"/>
                <w:szCs w:val="18"/>
                <w:color w:val="auto"/>
              </w:rPr>
            </w:pPr>
          </w:p>
        </w:tc>
      </w:tr>
      <w:tr>
        <w:trPr>
          <w:trHeight w:val="228"/>
        </w:trPr>
        <w:tc>
          <w:tcPr>
            <w:tcW w:w="160" w:type="dxa"/>
            <w:vAlign w:val="bottom"/>
            <w:tcBorders>
              <w:bottom w:val="single" w:sz="8" w:color="CCEEFF"/>
            </w:tcBorders>
            <w:shd w:val="clear" w:color="auto" w:fill="CCEEFF"/>
          </w:tcPr>
          <w:p>
            <w:pPr>
              <w:spacing w:after="0"/>
              <w:rPr>
                <w:sz w:val="19"/>
                <w:szCs w:val="19"/>
                <w:color w:val="auto"/>
              </w:rPr>
            </w:pPr>
          </w:p>
        </w:tc>
        <w:tc>
          <w:tcPr>
            <w:tcW w:w="3200" w:type="dxa"/>
            <w:vAlign w:val="bottom"/>
            <w:tcBorders>
              <w:bottom w:val="single" w:sz="8" w:color="0000EE"/>
            </w:tcBorders>
            <w:gridSpan w:val="9"/>
            <w:shd w:val="clear" w:color="auto" w:fill="CCEEFF"/>
          </w:tcPr>
          <w:p>
            <w:pPr>
              <w:spacing w:after="0"/>
              <w:rPr>
                <w:rFonts w:ascii="Arial" w:cs="Arial" w:eastAsia="Arial" w:hAnsi="Arial"/>
                <w:sz w:val="16"/>
                <w:szCs w:val="16"/>
                <w:color w:val="0000EE"/>
                <w:w w:val="95"/>
              </w:rPr>
            </w:pPr>
            <w:hyperlink w:anchor="page51">
              <w:r>
                <w:rPr>
                  <w:rFonts w:ascii="Arial" w:cs="Arial" w:eastAsia="Arial" w:hAnsi="Arial"/>
                  <w:sz w:val="16"/>
                  <w:szCs w:val="16"/>
                  <w:color w:val="0000EE"/>
                  <w:w w:val="95"/>
                </w:rPr>
                <w:t>Shareholders’ Rights to Call a General Meeting</w:t>
              </w:r>
            </w:hyperlink>
          </w:p>
        </w:tc>
        <w:tc>
          <w:tcPr>
            <w:tcW w:w="3160" w:type="dxa"/>
            <w:vAlign w:val="bottom"/>
            <w:tcBorders>
              <w:bottom w:val="single" w:sz="8" w:color="CCEEFF"/>
            </w:tcBorders>
            <w:gridSpan w:val="3"/>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0000EE"/>
            </w:tcBorders>
            <w:shd w:val="clear" w:color="auto" w:fill="CCEEFF"/>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41</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2"/>
        </w:trPr>
        <w:tc>
          <w:tcPr>
            <w:tcW w:w="160" w:type="dxa"/>
            <w:vAlign w:val="bottom"/>
          </w:tcPr>
          <w:p>
            <w:pPr>
              <w:spacing w:after="0"/>
              <w:rPr>
                <w:sz w:val="18"/>
                <w:szCs w:val="18"/>
                <w:color w:val="auto"/>
              </w:rPr>
            </w:pPr>
          </w:p>
        </w:tc>
        <w:tc>
          <w:tcPr>
            <w:tcW w:w="6360" w:type="dxa"/>
            <w:vAlign w:val="bottom"/>
            <w:gridSpan w:val="12"/>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Shareholder Proposals for the 2022 Annual general Meeting</w:t>
              </w:r>
            </w:hyperlink>
          </w:p>
        </w:tc>
        <w:tc>
          <w:tcPr>
            <w:tcW w:w="760" w:type="dxa"/>
            <w:vAlign w:val="bottom"/>
            <w:gridSpan w:val="3"/>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41</w:t>
              </w:r>
            </w:hyperlink>
          </w:p>
        </w:tc>
        <w:tc>
          <w:tcPr>
            <w:tcW w:w="20" w:type="dxa"/>
            <w:vAlign w:val="bottom"/>
          </w:tcPr>
          <w:p>
            <w:pPr>
              <w:spacing w:after="0"/>
              <w:rPr>
                <w:sz w:val="18"/>
                <w:szCs w:val="18"/>
                <w:color w:val="auto"/>
              </w:rPr>
            </w:pPr>
          </w:p>
        </w:tc>
      </w:tr>
      <w:tr>
        <w:trPr>
          <w:trHeight w:val="228"/>
        </w:trPr>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top w:val="single" w:sz="8" w:color="0000EE"/>
              <w:bottom w:val="single" w:sz="8" w:color="0000EE"/>
            </w:tcBorders>
            <w:gridSpan w:val="2"/>
            <w:shd w:val="clear" w:color="auto" w:fill="CCEEFF"/>
          </w:tcPr>
          <w:p>
            <w:pPr>
              <w:spacing w:after="0"/>
              <w:rPr>
                <w:rFonts w:ascii="Arial" w:cs="Arial" w:eastAsia="Arial" w:hAnsi="Arial"/>
                <w:sz w:val="16"/>
                <w:szCs w:val="16"/>
                <w:color w:val="0000EE"/>
                <w:w w:val="94"/>
              </w:rPr>
            </w:pPr>
            <w:hyperlink w:anchor="page51">
              <w:r>
                <w:rPr>
                  <w:rFonts w:ascii="Arial" w:cs="Arial" w:eastAsia="Arial" w:hAnsi="Arial"/>
                  <w:sz w:val="16"/>
                  <w:szCs w:val="16"/>
                  <w:color w:val="0000EE"/>
                  <w:w w:val="94"/>
                </w:rPr>
                <w:t>Other Matters</w:t>
              </w:r>
            </w:hyperlink>
          </w:p>
        </w:tc>
        <w:tc>
          <w:tcPr>
            <w:tcW w:w="3080" w:type="dxa"/>
            <w:vAlign w:val="bottom"/>
            <w:tcBorders>
              <w:top w:val="single" w:sz="8" w:color="0000EE"/>
              <w:bottom w:val="single" w:sz="8" w:color="CCEEFF"/>
            </w:tcBorders>
            <w:gridSpan w:val="9"/>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0000EE"/>
              <w:bottom w:val="single" w:sz="8" w:color="0000EE"/>
            </w:tcBorders>
            <w:shd w:val="clear" w:color="auto" w:fill="CCEEFF"/>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41</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2"/>
        </w:trPr>
        <w:tc>
          <w:tcPr>
            <w:tcW w:w="160" w:type="dxa"/>
            <w:vAlign w:val="bottom"/>
          </w:tcPr>
          <w:p>
            <w:pPr>
              <w:spacing w:after="0"/>
              <w:rPr>
                <w:sz w:val="18"/>
                <w:szCs w:val="18"/>
                <w:color w:val="auto"/>
              </w:rPr>
            </w:pPr>
          </w:p>
        </w:tc>
        <w:tc>
          <w:tcPr>
            <w:tcW w:w="1500" w:type="dxa"/>
            <w:vAlign w:val="bottom"/>
            <w:tcBorders>
              <w:bottom w:val="single" w:sz="8" w:color="0000EE"/>
            </w:tcBorders>
            <w:gridSpan w:val="4"/>
          </w:tcPr>
          <w:p>
            <w:pPr>
              <w:spacing w:after="0"/>
              <w:rPr>
                <w:rFonts w:ascii="Arial" w:cs="Arial" w:eastAsia="Arial" w:hAnsi="Arial"/>
                <w:sz w:val="16"/>
                <w:szCs w:val="16"/>
                <w:color w:val="0000EE"/>
                <w:w w:val="95"/>
              </w:rPr>
            </w:pPr>
            <w:hyperlink w:anchor="page51">
              <w:r>
                <w:rPr>
                  <w:rFonts w:ascii="Arial" w:cs="Arial" w:eastAsia="Arial" w:hAnsi="Arial"/>
                  <w:sz w:val="16"/>
                  <w:szCs w:val="16"/>
                  <w:color w:val="0000EE"/>
                  <w:w w:val="95"/>
                </w:rPr>
                <w:t>Solicitation of Proxies</w:t>
              </w:r>
            </w:hyperlink>
          </w:p>
        </w:tc>
        <w:tc>
          <w:tcPr>
            <w:tcW w:w="486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41</w:t>
              </w:r>
            </w:hyperlink>
          </w:p>
        </w:tc>
        <w:tc>
          <w:tcPr>
            <w:tcW w:w="20" w:type="dxa"/>
            <w:vAlign w:val="bottom"/>
          </w:tcPr>
          <w:p>
            <w:pPr>
              <w:spacing w:after="0"/>
              <w:rPr>
                <w:sz w:val="18"/>
                <w:szCs w:val="18"/>
                <w:color w:val="auto"/>
              </w:rPr>
            </w:pPr>
          </w:p>
        </w:tc>
      </w:tr>
      <w:tr>
        <w:trPr>
          <w:trHeight w:val="228"/>
        </w:trPr>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0000EE"/>
            </w:tcBorders>
            <w:gridSpan w:val="2"/>
            <w:shd w:val="clear" w:color="auto" w:fill="CCEEFF"/>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Householding</w:t>
              </w:r>
            </w:hyperlink>
          </w:p>
        </w:tc>
        <w:tc>
          <w:tcPr>
            <w:tcW w:w="5420" w:type="dxa"/>
            <w:vAlign w:val="bottom"/>
            <w:tcBorders>
              <w:bottom w:val="single" w:sz="8" w:color="CCEEFF"/>
            </w:tcBorders>
            <w:gridSpan w:val="10"/>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0000EE"/>
            </w:tcBorders>
            <w:shd w:val="clear" w:color="auto" w:fill="CCEEFF"/>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42</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12"/>
        </w:trPr>
        <w:tc>
          <w:tcPr>
            <w:tcW w:w="160" w:type="dxa"/>
            <w:vAlign w:val="bottom"/>
          </w:tcPr>
          <w:p>
            <w:pPr>
              <w:spacing w:after="0"/>
              <w:rPr>
                <w:sz w:val="18"/>
                <w:szCs w:val="18"/>
                <w:color w:val="auto"/>
              </w:rPr>
            </w:pPr>
          </w:p>
        </w:tc>
        <w:tc>
          <w:tcPr>
            <w:tcW w:w="3160" w:type="dxa"/>
            <w:vAlign w:val="bottom"/>
            <w:tcBorders>
              <w:bottom w:val="single" w:sz="8" w:color="0000EE"/>
            </w:tcBorders>
            <w:gridSpan w:val="8"/>
          </w:tcPr>
          <w:p>
            <w:pPr>
              <w:spacing w:after="0"/>
              <w:rPr>
                <w:rFonts w:ascii="Arial" w:cs="Arial" w:eastAsia="Arial" w:hAnsi="Arial"/>
                <w:sz w:val="16"/>
                <w:szCs w:val="16"/>
                <w:color w:val="0000EE"/>
                <w:w w:val="94"/>
              </w:rPr>
            </w:pPr>
            <w:hyperlink w:anchor="page52">
              <w:r>
                <w:rPr>
                  <w:rFonts w:ascii="Arial" w:cs="Arial" w:eastAsia="Arial" w:hAnsi="Arial"/>
                  <w:sz w:val="16"/>
                  <w:szCs w:val="16"/>
                  <w:color w:val="0000EE"/>
                  <w:w w:val="94"/>
                </w:rPr>
                <w:t>Verona Pharma’s Annual Report on Form 10-K</w:t>
              </w:r>
            </w:hyperlink>
          </w:p>
        </w:tc>
        <w:tc>
          <w:tcPr>
            <w:tcW w:w="320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42</w:t>
              </w:r>
            </w:hyperlink>
          </w:p>
        </w:tc>
        <w:tc>
          <w:tcPr>
            <w:tcW w:w="20" w:type="dxa"/>
            <w:vAlign w:val="bottom"/>
          </w:tcPr>
          <w:p>
            <w:pPr>
              <w:spacing w:after="0"/>
              <w:rPr>
                <w:sz w:val="18"/>
                <w:szCs w:val="18"/>
                <w:color w:val="auto"/>
              </w:rPr>
            </w:pPr>
          </w:p>
        </w:tc>
      </w:tr>
      <w:tr>
        <w:trPr>
          <w:trHeight w:val="200"/>
        </w:trPr>
        <w:tc>
          <w:tcPr>
            <w:tcW w:w="160" w:type="dxa"/>
            <w:vAlign w:val="bottom"/>
            <w:tcBorders>
              <w:bottom w:val="single" w:sz="8" w:color="CCEEFF"/>
            </w:tcBorders>
            <w:shd w:val="clear" w:color="auto" w:fill="CCEEFF"/>
          </w:tcPr>
          <w:p>
            <w:pPr>
              <w:spacing w:after="0"/>
              <w:rPr>
                <w:sz w:val="17"/>
                <w:szCs w:val="17"/>
                <w:color w:val="auto"/>
              </w:rPr>
            </w:pPr>
          </w:p>
        </w:tc>
        <w:tc>
          <w:tcPr>
            <w:tcW w:w="6360" w:type="dxa"/>
            <w:vAlign w:val="bottom"/>
            <w:tcBorders>
              <w:bottom w:val="single" w:sz="8" w:color="0000EE"/>
            </w:tcBorders>
            <w:gridSpan w:val="12"/>
            <w:shd w:val="clear" w:color="auto" w:fill="CCEEFF"/>
          </w:tcPr>
          <w:p>
            <w:pPr>
              <w:spacing w:after="0"/>
              <w:rPr>
                <w:rFonts w:ascii="Arial" w:cs="Arial" w:eastAsia="Arial" w:hAnsi="Arial"/>
                <w:sz w:val="16"/>
                <w:szCs w:val="16"/>
                <w:color w:val="0000EE"/>
                <w:w w:val="95"/>
              </w:rPr>
            </w:pPr>
            <w:hyperlink w:anchor="page52">
              <w:r>
                <w:rPr>
                  <w:rFonts w:ascii="Arial" w:cs="Arial" w:eastAsia="Arial" w:hAnsi="Arial"/>
                  <w:sz w:val="16"/>
                  <w:szCs w:val="16"/>
                  <w:color w:val="0000EE"/>
                  <w:w w:val="95"/>
                </w:rPr>
                <w:t>U.K. Statutory Annual Accounts and Reports of the Board of Directors and Auditors of Verona</w:t>
              </w:r>
            </w:hyperlink>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2"/>
        </w:trPr>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0" w:type="dxa"/>
            <w:vAlign w:val="bottom"/>
            <w:gridSpan w:val="11"/>
            <w:shd w:val="clear" w:color="auto" w:fill="CCEEFF"/>
          </w:tcPr>
          <w:p>
            <w:pPr>
              <w:spacing w:after="0" w:line="172" w:lineRule="exact"/>
              <w:rPr>
                <w:rFonts w:ascii="Arial" w:cs="Arial" w:eastAsia="Arial" w:hAnsi="Arial"/>
                <w:sz w:val="16"/>
                <w:szCs w:val="16"/>
                <w:color w:val="0000EE"/>
              </w:rPr>
            </w:pPr>
            <w:hyperlink w:anchor="page52">
              <w:r>
                <w:rPr>
                  <w:rFonts w:ascii="Arial" w:cs="Arial" w:eastAsia="Arial" w:hAnsi="Arial"/>
                  <w:sz w:val="16"/>
                  <w:szCs w:val="16"/>
                  <w:color w:val="0000EE"/>
                </w:rPr>
                <w:t>Pharma plc for the year ended December 31, 2020</w:t>
              </w:r>
            </w:hyperlink>
          </w:p>
        </w:tc>
        <w:tc>
          <w:tcPr>
            <w:tcW w:w="760" w:type="dxa"/>
            <w:vAlign w:val="bottom"/>
            <w:gridSpan w:val="3"/>
            <w:shd w:val="clear" w:color="auto" w:fill="CCEEFF"/>
          </w:tcPr>
          <w:p>
            <w:pPr>
              <w:jc w:val="right"/>
              <w:spacing w:after="0" w:line="172" w:lineRule="exact"/>
              <w:rPr>
                <w:rFonts w:ascii="Arial" w:cs="Arial" w:eastAsia="Arial" w:hAnsi="Arial"/>
                <w:sz w:val="16"/>
                <w:szCs w:val="16"/>
                <w:color w:val="0000EE"/>
              </w:rPr>
            </w:pPr>
            <w:hyperlink w:anchor="page52">
              <w:r>
                <w:rPr>
                  <w:rFonts w:ascii="Arial" w:cs="Arial" w:eastAsia="Arial" w:hAnsi="Arial"/>
                  <w:sz w:val="16"/>
                  <w:szCs w:val="16"/>
                  <w:color w:val="0000EE"/>
                </w:rPr>
                <w:t>42</w:t>
              </w:r>
            </w:hyperlink>
          </w:p>
        </w:tc>
        <w:tc>
          <w:tcPr>
            <w:tcW w:w="20" w:type="dxa"/>
            <w:vAlign w:val="bottom"/>
            <w:shd w:val="clear" w:color="auto" w:fill="CCEEFF"/>
          </w:tcPr>
          <w:p>
            <w:pPr>
              <w:spacing w:after="0"/>
              <w:rPr>
                <w:sz w:val="14"/>
                <w:szCs w:val="14"/>
                <w:color w:val="auto"/>
              </w:rPr>
            </w:pPr>
          </w:p>
        </w:tc>
      </w:tr>
      <w:tr>
        <w:trPr>
          <w:trHeight w:val="28"/>
        </w:trPr>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92"/>
        </w:trPr>
        <w:tc>
          <w:tcPr>
            <w:tcW w:w="6520" w:type="dxa"/>
            <w:vAlign w:val="bottom"/>
            <w:tcBorders>
              <w:bottom w:val="single" w:sz="8" w:color="0000EE"/>
            </w:tcBorders>
            <w:gridSpan w:val="13"/>
          </w:tcPr>
          <w:p>
            <w:pPr>
              <w:spacing w:after="0"/>
              <w:rPr>
                <w:rFonts w:ascii="Arial" w:cs="Arial" w:eastAsia="Arial" w:hAnsi="Arial"/>
                <w:sz w:val="16"/>
                <w:szCs w:val="16"/>
                <w:color w:val="0000EE"/>
                <w:w w:val="96"/>
              </w:rPr>
            </w:pPr>
            <w:hyperlink w:anchor="page54">
              <w:r>
                <w:rPr>
                  <w:rFonts w:ascii="Arial" w:cs="Arial" w:eastAsia="Arial" w:hAnsi="Arial"/>
                  <w:sz w:val="16"/>
                  <w:szCs w:val="16"/>
                  <w:color w:val="0000EE"/>
                  <w:w w:val="96"/>
                </w:rPr>
                <w:t>Annex A to Proxy Statement: U.K. Statutory Annual Accounts and Directors’ Report for the year</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1760" w:type="dxa"/>
            <w:vAlign w:val="bottom"/>
            <w:gridSpan w:val="5"/>
          </w:tcPr>
          <w:p>
            <w:pPr>
              <w:spacing w:after="0" w:line="172" w:lineRule="exact"/>
              <w:rPr>
                <w:rFonts w:ascii="Arial" w:cs="Arial" w:eastAsia="Arial" w:hAnsi="Arial"/>
                <w:sz w:val="16"/>
                <w:szCs w:val="16"/>
                <w:color w:val="0000EE"/>
                <w:w w:val="91"/>
              </w:rPr>
            </w:pPr>
            <w:hyperlink w:anchor="page54">
              <w:r>
                <w:rPr>
                  <w:rFonts w:ascii="Arial" w:cs="Arial" w:eastAsia="Arial" w:hAnsi="Arial"/>
                  <w:sz w:val="16"/>
                  <w:szCs w:val="16"/>
                  <w:color w:val="0000EE"/>
                  <w:w w:val="91"/>
                </w:rPr>
                <w:t>ended December 31, 2020</w:t>
              </w:r>
            </w:hyperlink>
          </w:p>
        </w:tc>
        <w:tc>
          <w:tcPr>
            <w:tcW w:w="4600" w:type="dxa"/>
            <w:vAlign w:val="bottom"/>
            <w:gridSpan w:val="7"/>
          </w:tcPr>
          <w:p>
            <w:pPr>
              <w:spacing w:after="0"/>
              <w:rPr>
                <w:sz w:val="14"/>
                <w:szCs w:val="14"/>
                <w:color w:val="auto"/>
              </w:rPr>
            </w:pPr>
          </w:p>
        </w:tc>
        <w:tc>
          <w:tcPr>
            <w:tcW w:w="780" w:type="dxa"/>
            <w:vAlign w:val="bottom"/>
            <w:gridSpan w:val="4"/>
          </w:tcPr>
          <w:p>
            <w:pPr>
              <w:jc w:val="right"/>
              <w:ind w:right="20"/>
              <w:spacing w:after="0" w:line="172" w:lineRule="exact"/>
              <w:rPr>
                <w:rFonts w:ascii="Arial" w:cs="Arial" w:eastAsia="Arial" w:hAnsi="Arial"/>
                <w:sz w:val="16"/>
                <w:szCs w:val="16"/>
                <w:color w:val="0000EE"/>
              </w:rPr>
            </w:pPr>
            <w:hyperlink w:anchor="page54">
              <w:r>
                <w:rPr>
                  <w:rFonts w:ascii="Arial" w:cs="Arial" w:eastAsia="Arial" w:hAnsi="Arial"/>
                  <w:sz w:val="16"/>
                  <w:szCs w:val="16"/>
                  <w:color w:val="0000EE"/>
                </w:rPr>
                <w:t>A-1</w:t>
              </w:r>
            </w:hyperlink>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1" w:name="page12"/>
    <w:bookmarkEnd w:id="11"/>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Proxy Statement</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Verona Pharma plc</w:t>
      </w:r>
    </w:p>
    <w:p>
      <w:pPr>
        <w:spacing w:after="0" w:line="2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One Central Square</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Cardiff, CF10 1FS</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Wales, United Kingdom</w:t>
      </w:r>
    </w:p>
    <w:p>
      <w:pPr>
        <w:spacing w:after="0" w:line="115" w:lineRule="exact"/>
        <w:rPr>
          <w:sz w:val="20"/>
          <w:szCs w:val="20"/>
          <w:color w:val="auto"/>
        </w:rPr>
      </w:pPr>
    </w:p>
    <w:p>
      <w:pPr>
        <w:ind w:left="1120" w:right="879" w:firstLine="320"/>
        <w:spacing w:after="0" w:line="254" w:lineRule="auto"/>
        <w:rPr>
          <w:sz w:val="20"/>
          <w:szCs w:val="20"/>
          <w:color w:val="auto"/>
        </w:rPr>
      </w:pPr>
      <w:r>
        <w:rPr>
          <w:rFonts w:ascii="Arial" w:cs="Arial" w:eastAsia="Arial" w:hAnsi="Arial"/>
          <w:sz w:val="16"/>
          <w:szCs w:val="16"/>
          <w:color w:val="auto"/>
        </w:rPr>
        <w:t>We have sent you this proxy statement and the enclosed form of proxy because the Board of Directors (the “Board” or “Board of Directors”) of Verona Pharma plc (referred to herein as the “Company”, “Verona”, “we”, “us” or “our”) is soliciting your proxy to vote at our 2021 Annual General Meeting of Shareholders (referred to herein as the “AGM”) to be held electronically as a telephone meeting on Tuesday, April 27, 2021, at 1:00 p.m. British Summer Time (8:00 a.m. Eastern Time). You will be able to attend the AGM via teleconference by calling +1-888-317-6003 (for United States callers) or +1-412-317-6061 (for international callers) and providing conference ID 2027253.</w:t>
      </w:r>
    </w:p>
    <w:p>
      <w:pPr>
        <w:spacing w:after="0" w:line="75" w:lineRule="exact"/>
        <w:rPr>
          <w:sz w:val="20"/>
          <w:szCs w:val="20"/>
          <w:color w:val="auto"/>
        </w:rPr>
      </w:pPr>
    </w:p>
    <w:p>
      <w:pPr>
        <w:ind w:left="1600" w:right="999" w:hanging="160"/>
        <w:spacing w:after="0" w:line="276" w:lineRule="auto"/>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proxy statement summarizes information about the proposals to be considered at the AGM and other information you may find useful in determining how to vote.</w:t>
      </w:r>
    </w:p>
    <w:p>
      <w:pPr>
        <w:spacing w:after="0" w:line="56" w:lineRule="exact"/>
        <w:rPr>
          <w:rFonts w:ascii="Arial" w:cs="Arial" w:eastAsia="Arial" w:hAnsi="Arial"/>
          <w:sz w:val="16"/>
          <w:szCs w:val="16"/>
          <w:color w:val="auto"/>
        </w:rPr>
      </w:pPr>
    </w:p>
    <w:p>
      <w:pPr>
        <w:ind w:left="1600" w:right="1039" w:hanging="160"/>
        <w:spacing w:after="0" w:line="276" w:lineRule="auto"/>
        <w:tabs>
          <w:tab w:leader="none" w:pos="1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form of proxy is the means by which you actually authorize another person to vote your shares in accordance with your instructions.</w:t>
      </w:r>
    </w:p>
    <w:p>
      <w:pPr>
        <w:spacing w:after="0" w:line="92" w:lineRule="exact"/>
        <w:rPr>
          <w:sz w:val="20"/>
          <w:szCs w:val="20"/>
          <w:color w:val="auto"/>
        </w:rPr>
      </w:pPr>
    </w:p>
    <w:p>
      <w:pPr>
        <w:ind w:left="1120" w:right="1019" w:firstLine="320"/>
        <w:spacing w:after="0" w:line="263" w:lineRule="auto"/>
        <w:rPr>
          <w:sz w:val="20"/>
          <w:szCs w:val="20"/>
          <w:color w:val="auto"/>
        </w:rPr>
      </w:pPr>
      <w:r>
        <w:rPr>
          <w:rFonts w:ascii="Arial" w:cs="Arial" w:eastAsia="Arial" w:hAnsi="Arial"/>
          <w:sz w:val="16"/>
          <w:szCs w:val="16"/>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02" w:lineRule="exact"/>
        <w:rPr>
          <w:sz w:val="20"/>
          <w:szCs w:val="20"/>
          <w:color w:val="auto"/>
        </w:rPr>
      </w:pPr>
    </w:p>
    <w:p>
      <w:pPr>
        <w:ind w:left="1120" w:right="879" w:firstLine="320"/>
        <w:spacing w:after="0" w:line="253" w:lineRule="auto"/>
        <w:rPr>
          <w:sz w:val="20"/>
          <w:szCs w:val="20"/>
          <w:color w:val="auto"/>
        </w:rPr>
      </w:pPr>
      <w:r>
        <w:rPr>
          <w:rFonts w:ascii="Arial" w:cs="Arial" w:eastAsia="Arial" w:hAnsi="Arial"/>
          <w:sz w:val="16"/>
          <w:szCs w:val="16"/>
          <w:color w:val="auto"/>
        </w:rPr>
        <w:t>We are mailing the Notice of AGM, this proxy statement and the form of proxy to our ordinary shareholders of record as of March 12, 2021 (being the latest practicable date before the circulation of this document) for the first time on or about March 22, 2021. In this mailing, we are also including our U.K. statutory annual accounts and reports for the year ended December 31, 2020 (“2020 U.K. Annual Report”), which is appended as Annex A to this proxy statement, and our annual report on Form 10-K for the year ended December 31, 2020 (“Annual Report on Form 10-K”). In addition, we have provided brokers, dealers, bankers, and their nominees, at our expense, with additional copies of our proxy materials, including the 2020 U.K. Annual Report, and the Annual Report on Form 10-K so that our record holders can supply these materials to the beneficial owners of our ordinary shares.</w:t>
      </w:r>
    </w:p>
    <w:p>
      <w:pPr>
        <w:spacing w:after="0" w:line="101" w:lineRule="exact"/>
        <w:rPr>
          <w:sz w:val="20"/>
          <w:szCs w:val="20"/>
          <w:color w:val="auto"/>
        </w:rPr>
      </w:pPr>
    </w:p>
    <w:p>
      <w:pPr>
        <w:ind w:left="1120" w:right="939" w:firstLine="320"/>
        <w:spacing w:after="0" w:line="289" w:lineRule="auto"/>
        <w:rPr>
          <w:sz w:val="20"/>
          <w:szCs w:val="20"/>
          <w:color w:val="auto"/>
        </w:rPr>
      </w:pPr>
      <w:r>
        <w:rPr>
          <w:rFonts w:ascii="Arial" w:cs="Arial" w:eastAsia="Arial" w:hAnsi="Arial"/>
          <w:sz w:val="15"/>
          <w:szCs w:val="15"/>
          <w:color w:val="auto"/>
        </w:rPr>
        <w:t>While this document is being sent to our ordinary shareholders of record, this document will also be sent to registered holders of American Depositary Shares (“ADSs”) as of 5:00 p.m. Eastern Time on Friday, March 12, 2021 (the “ADS Record Date”) and contains information relevant to holders of ADSs.</w:t>
      </w:r>
    </w:p>
    <w:p>
      <w:pPr>
        <w:spacing w:after="0" w:line="140"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IMPORTANT NOTICE REGARDING THE AVAILABILITY OF PROXY MATERIALS FOR THE</w:t>
      </w:r>
    </w:p>
    <w:p>
      <w:pPr>
        <w:spacing w:after="0" w:line="2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ANNUAL GENERAL MEETING OF SHAREHOLDERS TO BE HELD ON APRIL 27, 2021</w:t>
      </w:r>
    </w:p>
    <w:p>
      <w:pPr>
        <w:spacing w:after="0" w:line="127" w:lineRule="exact"/>
        <w:rPr>
          <w:sz w:val="20"/>
          <w:szCs w:val="20"/>
          <w:color w:val="auto"/>
        </w:rPr>
      </w:pPr>
    </w:p>
    <w:p>
      <w:pPr>
        <w:jc w:val="both"/>
        <w:ind w:left="1120" w:right="1159" w:firstLine="320"/>
        <w:spacing w:after="0" w:line="263" w:lineRule="auto"/>
        <w:rPr>
          <w:sz w:val="20"/>
          <w:szCs w:val="20"/>
          <w:color w:val="auto"/>
        </w:rPr>
      </w:pPr>
      <w:r>
        <w:rPr>
          <w:rFonts w:ascii="Arial" w:cs="Arial" w:eastAsia="Arial" w:hAnsi="Arial"/>
          <w:sz w:val="16"/>
          <w:szCs w:val="16"/>
          <w:color w:val="auto"/>
        </w:rPr>
        <w:t xml:space="preserve">Our Notice of AGM, this proxy statement, the Annual Report on Form 10-K, the 2020 U.K. Annual Report and our form of proxy (for ordinary shareholders) are available on our investor relations website located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w:t>
      </w:r>
    </w:p>
    <w:p>
      <w:pPr>
        <w:spacing w:after="0" w:line="102" w:lineRule="exact"/>
        <w:rPr>
          <w:sz w:val="20"/>
          <w:szCs w:val="20"/>
          <w:color w:val="auto"/>
        </w:rPr>
      </w:pPr>
    </w:p>
    <w:p>
      <w:pPr>
        <w:ind w:left="1120" w:right="1259" w:firstLine="320"/>
        <w:spacing w:after="0" w:line="276" w:lineRule="auto"/>
        <w:rPr>
          <w:sz w:val="20"/>
          <w:szCs w:val="20"/>
          <w:color w:val="auto"/>
        </w:rPr>
      </w:pPr>
      <w:r>
        <w:rPr>
          <w:rFonts w:ascii="Arial" w:cs="Arial" w:eastAsia="Arial" w:hAnsi="Arial"/>
          <w:sz w:val="16"/>
          <w:szCs w:val="16"/>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2" w:name="page13"/>
    <w:bookmarkEnd w:id="12"/>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Questions and Answers About the Annual General Meeting</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WHY AM I RECEIVING THESE MATERIALS?</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We have sent you this proxy statement and the enclosed form of proxy because you are an ordinary</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shareholder of record and our Board of Directors is soliciting your proxy to vote at the AGM, including at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any adjournments or postponements of the AGM. However, you do not need to attend the AGM to vote your</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shares. Instead, please simply complete, sign and return the enclosed form of proxy. All proxies, however</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submitted, must be received by the Company Secretary no later than 1:00 p.m. British Summer Time</w:t>
      </w:r>
    </w:p>
    <w:p>
      <w:pPr>
        <w:ind w:left="1120"/>
        <w:spacing w:after="0"/>
        <w:rPr>
          <w:sz w:val="20"/>
          <w:szCs w:val="20"/>
          <w:color w:val="auto"/>
        </w:rPr>
      </w:pPr>
      <w:r>
        <w:rPr>
          <w:rFonts w:ascii="Arial" w:cs="Arial" w:eastAsia="Arial" w:hAnsi="Arial"/>
          <w:sz w:val="15"/>
          <w:szCs w:val="15"/>
          <w:color w:val="auto"/>
        </w:rPr>
        <w:t>(8:00 a.m. Eastern Time) on April 23, 2021, or if the AGM is adjourned, not later than 48 hours before the</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time fixed for the holding of the adjourned meeting (excluding any day which is not a working day).</w:t>
      </w:r>
    </w:p>
    <w:p>
      <w:pPr>
        <w:spacing w:after="0" w:line="114" w:lineRule="exact"/>
        <w:rPr>
          <w:sz w:val="20"/>
          <w:szCs w:val="20"/>
          <w:color w:val="auto"/>
        </w:rPr>
      </w:pPr>
    </w:p>
    <w:p>
      <w:pPr>
        <w:ind w:left="1120" w:right="999" w:firstLine="320"/>
        <w:spacing w:after="0" w:line="263" w:lineRule="auto"/>
        <w:rPr>
          <w:sz w:val="20"/>
          <w:szCs w:val="20"/>
          <w:color w:val="auto"/>
        </w:rPr>
      </w:pPr>
      <w:r>
        <w:rPr>
          <w:rFonts w:ascii="Arial" w:cs="Arial" w:eastAsia="Arial" w:hAnsi="Arial"/>
          <w:sz w:val="16"/>
          <w:szCs w:val="16"/>
          <w:color w:val="auto"/>
        </w:rPr>
        <w:t>The return of a completed form of proxy will not preclude you from attending the AGM by telephone, should you subsequently decide to do so, however, you must appoint the Chairman of the AGM as your proxy for your vote to be counted as you will not be able to vote during the AGM.</w:t>
      </w:r>
    </w:p>
    <w:p>
      <w:pPr>
        <w:spacing w:after="0" w:line="98" w:lineRule="exact"/>
        <w:rPr>
          <w:sz w:val="20"/>
          <w:szCs w:val="20"/>
          <w:color w:val="auto"/>
        </w:rPr>
      </w:pPr>
    </w:p>
    <w:p>
      <w:pPr>
        <w:jc w:val="both"/>
        <w:ind w:left="1120" w:right="999" w:firstLine="320"/>
        <w:spacing w:after="0" w:line="266" w:lineRule="auto"/>
        <w:rPr>
          <w:sz w:val="20"/>
          <w:szCs w:val="20"/>
          <w:color w:val="auto"/>
        </w:rPr>
      </w:pPr>
      <w:r>
        <w:rPr>
          <w:rFonts w:ascii="Arial" w:cs="Arial" w:eastAsia="Arial" w:hAnsi="Arial"/>
          <w:sz w:val="16"/>
          <w:szCs w:val="16"/>
          <w:b w:val="1"/>
          <w:bCs w:val="1"/>
          <w:color w:val="auto"/>
        </w:rPr>
        <w:t>You are encouraged to appoint the Chairman of the AGM as your proxy. If you appoint any person other than the Chairman of the AGM as your proxy, that person will not be able to vote your shares at the AGM via teleconference.</w:t>
      </w:r>
    </w:p>
    <w:p>
      <w:pPr>
        <w:spacing w:after="0" w:line="88" w:lineRule="exact"/>
        <w:rPr>
          <w:sz w:val="20"/>
          <w:szCs w:val="20"/>
          <w:color w:val="auto"/>
        </w:rPr>
      </w:pPr>
    </w:p>
    <w:p>
      <w:pPr>
        <w:ind w:left="1120" w:right="1199" w:firstLine="320"/>
        <w:spacing w:after="0" w:line="311" w:lineRule="auto"/>
        <w:rPr>
          <w:sz w:val="20"/>
          <w:szCs w:val="20"/>
          <w:color w:val="auto"/>
        </w:rPr>
      </w:pPr>
      <w:r>
        <w:rPr>
          <w:rFonts w:ascii="Arial" w:cs="Arial" w:eastAsia="Arial" w:hAnsi="Arial"/>
          <w:sz w:val="15"/>
          <w:szCs w:val="15"/>
          <w:color w:val="auto"/>
        </w:rPr>
        <w:t>We intend to mail this proxy statement and the accompanying form of proxy on or about March 19, 2021 to all ordinary shareholders of record as of March 12, 2021 entitled to vote at the AGM.</w:t>
      </w:r>
    </w:p>
    <w:p>
      <w:pPr>
        <w:spacing w:after="0" w:line="68" w:lineRule="exact"/>
        <w:rPr>
          <w:sz w:val="20"/>
          <w:szCs w:val="20"/>
          <w:color w:val="auto"/>
        </w:rPr>
      </w:pPr>
    </w:p>
    <w:p>
      <w:pPr>
        <w:ind w:left="1120" w:right="899" w:firstLine="320"/>
        <w:spacing w:after="0" w:line="255" w:lineRule="auto"/>
        <w:rPr>
          <w:sz w:val="20"/>
          <w:szCs w:val="20"/>
          <w:color w:val="auto"/>
        </w:rPr>
      </w:pPr>
      <w:r>
        <w:rPr>
          <w:rFonts w:ascii="Arial" w:cs="Arial" w:eastAsia="Arial" w:hAnsi="Arial"/>
          <w:sz w:val="16"/>
          <w:szCs w:val="16"/>
          <w:color w:val="auto"/>
        </w:rPr>
        <w:t>Materials for ADS holders of record, including this proxy statement, the Annual Report on Form 10-K, the 2020 U.K. Annual Report and an ADS voting instructions, will be mailed on or about March 19, 2021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21, 2021 (the “ADS Voting Cut-off Time”).</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WHO CAN VOTE AT THE AGM?</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Ordinary shareholders</w:t>
      </w:r>
    </w:p>
    <w:p>
      <w:pPr>
        <w:spacing w:after="0" w:line="140" w:lineRule="exact"/>
        <w:rPr>
          <w:sz w:val="20"/>
          <w:szCs w:val="20"/>
          <w:color w:val="auto"/>
        </w:rPr>
      </w:pPr>
    </w:p>
    <w:p>
      <w:pPr>
        <w:ind w:left="1120" w:right="1059" w:firstLine="320"/>
        <w:spacing w:after="0" w:line="259" w:lineRule="auto"/>
        <w:rPr>
          <w:sz w:val="20"/>
          <w:szCs w:val="20"/>
          <w:color w:val="auto"/>
        </w:rPr>
      </w:pPr>
      <w:r>
        <w:rPr>
          <w:rFonts w:ascii="Arial" w:cs="Arial" w:eastAsia="Arial" w:hAnsi="Arial"/>
          <w:sz w:val="16"/>
          <w:szCs w:val="16"/>
          <w:color w:val="auto"/>
        </w:rPr>
        <w:t>Only shareholders holding voting ordinary shares of record registered in the register of members at 1:00 p.m. British Summer Time (8:00 a.m. Eastern Time) on April 23, 2021 will be entitled to vote at the AGM. Holders of non-voting ordinary shares have no right to receive notice of, or to attend or vote, at the AGM.</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As of March 12, 2021 (being the last practicable date before the circulation of this proxy statement)</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there were 440,215,550 ordinary shares issued and entitled to vote.</w:t>
      </w:r>
    </w:p>
    <w:p>
      <w:pPr>
        <w:spacing w:after="0" w:line="127" w:lineRule="exact"/>
        <w:rPr>
          <w:sz w:val="20"/>
          <w:szCs w:val="20"/>
          <w:color w:val="auto"/>
        </w:rPr>
      </w:pPr>
    </w:p>
    <w:p>
      <w:pPr>
        <w:ind w:left="1120" w:right="979" w:firstLine="320"/>
        <w:spacing w:after="0" w:line="263" w:lineRule="auto"/>
        <w:rPr>
          <w:sz w:val="20"/>
          <w:szCs w:val="20"/>
          <w:color w:val="auto"/>
        </w:rPr>
      </w:pPr>
      <w:r>
        <w:rPr>
          <w:rFonts w:ascii="Arial" w:cs="Arial" w:eastAsia="Arial" w:hAnsi="Arial"/>
          <w:sz w:val="16"/>
          <w:szCs w:val="16"/>
          <w:color w:val="auto"/>
        </w:rPr>
        <w:t>As a result of restrictions on movement and gatherings imposed by the UK Government in response to the COVID-19 pandemic, the AGM will be held electronically as a telephone meeting and ordinary shareholders will not be able to attend the AGM in person.</w:t>
      </w:r>
    </w:p>
    <w:p>
      <w:pPr>
        <w:spacing w:after="0" w:line="102" w:lineRule="exact"/>
        <w:rPr>
          <w:sz w:val="20"/>
          <w:szCs w:val="20"/>
          <w:color w:val="auto"/>
        </w:rPr>
      </w:pPr>
    </w:p>
    <w:p>
      <w:pPr>
        <w:ind w:left="1120" w:right="1159" w:firstLine="320"/>
        <w:spacing w:after="0" w:line="256" w:lineRule="auto"/>
        <w:rPr>
          <w:sz w:val="20"/>
          <w:szCs w:val="20"/>
          <w:color w:val="auto"/>
        </w:rPr>
      </w:pPr>
      <w:r>
        <w:rPr>
          <w:rFonts w:ascii="Arial" w:cs="Arial" w:eastAsia="Arial" w:hAnsi="Arial"/>
          <w:sz w:val="16"/>
          <w:szCs w:val="16"/>
          <w:color w:val="auto"/>
        </w:rPr>
        <w:t>We urge you to fill out and return the enclosed form of proxy to ensure your vote is counted. All proxies, however submitted, must be received by the Company Secretary no later than 1:00 p.m. British Summer Time (8:00 a.m. Eastern Time) on April 23, 2021, or if the AGM is adjourned, not later than 48 hours before the time fixed for the holding of the adjourned meeting (excluding any day which is not a working day).</w:t>
      </w:r>
    </w:p>
    <w:p>
      <w:pPr>
        <w:spacing w:after="0" w:line="94" w:lineRule="exact"/>
        <w:rPr>
          <w:sz w:val="20"/>
          <w:szCs w:val="20"/>
          <w:color w:val="auto"/>
        </w:rPr>
      </w:pPr>
    </w:p>
    <w:p>
      <w:pPr>
        <w:ind w:left="1120" w:right="1039" w:firstLine="320"/>
        <w:spacing w:after="0" w:line="266" w:lineRule="auto"/>
        <w:rPr>
          <w:sz w:val="20"/>
          <w:szCs w:val="20"/>
          <w:color w:val="auto"/>
        </w:rPr>
      </w:pPr>
      <w:r>
        <w:rPr>
          <w:rFonts w:ascii="Arial" w:cs="Arial" w:eastAsia="Arial" w:hAnsi="Arial"/>
          <w:sz w:val="16"/>
          <w:szCs w:val="16"/>
          <w:b w:val="1"/>
          <w:bCs w:val="1"/>
          <w:color w:val="auto"/>
        </w:rPr>
        <w:t>You are strongly encouraged to appoint the Chairman of the AGM as your proxy. If you appoint any person other than the Chairman of the AGM as your proxy, that person will not be able to vote your shares at the AGM via teleconference.</w:t>
      </w:r>
    </w:p>
    <w:p>
      <w:pPr>
        <w:spacing w:after="0" w:line="100" w:lineRule="exact"/>
        <w:rPr>
          <w:sz w:val="20"/>
          <w:szCs w:val="20"/>
          <w:color w:val="auto"/>
        </w:rPr>
      </w:pPr>
    </w:p>
    <w:p>
      <w:pPr>
        <w:ind w:left="1120" w:right="999" w:firstLine="320"/>
        <w:spacing w:after="0" w:line="318" w:lineRule="auto"/>
        <w:rPr>
          <w:sz w:val="20"/>
          <w:szCs w:val="20"/>
          <w:color w:val="auto"/>
        </w:rPr>
      </w:pPr>
      <w:r>
        <w:rPr>
          <w:rFonts w:ascii="Arial" w:cs="Arial" w:eastAsia="Arial" w:hAnsi="Arial"/>
          <w:sz w:val="14"/>
          <w:szCs w:val="14"/>
          <w:color w:val="auto"/>
        </w:rPr>
        <w:t>If you sell or transfer your ordinary shares in the Company on or prior to April 23, 2021, your form of proxy can no longer be used and if submitted (whether before or after you sell or transfer your ordinary shares) will be treated as invalid. Please pass this document to the person who arranged the sale or transfer</w:t>
      </w: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3" w:name="page14"/>
    <w:bookmarkEnd w:id="13"/>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899"/>
        <w:spacing w:after="0" w:line="261" w:lineRule="auto"/>
        <w:rPr>
          <w:sz w:val="20"/>
          <w:szCs w:val="20"/>
          <w:color w:val="auto"/>
        </w:rPr>
      </w:pPr>
      <w:r>
        <w:rPr>
          <w:rFonts w:ascii="Arial" w:cs="Arial" w:eastAsia="Arial" w:hAnsi="Arial"/>
          <w:sz w:val="16"/>
          <w:szCs w:val="16"/>
          <w:color w:val="auto"/>
        </w:rPr>
        <w:t>for delivery to the purchaser or transferee. The purchaser or transferee should contact Ben Harber, Company Secretary, to request a new form of proxy for use.</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Beneficial owners of ordinary shares that are registered in the name of a broker, bank or other agent</w:t>
      </w:r>
    </w:p>
    <w:p>
      <w:pPr>
        <w:spacing w:after="0" w:line="139" w:lineRule="exact"/>
        <w:rPr>
          <w:sz w:val="20"/>
          <w:szCs w:val="20"/>
          <w:color w:val="auto"/>
        </w:rPr>
      </w:pPr>
    </w:p>
    <w:p>
      <w:pPr>
        <w:ind w:left="1120" w:right="1039" w:firstLine="320"/>
        <w:spacing w:after="0" w:line="247" w:lineRule="auto"/>
        <w:rPr>
          <w:sz w:val="20"/>
          <w:szCs w:val="20"/>
          <w:color w:val="auto"/>
        </w:rPr>
      </w:pPr>
      <w:r>
        <w:rPr>
          <w:rFonts w:ascii="Arial" w:cs="Arial" w:eastAsia="Arial" w:hAnsi="Arial"/>
          <w:sz w:val="16"/>
          <w:szCs w:val="16"/>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103" w:lineRule="exact"/>
        <w:rPr>
          <w:sz w:val="20"/>
          <w:szCs w:val="20"/>
          <w:color w:val="auto"/>
        </w:rPr>
      </w:pPr>
    </w:p>
    <w:p>
      <w:pPr>
        <w:ind w:left="1120" w:right="959" w:firstLine="320"/>
        <w:spacing w:after="0" w:line="238" w:lineRule="auto"/>
        <w:rPr>
          <w:sz w:val="20"/>
          <w:szCs w:val="20"/>
          <w:color w:val="auto"/>
        </w:rPr>
      </w:pPr>
      <w:r>
        <w:rPr>
          <w:rFonts w:ascii="Arial" w:cs="Arial" w:eastAsia="Arial" w:hAnsi="Arial"/>
          <w:sz w:val="16"/>
          <w:szCs w:val="16"/>
          <w:color w:val="auto"/>
        </w:rPr>
        <w:t>If, on March 12, 2021,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Holders of American Depositary Shares and beneficial owners of American Depositary Shares</w:t>
      </w:r>
    </w:p>
    <w:p>
      <w:pPr>
        <w:spacing w:after="0" w:line="140" w:lineRule="exact"/>
        <w:rPr>
          <w:sz w:val="20"/>
          <w:szCs w:val="20"/>
          <w:color w:val="auto"/>
        </w:rPr>
      </w:pPr>
    </w:p>
    <w:p>
      <w:pPr>
        <w:ind w:left="1120" w:right="1059" w:firstLine="320"/>
        <w:spacing w:after="0" w:line="243" w:lineRule="auto"/>
        <w:rPr>
          <w:sz w:val="20"/>
          <w:szCs w:val="20"/>
          <w:color w:val="auto"/>
        </w:rPr>
      </w:pPr>
      <w:r>
        <w:rPr>
          <w:rFonts w:ascii="Arial" w:cs="Arial" w:eastAsia="Arial" w:hAnsi="Arial"/>
          <w:sz w:val="16"/>
          <w:szCs w:val="16"/>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12, 2021, the ADS Record Date.</w:t>
      </w:r>
    </w:p>
    <w:p>
      <w:pPr>
        <w:spacing w:after="0" w:line="94" w:lineRule="exact"/>
        <w:rPr>
          <w:sz w:val="20"/>
          <w:szCs w:val="20"/>
          <w:color w:val="auto"/>
        </w:rPr>
      </w:pPr>
    </w:p>
    <w:p>
      <w:pPr>
        <w:ind w:left="1120" w:right="1079" w:firstLine="320"/>
        <w:spacing w:after="0" w:line="243" w:lineRule="auto"/>
        <w:rPr>
          <w:sz w:val="20"/>
          <w:szCs w:val="20"/>
          <w:color w:val="auto"/>
        </w:rPr>
      </w:pPr>
      <w:r>
        <w:rPr>
          <w:rFonts w:ascii="Arial" w:cs="Arial" w:eastAsia="Arial" w:hAnsi="Arial"/>
          <w:sz w:val="16"/>
          <w:szCs w:val="16"/>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Please note that ADS voting instructions submitted by ADS holders must be received by Citibank, N.A.</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no later than 10:00 a.m. Eastern Time on April 21, 2021, the ADS Voting Cut-Off Time</w:t>
      </w:r>
      <w:r>
        <w:rPr>
          <w:rFonts w:ascii="Arial" w:cs="Arial" w:eastAsia="Arial" w:hAnsi="Arial"/>
          <w:sz w:val="16"/>
          <w:szCs w:val="16"/>
          <w:color w:val="auto"/>
        </w:rPr>
        <w:t>.</w:t>
      </w:r>
    </w:p>
    <w:p>
      <w:pPr>
        <w:spacing w:after="0" w:line="114" w:lineRule="exact"/>
        <w:rPr>
          <w:sz w:val="20"/>
          <w:szCs w:val="20"/>
          <w:color w:val="auto"/>
        </w:rPr>
      </w:pPr>
    </w:p>
    <w:p>
      <w:pPr>
        <w:ind w:left="1120" w:right="939" w:firstLine="320"/>
        <w:spacing w:after="0" w:line="261" w:lineRule="auto"/>
        <w:rPr>
          <w:sz w:val="20"/>
          <w:szCs w:val="20"/>
          <w:color w:val="auto"/>
        </w:rPr>
      </w:pPr>
      <w:r>
        <w:rPr>
          <w:rFonts w:ascii="Arial" w:cs="Arial" w:eastAsia="Arial" w:hAnsi="Arial"/>
          <w:sz w:val="16"/>
          <w:szCs w:val="16"/>
          <w:color w:val="auto"/>
        </w:rPr>
        <w:t>Citibank, N.A. will collate all votes properly submitted by ADS holders and submit a vote on behalf of all ADS holders.</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Contacts for ADS holders</w:t>
      </w:r>
    </w:p>
    <w:p>
      <w:pPr>
        <w:spacing w:after="0" w:line="128" w:lineRule="exact"/>
        <w:rPr>
          <w:sz w:val="20"/>
          <w:szCs w:val="20"/>
          <w:color w:val="auto"/>
        </w:rPr>
      </w:pPr>
    </w:p>
    <w:p>
      <w:pPr>
        <w:ind w:left="1120" w:right="959" w:firstLine="320"/>
        <w:spacing w:after="0" w:line="243" w:lineRule="auto"/>
        <w:rPr>
          <w:sz w:val="20"/>
          <w:szCs w:val="20"/>
          <w:color w:val="auto"/>
        </w:rPr>
      </w:pPr>
      <w:r>
        <w:rPr>
          <w:rFonts w:ascii="Arial" w:cs="Arial" w:eastAsia="Arial" w:hAnsi="Arial"/>
          <w:sz w:val="16"/>
          <w:szCs w:val="16"/>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If at any point you require guidance, please contact Claire Poll, General Counsel, on email:</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claire.poll@veronapharma.com.</w:t>
      </w:r>
    </w:p>
    <w:p>
      <w:pPr>
        <w:spacing w:after="0" w:line="187" w:lineRule="exact"/>
        <w:rPr>
          <w:sz w:val="20"/>
          <w:szCs w:val="20"/>
          <w:color w:val="auto"/>
        </w:rPr>
      </w:pPr>
    </w:p>
    <w:p>
      <w:pPr>
        <w:ind w:left="1120" w:right="1199"/>
        <w:spacing w:after="0" w:line="276" w:lineRule="auto"/>
        <w:rPr>
          <w:sz w:val="20"/>
          <w:szCs w:val="20"/>
          <w:color w:val="auto"/>
        </w:rPr>
      </w:pPr>
      <w:r>
        <w:rPr>
          <w:rFonts w:ascii="Arial" w:cs="Arial" w:eastAsia="Arial" w:hAnsi="Arial"/>
          <w:sz w:val="16"/>
          <w:szCs w:val="16"/>
          <w:color w:val="auto"/>
        </w:rPr>
        <w:t>WHAT ARE THE REQUIREMENTS TO ELECT THE DIRECTORS AND APPROVE EACH OF THE PROPOSALS?</w:t>
      </w:r>
    </w:p>
    <w:p>
      <w:pPr>
        <w:spacing w:after="0" w:line="92" w:lineRule="exact"/>
        <w:rPr>
          <w:sz w:val="20"/>
          <w:szCs w:val="20"/>
          <w:color w:val="auto"/>
        </w:rPr>
      </w:pPr>
    </w:p>
    <w:p>
      <w:pPr>
        <w:ind w:left="1120" w:right="999" w:firstLine="320"/>
        <w:spacing w:after="0" w:line="263" w:lineRule="auto"/>
        <w:rPr>
          <w:sz w:val="20"/>
          <w:szCs w:val="20"/>
          <w:color w:val="auto"/>
        </w:rPr>
      </w:pPr>
      <w:r>
        <w:rPr>
          <w:rFonts w:ascii="Arial" w:cs="Arial" w:eastAsia="Arial" w:hAnsi="Arial"/>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90" w:lineRule="exact"/>
        <w:rPr>
          <w:sz w:val="20"/>
          <w:szCs w:val="20"/>
          <w:color w:val="auto"/>
        </w:rPr>
      </w:pPr>
    </w:p>
    <w:p>
      <w:pPr>
        <w:ind w:left="1120" w:right="939" w:firstLine="320"/>
        <w:spacing w:after="0" w:line="255" w:lineRule="auto"/>
        <w:rPr>
          <w:sz w:val="20"/>
          <w:szCs w:val="20"/>
          <w:color w:val="auto"/>
        </w:rPr>
      </w:pPr>
      <w:r>
        <w:rPr>
          <w:rFonts w:ascii="Arial" w:cs="Arial" w:eastAsia="Arial" w:hAnsi="Arial"/>
          <w:sz w:val="16"/>
          <w:szCs w:val="16"/>
          <w:color w:val="auto"/>
        </w:rPr>
        <w:t>Proposals 1 to 10 are proposed as ordinary resolutions. On a poll, an ordinary resolution is passed if it is approved by holders representing a simple majority of the total voting rights of shareholders present (in person or by proxy) who (being entitled to vote) vote on the resolution. Proposal 11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33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4" w:name="page15"/>
    <w:bookmarkEnd w:id="14"/>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1239" w:firstLine="320"/>
        <w:spacing w:after="0" w:line="243" w:lineRule="auto"/>
        <w:rPr>
          <w:sz w:val="20"/>
          <w:szCs w:val="20"/>
          <w:color w:val="auto"/>
        </w:rPr>
      </w:pPr>
      <w:r>
        <w:rPr>
          <w:rFonts w:ascii="Arial" w:cs="Arial" w:eastAsia="Arial" w:hAnsi="Arial"/>
          <w:sz w:val="16"/>
          <w:szCs w:val="16"/>
          <w:color w:val="auto"/>
        </w:rPr>
        <w:t xml:space="preserve">The results of the voting and any other information required by the U.K. Companies Act 2006 (the “Companies Act”) will be made available on our investor relations website located at </w:t>
      </w:r>
      <w:r>
        <w:rPr>
          <w:rFonts w:ascii="Arial" w:cs="Arial" w:eastAsia="Arial" w:hAnsi="Arial"/>
          <w:sz w:val="16"/>
          <w:szCs w:val="16"/>
          <w:i w:val="1"/>
          <w:iCs w:val="1"/>
          <w:color w:val="auto"/>
        </w:rPr>
        <w:t xml:space="preserve">www.veronapharma.com/investors </w:t>
      </w:r>
      <w:r>
        <w:rPr>
          <w:rFonts w:ascii="Arial" w:cs="Arial" w:eastAsia="Arial" w:hAnsi="Arial"/>
          <w:sz w:val="16"/>
          <w:szCs w:val="16"/>
          <w:color w:val="auto"/>
        </w:rPr>
        <w:t>as soon as reasonably practicable following the AGM and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period thereafter.</w:t>
      </w:r>
    </w:p>
    <w:p>
      <w:pPr>
        <w:spacing w:after="0" w:line="166" w:lineRule="exact"/>
        <w:rPr>
          <w:sz w:val="20"/>
          <w:szCs w:val="20"/>
          <w:color w:val="auto"/>
        </w:rPr>
      </w:pPr>
    </w:p>
    <w:p>
      <w:pPr>
        <w:ind w:left="1120" w:right="1099"/>
        <w:spacing w:after="0" w:line="261" w:lineRule="auto"/>
        <w:rPr>
          <w:sz w:val="20"/>
          <w:szCs w:val="20"/>
          <w:color w:val="auto"/>
        </w:rPr>
      </w:pPr>
      <w:r>
        <w:rPr>
          <w:rFonts w:ascii="Arial" w:cs="Arial" w:eastAsia="Arial" w:hAnsi="Arial"/>
          <w:sz w:val="16"/>
          <w:szCs w:val="16"/>
          <w:color w:val="auto"/>
        </w:rPr>
        <w:t>WHAT ARE THE VOTING RECOMMENDATIONS OF OUR BOARD REGARDING THE ELECTION OF DIRECTORS AND OTHER PROPOSALS?</w:t>
      </w:r>
    </w:p>
    <w:p>
      <w:pPr>
        <w:spacing w:after="0" w:line="79" w:lineRule="exact"/>
        <w:rPr>
          <w:sz w:val="20"/>
          <w:szCs w:val="20"/>
          <w:color w:val="auto"/>
        </w:rPr>
      </w:pPr>
    </w:p>
    <w:p>
      <w:pPr>
        <w:ind w:left="1120" w:right="1239" w:firstLine="320"/>
        <w:spacing w:after="0" w:line="261" w:lineRule="auto"/>
        <w:rPr>
          <w:sz w:val="20"/>
          <w:szCs w:val="20"/>
          <w:color w:val="auto"/>
        </w:rPr>
      </w:pPr>
      <w:r>
        <w:rPr>
          <w:rFonts w:ascii="Arial" w:cs="Arial" w:eastAsia="Arial" w:hAnsi="Arial"/>
          <w:sz w:val="16"/>
          <w:szCs w:val="16"/>
          <w:color w:val="auto"/>
        </w:rPr>
        <w:t>The following table summarizes the items that will be brought for a vote of our shareholders at the AGM, along with the Board’s voting recommendations.</w:t>
      </w:r>
    </w:p>
    <w:p>
      <w:pPr>
        <w:spacing w:after="0" w:line="114"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2"/>
              </w:rPr>
              <w:t>Board’s</w:t>
            </w:r>
          </w:p>
        </w:tc>
      </w:tr>
      <w:tr>
        <w:trPr>
          <w:trHeight w:val="166"/>
        </w:trPr>
        <w:tc>
          <w:tcPr>
            <w:tcW w:w="500" w:type="dxa"/>
            <w:vAlign w:val="bottom"/>
          </w:tcPr>
          <w:p>
            <w:pPr>
              <w:spacing w:after="0"/>
              <w:rPr>
                <w:sz w:val="20"/>
                <w:szCs w:val="20"/>
                <w:color w:val="auto"/>
              </w:rPr>
            </w:pPr>
            <w:r>
              <w:rPr>
                <w:rFonts w:ascii="Arial" w:cs="Arial" w:eastAsia="Arial" w:hAnsi="Arial"/>
                <w:sz w:val="13"/>
                <w:szCs w:val="13"/>
                <w:b w:val="1"/>
                <w:bCs w:val="1"/>
                <w:color w:val="auto"/>
                <w:w w:val="86"/>
              </w:rPr>
              <w:t>Proposal</w:t>
            </w:r>
          </w:p>
        </w:tc>
        <w:tc>
          <w:tcPr>
            <w:tcW w:w="180" w:type="dxa"/>
            <w:vAlign w:val="bottom"/>
          </w:tcPr>
          <w:p>
            <w:pPr>
              <w:spacing w:after="0"/>
              <w:rPr>
                <w:sz w:val="14"/>
                <w:szCs w:val="14"/>
                <w:color w:val="auto"/>
              </w:rPr>
            </w:pPr>
          </w:p>
        </w:tc>
        <w:tc>
          <w:tcPr>
            <w:tcW w:w="5640" w:type="dxa"/>
            <w:vAlign w:val="bottom"/>
            <w:gridSpan w:val="2"/>
          </w:tcPr>
          <w:p>
            <w:pPr>
              <w:ind w:left="2120"/>
              <w:spacing w:after="0"/>
              <w:rPr>
                <w:sz w:val="20"/>
                <w:szCs w:val="20"/>
                <w:color w:val="auto"/>
              </w:rPr>
            </w:pPr>
            <w:r>
              <w:rPr>
                <w:rFonts w:ascii="Arial" w:cs="Arial" w:eastAsia="Arial" w:hAnsi="Arial"/>
                <w:sz w:val="13"/>
                <w:szCs w:val="13"/>
                <w:b w:val="1"/>
                <w:bCs w:val="1"/>
                <w:color w:val="auto"/>
              </w:rPr>
              <w:t>Description of Proposal</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4"/>
              </w:rPr>
              <w:t>Recommendation</w:t>
            </w:r>
          </w:p>
        </w:tc>
      </w:tr>
      <w:tr>
        <w:trPr>
          <w:trHeight w:val="22"/>
        </w:trPr>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0"/>
        </w:trPr>
        <w:tc>
          <w:tcPr>
            <w:tcW w:w="500" w:type="dxa"/>
            <w:vAlign w:val="bottom"/>
          </w:tcPr>
          <w:p>
            <w:pPr>
              <w:spacing w:after="0"/>
              <w:rPr>
                <w:sz w:val="20"/>
                <w:szCs w:val="20"/>
                <w:color w:val="auto"/>
              </w:rPr>
            </w:pPr>
            <w:r>
              <w:rPr>
                <w:rFonts w:ascii="Arial" w:cs="Arial" w:eastAsia="Arial" w:hAnsi="Arial"/>
                <w:sz w:val="16"/>
                <w:szCs w:val="16"/>
                <w:color w:val="auto"/>
              </w:rPr>
              <w:t>1</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re-elect David Ebsworth, Ph.D. as a director of the Company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24"/>
        </w:trPr>
        <w:tc>
          <w:tcPr>
            <w:tcW w:w="500" w:type="dxa"/>
            <w:vAlign w:val="bottom"/>
          </w:tcPr>
          <w:p>
            <w:pPr>
              <w:spacing w:after="0"/>
              <w:rPr>
                <w:sz w:val="20"/>
                <w:szCs w:val="20"/>
                <w:color w:val="auto"/>
              </w:rPr>
            </w:pPr>
            <w:r>
              <w:rPr>
                <w:rFonts w:ascii="Arial" w:cs="Arial" w:eastAsia="Arial" w:hAnsi="Arial"/>
                <w:sz w:val="16"/>
                <w:szCs w:val="16"/>
                <w:color w:val="auto"/>
              </w:rPr>
              <w:t>2</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re-elect Martin Edwards, M.D. as a director of the Company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24"/>
        </w:trPr>
        <w:tc>
          <w:tcPr>
            <w:tcW w:w="500" w:type="dxa"/>
            <w:vAlign w:val="bottom"/>
          </w:tcPr>
          <w:p>
            <w:pPr>
              <w:spacing w:after="0"/>
              <w:rPr>
                <w:sz w:val="20"/>
                <w:szCs w:val="20"/>
                <w:color w:val="auto"/>
              </w:rPr>
            </w:pPr>
            <w:r>
              <w:rPr>
                <w:rFonts w:ascii="Arial" w:cs="Arial" w:eastAsia="Arial" w:hAnsi="Arial"/>
                <w:sz w:val="16"/>
                <w:szCs w:val="16"/>
                <w:color w:val="auto"/>
              </w:rPr>
              <w:t>3</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re-elect Sven Anders Ullman, M.D., Ph.D. as a director of the Company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24"/>
        </w:trPr>
        <w:tc>
          <w:tcPr>
            <w:tcW w:w="500" w:type="dxa"/>
            <w:vAlign w:val="bottom"/>
          </w:tcPr>
          <w:p>
            <w:pPr>
              <w:spacing w:after="0"/>
              <w:rPr>
                <w:sz w:val="20"/>
                <w:szCs w:val="20"/>
                <w:color w:val="auto"/>
              </w:rPr>
            </w:pPr>
            <w:r>
              <w:rPr>
                <w:rFonts w:ascii="Arial" w:cs="Arial" w:eastAsia="Arial" w:hAnsi="Arial"/>
                <w:sz w:val="16"/>
                <w:szCs w:val="16"/>
                <w:color w:val="auto"/>
              </w:rPr>
              <w:t>4</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re-elect Lisa Deschamps as a director of the Company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24"/>
        </w:trPr>
        <w:tc>
          <w:tcPr>
            <w:tcW w:w="500" w:type="dxa"/>
            <w:vAlign w:val="bottom"/>
          </w:tcPr>
          <w:p>
            <w:pPr>
              <w:spacing w:after="0"/>
              <w:rPr>
                <w:sz w:val="20"/>
                <w:szCs w:val="20"/>
                <w:color w:val="auto"/>
              </w:rPr>
            </w:pPr>
            <w:r>
              <w:rPr>
                <w:rFonts w:ascii="Arial" w:cs="Arial" w:eastAsia="Arial" w:hAnsi="Arial"/>
                <w:sz w:val="16"/>
                <w:szCs w:val="16"/>
                <w:color w:val="auto"/>
              </w:rPr>
              <w:t>5</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receive and adopt the 2020 U.K. Annual Report</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11"/>
        </w:trPr>
        <w:tc>
          <w:tcPr>
            <w:tcW w:w="500" w:type="dxa"/>
            <w:vAlign w:val="bottom"/>
          </w:tcPr>
          <w:p>
            <w:pPr>
              <w:spacing w:after="0"/>
              <w:rPr>
                <w:sz w:val="20"/>
                <w:szCs w:val="20"/>
                <w:color w:val="auto"/>
              </w:rPr>
            </w:pPr>
            <w:r>
              <w:rPr>
                <w:rFonts w:ascii="Arial" w:cs="Arial" w:eastAsia="Arial" w:hAnsi="Arial"/>
                <w:sz w:val="16"/>
                <w:szCs w:val="16"/>
                <w:color w:val="auto"/>
              </w:rPr>
              <w:t>6</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w w:val="99"/>
              </w:rPr>
              <w:t>To receive and approve, as a non-binding advisory resolution, the U.K. statutory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204"/>
        </w:trPr>
        <w:tc>
          <w:tcPr>
            <w:tcW w:w="500" w:type="dxa"/>
            <w:vAlign w:val="bottom"/>
          </w:tcPr>
          <w:p>
            <w:pPr>
              <w:spacing w:after="0"/>
              <w:rPr>
                <w:sz w:val="17"/>
                <w:szCs w:val="17"/>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Directors’ Remuneration Report</w:t>
            </w:r>
          </w:p>
        </w:tc>
        <w:tc>
          <w:tcPr>
            <w:tcW w:w="960" w:type="dxa"/>
            <w:vAlign w:val="bottom"/>
          </w:tcPr>
          <w:p>
            <w:pPr>
              <w:spacing w:after="0"/>
              <w:rPr>
                <w:sz w:val="17"/>
                <w:szCs w:val="17"/>
                <w:color w:val="auto"/>
              </w:rPr>
            </w:pPr>
          </w:p>
        </w:tc>
      </w:tr>
      <w:tr>
        <w:trPr>
          <w:trHeight w:val="348"/>
        </w:trPr>
        <w:tc>
          <w:tcPr>
            <w:tcW w:w="500" w:type="dxa"/>
            <w:vAlign w:val="bottom"/>
          </w:tcPr>
          <w:p>
            <w:pPr>
              <w:spacing w:after="0"/>
              <w:rPr>
                <w:sz w:val="20"/>
                <w:szCs w:val="20"/>
                <w:color w:val="auto"/>
              </w:rPr>
            </w:pPr>
            <w:r>
              <w:rPr>
                <w:rFonts w:ascii="Arial" w:cs="Arial" w:eastAsia="Arial" w:hAnsi="Arial"/>
                <w:sz w:val="16"/>
                <w:szCs w:val="16"/>
                <w:color w:val="auto"/>
              </w:rPr>
              <w:t>7</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receive and approve the U.K. Directors’ Remuneration Policy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311"/>
        </w:trPr>
        <w:tc>
          <w:tcPr>
            <w:tcW w:w="500" w:type="dxa"/>
            <w:vAlign w:val="bottom"/>
          </w:tcPr>
          <w:p>
            <w:pPr>
              <w:spacing w:after="0"/>
              <w:rPr>
                <w:sz w:val="20"/>
                <w:szCs w:val="20"/>
                <w:color w:val="auto"/>
              </w:rPr>
            </w:pPr>
            <w:r>
              <w:rPr>
                <w:rFonts w:ascii="Arial" w:cs="Arial" w:eastAsia="Arial" w:hAnsi="Arial"/>
                <w:sz w:val="16"/>
                <w:szCs w:val="16"/>
                <w:color w:val="auto"/>
              </w:rPr>
              <w:t>8</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w w:val="99"/>
              </w:rPr>
              <w:t>To re-appoint PwC as the Company’s auditors, to hold office until the conclusion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204"/>
        </w:trPr>
        <w:tc>
          <w:tcPr>
            <w:tcW w:w="500" w:type="dxa"/>
            <w:vAlign w:val="bottom"/>
          </w:tcPr>
          <w:p>
            <w:pPr>
              <w:spacing w:after="0"/>
              <w:rPr>
                <w:sz w:val="17"/>
                <w:szCs w:val="17"/>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of the next annual general meeting of shareholders</w:t>
            </w:r>
          </w:p>
        </w:tc>
        <w:tc>
          <w:tcPr>
            <w:tcW w:w="960" w:type="dxa"/>
            <w:vAlign w:val="bottom"/>
          </w:tcPr>
          <w:p>
            <w:pPr>
              <w:spacing w:after="0"/>
              <w:rPr>
                <w:sz w:val="17"/>
                <w:szCs w:val="17"/>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6"/>
                <w:szCs w:val="16"/>
                <w:color w:val="auto"/>
              </w:rPr>
              <w:t>9</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authorize the Audit and Risk Committee to determine the auditors’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204"/>
        </w:trPr>
        <w:tc>
          <w:tcPr>
            <w:tcW w:w="500" w:type="dxa"/>
            <w:vAlign w:val="bottom"/>
          </w:tcPr>
          <w:p>
            <w:pPr>
              <w:spacing w:after="0"/>
              <w:rPr>
                <w:sz w:val="17"/>
                <w:szCs w:val="17"/>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remuneration for the year ending December 31, 2021</w:t>
            </w:r>
          </w:p>
        </w:tc>
        <w:tc>
          <w:tcPr>
            <w:tcW w:w="960" w:type="dxa"/>
            <w:vAlign w:val="bottom"/>
          </w:tcPr>
          <w:p>
            <w:pPr>
              <w:spacing w:after="0"/>
              <w:rPr>
                <w:sz w:val="17"/>
                <w:szCs w:val="17"/>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6"/>
                <w:szCs w:val="16"/>
                <w:color w:val="auto"/>
              </w:rPr>
              <w:t>10</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w w:val="98"/>
              </w:rPr>
              <w:t>To authorize the Board of Directors to exercise all the powers of the Company to</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192"/>
        </w:trPr>
        <w:tc>
          <w:tcPr>
            <w:tcW w:w="500" w:type="dxa"/>
            <w:vAlign w:val="bottom"/>
          </w:tcPr>
          <w:p>
            <w:pPr>
              <w:spacing w:after="0"/>
              <w:rPr>
                <w:sz w:val="16"/>
                <w:szCs w:val="16"/>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allot shares in the Company or grant rights to subscribe for or to convert any</w:t>
            </w:r>
          </w:p>
        </w:tc>
        <w:tc>
          <w:tcPr>
            <w:tcW w:w="960" w:type="dxa"/>
            <w:vAlign w:val="bottom"/>
          </w:tcPr>
          <w:p>
            <w:pPr>
              <w:spacing w:after="0"/>
              <w:rPr>
                <w:sz w:val="16"/>
                <w:szCs w:val="16"/>
                <w:color w:val="auto"/>
              </w:rPr>
            </w:pPr>
          </w:p>
        </w:tc>
      </w:tr>
      <w:tr>
        <w:trPr>
          <w:trHeight w:val="192"/>
        </w:trPr>
        <w:tc>
          <w:tcPr>
            <w:tcW w:w="500" w:type="dxa"/>
            <w:vAlign w:val="bottom"/>
          </w:tcPr>
          <w:p>
            <w:pPr>
              <w:spacing w:after="0"/>
              <w:rPr>
                <w:sz w:val="16"/>
                <w:szCs w:val="16"/>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security into shares in the Company up to an aggregate nominal amount of</w:t>
            </w:r>
          </w:p>
        </w:tc>
        <w:tc>
          <w:tcPr>
            <w:tcW w:w="960" w:type="dxa"/>
            <w:vAlign w:val="bottom"/>
          </w:tcPr>
          <w:p>
            <w:pPr>
              <w:spacing w:after="0"/>
              <w:rPr>
                <w:sz w:val="16"/>
                <w:szCs w:val="16"/>
                <w:color w:val="auto"/>
              </w:rPr>
            </w:pPr>
          </w:p>
        </w:tc>
      </w:tr>
      <w:tr>
        <w:trPr>
          <w:trHeight w:val="204"/>
        </w:trPr>
        <w:tc>
          <w:tcPr>
            <w:tcW w:w="500" w:type="dxa"/>
            <w:vAlign w:val="bottom"/>
          </w:tcPr>
          <w:p>
            <w:pPr>
              <w:spacing w:after="0"/>
              <w:rPr>
                <w:sz w:val="17"/>
                <w:szCs w:val="17"/>
                <w:color w:val="auto"/>
              </w:rPr>
            </w:pPr>
          </w:p>
        </w:tc>
        <w:tc>
          <w:tcPr>
            <w:tcW w:w="5640" w:type="dxa"/>
            <w:vAlign w:val="bottom"/>
            <w:gridSpan w:val="2"/>
          </w:tcPr>
          <w:p>
            <w:pPr>
              <w:ind w:left="180"/>
              <w:spacing w:after="0"/>
              <w:rPr>
                <w:sz w:val="20"/>
                <w:szCs w:val="20"/>
                <w:color w:val="auto"/>
              </w:rPr>
            </w:pPr>
            <w:r>
              <w:rPr>
                <w:rFonts w:ascii="Arial" w:cs="Arial" w:eastAsia="Arial" w:hAnsi="Arial"/>
                <w:sz w:val="16"/>
                <w:szCs w:val="16"/>
                <w:color w:val="auto"/>
              </w:rPr>
              <w:t>£24,415,222.30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6"/>
                <w:szCs w:val="16"/>
                <w:color w:val="auto"/>
              </w:rPr>
              <w:t>11</w:t>
            </w: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To authorize the Board of Directors to allot equity securities for cash and/or to</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FOR</w:t>
            </w:r>
          </w:p>
        </w:tc>
      </w:tr>
      <w:tr>
        <w:trPr>
          <w:trHeight w:val="192"/>
        </w:trPr>
        <w:tc>
          <w:tcPr>
            <w:tcW w:w="500" w:type="dxa"/>
            <w:vAlign w:val="bottom"/>
          </w:tcPr>
          <w:p>
            <w:pPr>
              <w:spacing w:after="0"/>
              <w:rPr>
                <w:sz w:val="16"/>
                <w:szCs w:val="16"/>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w w:val="96"/>
              </w:rPr>
              <w:t>sell ordinary shares held by the Company as treasury shares for cash as if section</w:t>
            </w:r>
          </w:p>
        </w:tc>
        <w:tc>
          <w:tcPr>
            <w:tcW w:w="960" w:type="dxa"/>
            <w:vAlign w:val="bottom"/>
          </w:tcPr>
          <w:p>
            <w:pPr>
              <w:spacing w:after="0"/>
              <w:rPr>
                <w:sz w:val="16"/>
                <w:szCs w:val="16"/>
                <w:color w:val="auto"/>
              </w:rPr>
            </w:pPr>
          </w:p>
        </w:tc>
      </w:tr>
      <w:tr>
        <w:trPr>
          <w:trHeight w:val="204"/>
        </w:trPr>
        <w:tc>
          <w:tcPr>
            <w:tcW w:w="500" w:type="dxa"/>
            <w:vAlign w:val="bottom"/>
          </w:tcPr>
          <w:p>
            <w:pPr>
              <w:spacing w:after="0"/>
              <w:rPr>
                <w:sz w:val="17"/>
                <w:szCs w:val="17"/>
                <w:color w:val="auto"/>
              </w:rPr>
            </w:pPr>
          </w:p>
        </w:tc>
        <w:tc>
          <w:tcPr>
            <w:tcW w:w="5820" w:type="dxa"/>
            <w:vAlign w:val="bottom"/>
            <w:gridSpan w:val="3"/>
          </w:tcPr>
          <w:p>
            <w:pPr>
              <w:ind w:left="180"/>
              <w:spacing w:after="0"/>
              <w:rPr>
                <w:sz w:val="20"/>
                <w:szCs w:val="20"/>
                <w:color w:val="auto"/>
              </w:rPr>
            </w:pPr>
            <w:r>
              <w:rPr>
                <w:rFonts w:ascii="Arial" w:cs="Arial" w:eastAsia="Arial" w:hAnsi="Arial"/>
                <w:sz w:val="16"/>
                <w:szCs w:val="16"/>
                <w:color w:val="auto"/>
              </w:rPr>
              <w:t>561(1) of the Companies Act does not apply to any such allotment</w:t>
            </w:r>
          </w:p>
        </w:tc>
        <w:tc>
          <w:tcPr>
            <w:tcW w:w="960" w:type="dxa"/>
            <w:vAlign w:val="bottom"/>
          </w:tcPr>
          <w:p>
            <w:pPr>
              <w:spacing w:after="0"/>
              <w:rPr>
                <w:sz w:val="17"/>
                <w:szCs w:val="17"/>
                <w:color w:val="auto"/>
              </w:rPr>
            </w:pPr>
          </w:p>
        </w:tc>
      </w:tr>
    </w:tbl>
    <w:p>
      <w:pPr>
        <w:spacing w:after="0" w:line="19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WHAT CONSTITUTES A QUORUM?</w:t>
      </w:r>
    </w:p>
    <w:p>
      <w:pPr>
        <w:spacing w:after="0" w:line="140" w:lineRule="exact"/>
        <w:rPr>
          <w:sz w:val="20"/>
          <w:szCs w:val="20"/>
          <w:color w:val="auto"/>
        </w:rPr>
      </w:pPr>
    </w:p>
    <w:p>
      <w:pPr>
        <w:ind w:left="1120" w:right="959" w:firstLine="320"/>
        <w:spacing w:after="0" w:line="241" w:lineRule="auto"/>
        <w:rPr>
          <w:sz w:val="20"/>
          <w:szCs w:val="20"/>
          <w:color w:val="auto"/>
        </w:rPr>
      </w:pPr>
      <w:r>
        <w:rPr>
          <w:rFonts w:ascii="Arial" w:cs="Arial" w:eastAsia="Arial" w:hAnsi="Arial"/>
          <w:sz w:val="16"/>
          <w:szCs w:val="16"/>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95" w:lineRule="exact"/>
        <w:rPr>
          <w:sz w:val="20"/>
          <w:szCs w:val="20"/>
          <w:color w:val="auto"/>
        </w:rPr>
      </w:pPr>
    </w:p>
    <w:p>
      <w:pPr>
        <w:ind w:left="1120" w:right="919" w:firstLine="320"/>
        <w:spacing w:after="0" w:line="237" w:lineRule="auto"/>
        <w:rPr>
          <w:sz w:val="20"/>
          <w:szCs w:val="20"/>
          <w:color w:val="auto"/>
        </w:rPr>
      </w:pPr>
      <w:r>
        <w:rPr>
          <w:rFonts w:ascii="Arial" w:cs="Arial" w:eastAsia="Arial" w:hAnsi="Arial"/>
          <w:sz w:val="16"/>
          <w:szCs w:val="16"/>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 voting as he or she sees fit. A member represented by a proxy at the AGM will be counted towards the quorum requirement even where the proxy abstains from voting.</w:t>
      </w:r>
    </w:p>
    <w:p>
      <w:pPr>
        <w:spacing w:after="0" w:line="34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5" w:name="page16"/>
    <w:bookmarkEnd w:id="15"/>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120" w:right="1039" w:firstLine="320"/>
        <w:spacing w:after="0" w:line="261" w:lineRule="auto"/>
        <w:rPr>
          <w:sz w:val="20"/>
          <w:szCs w:val="20"/>
          <w:color w:val="auto"/>
        </w:rPr>
      </w:pPr>
      <w:r>
        <w:rPr>
          <w:rFonts w:ascii="Arial" w:cs="Arial" w:eastAsia="Arial" w:hAnsi="Arial"/>
          <w:sz w:val="16"/>
          <w:szCs w:val="16"/>
          <w:color w:val="auto"/>
        </w:rPr>
        <w:t>If there is no quorum, within 15 minutes from the time appointed for holding the AGM the AGM will stand adjourned to such time, date and place as may be fixed by the chairperson of the AGM.</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DO I VOTE MY SHARES?</w:t>
      </w:r>
    </w:p>
    <w:p>
      <w:pPr>
        <w:spacing w:after="0" w:line="128" w:lineRule="exact"/>
        <w:rPr>
          <w:sz w:val="20"/>
          <w:szCs w:val="20"/>
          <w:color w:val="auto"/>
        </w:rPr>
      </w:pPr>
    </w:p>
    <w:p>
      <w:pPr>
        <w:ind w:left="1120" w:right="1259" w:firstLine="320"/>
        <w:spacing w:after="0" w:line="261" w:lineRule="auto"/>
        <w:rPr>
          <w:sz w:val="20"/>
          <w:szCs w:val="20"/>
          <w:color w:val="auto"/>
        </w:rPr>
      </w:pPr>
      <w:r>
        <w:rPr>
          <w:rFonts w:ascii="Arial" w:cs="Arial" w:eastAsia="Arial" w:hAnsi="Arial"/>
          <w:sz w:val="16"/>
          <w:szCs w:val="16"/>
          <w:color w:val="auto"/>
        </w:rPr>
        <w:t>If you are an ordinary “shareholder of record,” you may appoint a proxy to vote on your behalf by completing and signing the form of proxy and returning it in the envelope provided.</w:t>
      </w:r>
    </w:p>
    <w:p>
      <w:pPr>
        <w:spacing w:after="0" w:line="9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All proxies must be received by the Company Secretary no later than 1:00 p.m. British Summer Time</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(8:00 a.m. Eastern Time) on April 23, 2021, or if the AGM is adjourned, not later than 48 hours before the</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time fixed for the holding of the adjourned meeting (excluding any day which is not a working day). ADS</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voting instructions submitted by ADS holders must be received by Citibank, N.A. no later than 10:00 a.m.</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Eastern Time on April 21, 2021.</w:t>
      </w:r>
    </w:p>
    <w:p>
      <w:pPr>
        <w:spacing w:after="0" w:line="110" w:lineRule="exact"/>
        <w:rPr>
          <w:sz w:val="20"/>
          <w:szCs w:val="20"/>
          <w:color w:val="auto"/>
        </w:rPr>
      </w:pPr>
    </w:p>
    <w:p>
      <w:pPr>
        <w:ind w:left="1120" w:right="1039" w:firstLine="320"/>
        <w:spacing w:after="0" w:line="250" w:lineRule="auto"/>
        <w:rPr>
          <w:sz w:val="20"/>
          <w:szCs w:val="20"/>
          <w:color w:val="auto"/>
        </w:rPr>
      </w:pPr>
      <w:r>
        <w:rPr>
          <w:rFonts w:ascii="Arial" w:cs="Arial" w:eastAsia="Arial" w:hAnsi="Arial"/>
          <w:sz w:val="16"/>
          <w:szCs w:val="16"/>
          <w:b w:val="1"/>
          <w:bCs w:val="1"/>
          <w:color w:val="auto"/>
        </w:rPr>
        <w:t>You are strongly encouraged to appoint the Chairman of the AGM as your proxy. If you appoint any person other than the Chairman of the AGM as your proxy, that person will not be able to vote your shares at the AGM.</w:t>
      </w:r>
    </w:p>
    <w:p>
      <w:pPr>
        <w:spacing w:after="0" w:line="88" w:lineRule="exact"/>
        <w:rPr>
          <w:sz w:val="20"/>
          <w:szCs w:val="20"/>
          <w:color w:val="auto"/>
        </w:rPr>
      </w:pPr>
    </w:p>
    <w:p>
      <w:pPr>
        <w:jc w:val="both"/>
        <w:ind w:left="1120" w:right="1139" w:firstLine="320"/>
        <w:spacing w:after="0" w:line="247" w:lineRule="auto"/>
        <w:rPr>
          <w:sz w:val="20"/>
          <w:szCs w:val="20"/>
          <w:color w:val="auto"/>
        </w:rPr>
      </w:pPr>
      <w:r>
        <w:rPr>
          <w:rFonts w:ascii="Arial" w:cs="Arial" w:eastAsia="Arial" w:hAnsi="Arial"/>
          <w:sz w:val="16"/>
          <w:szCs w:val="16"/>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03" w:lineRule="exact"/>
        <w:rPr>
          <w:sz w:val="20"/>
          <w:szCs w:val="20"/>
          <w:color w:val="auto"/>
        </w:rPr>
      </w:pPr>
    </w:p>
    <w:p>
      <w:pPr>
        <w:jc w:val="both"/>
        <w:ind w:left="1120" w:right="1159" w:firstLine="320"/>
        <w:spacing w:after="0" w:line="261" w:lineRule="auto"/>
        <w:rPr>
          <w:sz w:val="20"/>
          <w:szCs w:val="20"/>
          <w:color w:val="auto"/>
        </w:rPr>
      </w:pPr>
      <w:r>
        <w:rPr>
          <w:rFonts w:ascii="Arial" w:cs="Arial" w:eastAsia="Arial" w:hAnsi="Arial"/>
          <w:sz w:val="16"/>
          <w:szCs w:val="16"/>
          <w:color w:val="auto"/>
        </w:rPr>
        <w:t>If your ordinary shares are held in an account at a brokerage firm, bank or similar organization, you should follow directions provided by your broker, bank or other nominee.</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WILL MY SHARES BE VOTED IF I DO NOT SPECIFY HOW THEY SHOULD BE VOTED?</w:t>
      </w:r>
    </w:p>
    <w:p>
      <w:pPr>
        <w:spacing w:after="0" w:line="140" w:lineRule="exact"/>
        <w:rPr>
          <w:sz w:val="20"/>
          <w:szCs w:val="20"/>
          <w:color w:val="auto"/>
        </w:rPr>
      </w:pPr>
    </w:p>
    <w:p>
      <w:pPr>
        <w:ind w:left="1120" w:right="879" w:firstLine="320"/>
        <w:spacing w:after="0" w:line="243" w:lineRule="auto"/>
        <w:rPr>
          <w:sz w:val="20"/>
          <w:szCs w:val="20"/>
          <w:color w:val="auto"/>
        </w:rPr>
      </w:pPr>
      <w:r>
        <w:rPr>
          <w:rFonts w:ascii="Arial" w:cs="Arial" w:eastAsia="Arial" w:hAnsi="Arial"/>
          <w:sz w:val="16"/>
          <w:szCs w:val="16"/>
          <w:color w:val="auto"/>
        </w:rPr>
        <w:t>If you sign and send your form of proxy but do not indicate how you want your shares to be voted, your shares will be voted by the person that you appoint as your proxy in accordance with the Board of Directors’ recommendations. For any other resolution put to the AGM, the proxy may vote or abstain from voting as he or she sees fit.</w:t>
      </w:r>
    </w:p>
    <w:p>
      <w:pPr>
        <w:spacing w:after="0" w:line="94" w:lineRule="exact"/>
        <w:rPr>
          <w:sz w:val="20"/>
          <w:szCs w:val="20"/>
          <w:color w:val="auto"/>
        </w:rPr>
      </w:pPr>
    </w:p>
    <w:p>
      <w:pPr>
        <w:ind w:left="1120" w:right="979" w:firstLine="320"/>
        <w:spacing w:after="0" w:line="239" w:lineRule="auto"/>
        <w:rPr>
          <w:sz w:val="20"/>
          <w:szCs w:val="20"/>
          <w:color w:val="auto"/>
        </w:rPr>
      </w:pPr>
      <w:r>
        <w:rPr>
          <w:rFonts w:ascii="Arial" w:cs="Arial" w:eastAsia="Arial" w:hAnsi="Arial"/>
          <w:sz w:val="16"/>
          <w:szCs w:val="16"/>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will be voted in accordance with the Board of Directors’ recommendations.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CAN I CHANGE MY VOTE OR REVOKE A PROXY?</w:t>
      </w:r>
    </w:p>
    <w:p>
      <w:pPr>
        <w:spacing w:after="0" w:line="140" w:lineRule="exact"/>
        <w:rPr>
          <w:sz w:val="20"/>
          <w:szCs w:val="20"/>
          <w:color w:val="auto"/>
        </w:rPr>
      </w:pPr>
    </w:p>
    <w:p>
      <w:pPr>
        <w:ind w:left="1120" w:right="1079" w:firstLine="320"/>
        <w:spacing w:after="0" w:line="261" w:lineRule="auto"/>
        <w:rPr>
          <w:sz w:val="20"/>
          <w:szCs w:val="20"/>
          <w:color w:val="auto"/>
        </w:rPr>
      </w:pPr>
      <w:r>
        <w:rPr>
          <w:rFonts w:ascii="Arial" w:cs="Arial" w:eastAsia="Arial" w:hAnsi="Arial"/>
          <w:sz w:val="16"/>
          <w:szCs w:val="16"/>
          <w:color w:val="auto"/>
        </w:rPr>
        <w:t>A registered shareholder can revoke his or her proxy before the time of voting at the AGM in several ways by:</w:t>
      </w:r>
    </w:p>
    <w:p>
      <w:pPr>
        <w:spacing w:after="0" w:line="91" w:lineRule="exact"/>
        <w:rPr>
          <w:sz w:val="20"/>
          <w:szCs w:val="20"/>
          <w:color w:val="auto"/>
        </w:rPr>
      </w:pPr>
    </w:p>
    <w:p>
      <w:pPr>
        <w:ind w:left="1680" w:hanging="240"/>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mailing a revised form of proxy dated later than the prior form of proxy; or</w:t>
      </w:r>
    </w:p>
    <w:p>
      <w:pPr>
        <w:spacing w:after="0" w:line="127" w:lineRule="exact"/>
        <w:rPr>
          <w:rFonts w:ascii="Arial" w:cs="Arial" w:eastAsia="Arial" w:hAnsi="Arial"/>
          <w:sz w:val="16"/>
          <w:szCs w:val="16"/>
          <w:color w:val="auto"/>
        </w:rPr>
      </w:pPr>
    </w:p>
    <w:p>
      <w:pPr>
        <w:ind w:left="1120" w:right="899" w:firstLine="320"/>
        <w:spacing w:after="0" w:line="261" w:lineRule="auto"/>
        <w:tabs>
          <w:tab w:leader="none" w:pos="167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notifying our Company Secretary in writing that you are revoking your proxy. Your revocation must be received at our registered office before the AGM to be effective.</w:t>
      </w:r>
    </w:p>
    <w:p>
      <w:pPr>
        <w:spacing w:after="0" w:line="91" w:lineRule="exact"/>
        <w:rPr>
          <w:sz w:val="20"/>
          <w:szCs w:val="20"/>
          <w:color w:val="auto"/>
        </w:rPr>
      </w:pPr>
    </w:p>
    <w:p>
      <w:pPr>
        <w:ind w:left="1120" w:right="899" w:firstLine="320"/>
        <w:spacing w:after="0" w:line="241" w:lineRule="auto"/>
        <w:rPr>
          <w:sz w:val="20"/>
          <w:szCs w:val="20"/>
          <w:color w:val="auto"/>
        </w:rPr>
      </w:pPr>
      <w:r>
        <w:rPr>
          <w:rFonts w:ascii="Arial" w:cs="Arial" w:eastAsia="Arial" w:hAnsi="Arial"/>
          <w:sz w:val="16"/>
          <w:szCs w:val="16"/>
          <w:color w:val="auto"/>
        </w:rPr>
        <w:t xml:space="preserve">Ordinarily a shareholder would also be able to revoke his or her proxy by voting in person at the AGM. However, as a result of restrictions on movement and gatherings imposed by the UK Government in response to the COVID-19 pandemic, ordinary shareholders will not be allowed to attend the AGM in person. Accordingly, we will hold the AGM electronically as a telephone meeting. </w:t>
      </w:r>
      <w:r>
        <w:rPr>
          <w:rFonts w:ascii="Arial" w:cs="Arial" w:eastAsia="Arial" w:hAnsi="Arial"/>
          <w:sz w:val="16"/>
          <w:szCs w:val="16"/>
          <w:b w:val="1"/>
          <w:bCs w:val="1"/>
          <w:color w:val="auto"/>
        </w:rPr>
        <w:t>You will not be able to</w:t>
      </w:r>
      <w:r>
        <w:rPr>
          <w:rFonts w:ascii="Arial" w:cs="Arial" w:eastAsia="Arial" w:hAnsi="Arial"/>
          <w:sz w:val="16"/>
          <w:szCs w:val="16"/>
          <w:color w:val="auto"/>
        </w:rPr>
        <w:t xml:space="preserve"> </w:t>
      </w:r>
      <w:r>
        <w:rPr>
          <w:rFonts w:ascii="Arial" w:cs="Arial" w:eastAsia="Arial" w:hAnsi="Arial"/>
          <w:sz w:val="16"/>
          <w:szCs w:val="16"/>
          <w:b w:val="1"/>
          <w:bCs w:val="1"/>
          <w:color w:val="auto"/>
        </w:rPr>
        <w:t>vote your shares at the AGM via teleconference.</w:t>
      </w:r>
    </w:p>
    <w:p>
      <w:pPr>
        <w:spacing w:after="0" w:line="107" w:lineRule="exact"/>
        <w:rPr>
          <w:sz w:val="20"/>
          <w:szCs w:val="20"/>
          <w:color w:val="auto"/>
        </w:rPr>
      </w:pPr>
    </w:p>
    <w:p>
      <w:pPr>
        <w:ind w:left="1120" w:right="1199" w:firstLine="320"/>
        <w:spacing w:after="0" w:line="243" w:lineRule="auto"/>
        <w:rPr>
          <w:sz w:val="20"/>
          <w:szCs w:val="20"/>
          <w:color w:val="auto"/>
        </w:rPr>
      </w:pPr>
      <w:r>
        <w:rPr>
          <w:rFonts w:ascii="Arial" w:cs="Arial" w:eastAsia="Arial" w:hAnsi="Arial"/>
          <w:sz w:val="16"/>
          <w:szCs w:val="16"/>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pacing w:after="0" w:line="32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6" w:name="page17"/>
    <w:bookmarkEnd w:id="16"/>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WHO COUNTS THE VOTES?</w:t>
      </w:r>
    </w:p>
    <w:p>
      <w:pPr>
        <w:spacing w:after="0" w:line="128" w:lineRule="exact"/>
        <w:rPr>
          <w:sz w:val="20"/>
          <w:szCs w:val="20"/>
          <w:color w:val="auto"/>
        </w:rPr>
      </w:pPr>
    </w:p>
    <w:p>
      <w:pPr>
        <w:ind w:left="1120" w:right="939" w:firstLine="320"/>
        <w:spacing w:after="0" w:line="241" w:lineRule="auto"/>
        <w:rPr>
          <w:sz w:val="20"/>
          <w:szCs w:val="20"/>
          <w:color w:val="auto"/>
        </w:rPr>
      </w:pPr>
      <w:r>
        <w:rPr>
          <w:rFonts w:ascii="Arial" w:cs="Arial" w:eastAsia="Arial" w:hAnsi="Arial"/>
          <w:sz w:val="16"/>
          <w:szCs w:val="16"/>
          <w:color w:val="auto"/>
        </w:rPr>
        <w:t>Our Company Secretary will tabulate shareholder votes. If you are an ordinary shareholder of record, you can return your executed form of proxy to the Company Secretary, Verona Pharma plc, c/o Shakespeare Martineau LLP, 6th Floor, 60 Gracechurch Street, London, EC3V 0HR by hand or by post, or by email to ben.harber@shma.co.uk in accordance with the instructions printed thereon for tabulation (see instructions on the form of proxy).</w:t>
      </w:r>
    </w:p>
    <w:p>
      <w:pPr>
        <w:spacing w:after="0" w:line="107" w:lineRule="exact"/>
        <w:rPr>
          <w:sz w:val="20"/>
          <w:szCs w:val="20"/>
          <w:color w:val="auto"/>
        </w:rPr>
      </w:pPr>
    </w:p>
    <w:p>
      <w:pPr>
        <w:ind w:left="1120" w:right="1259" w:firstLine="320"/>
        <w:spacing w:after="0" w:line="261" w:lineRule="auto"/>
        <w:rPr>
          <w:sz w:val="20"/>
          <w:szCs w:val="20"/>
          <w:color w:val="auto"/>
        </w:rPr>
      </w:pPr>
      <w:r>
        <w:rPr>
          <w:rFonts w:ascii="Arial" w:cs="Arial" w:eastAsia="Arial" w:hAnsi="Arial"/>
          <w:sz w:val="16"/>
          <w:szCs w:val="16"/>
          <w:color w:val="auto"/>
        </w:rPr>
        <w:t>If you hold your ordinary shares through a broker, your broker will return the form of proxy to the Company Secretary.</w:t>
      </w:r>
    </w:p>
    <w:p>
      <w:pPr>
        <w:spacing w:after="0" w:line="91" w:lineRule="exact"/>
        <w:rPr>
          <w:sz w:val="20"/>
          <w:szCs w:val="20"/>
          <w:color w:val="auto"/>
        </w:rPr>
      </w:pPr>
    </w:p>
    <w:p>
      <w:pPr>
        <w:ind w:left="1120" w:right="979" w:firstLine="320"/>
        <w:spacing w:after="0" w:line="243" w:lineRule="auto"/>
        <w:rPr>
          <w:sz w:val="20"/>
          <w:szCs w:val="20"/>
          <w:color w:val="auto"/>
        </w:rPr>
      </w:pPr>
      <w:r>
        <w:rPr>
          <w:rFonts w:ascii="Arial" w:cs="Arial" w:eastAsia="Arial" w:hAnsi="Arial"/>
          <w:sz w:val="16"/>
          <w:szCs w:val="16"/>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ARE VOTES COUNTED?</w:t>
      </w:r>
    </w:p>
    <w:p>
      <w:pPr>
        <w:spacing w:after="0" w:line="128" w:lineRule="exact"/>
        <w:rPr>
          <w:sz w:val="20"/>
          <w:szCs w:val="20"/>
          <w:color w:val="auto"/>
        </w:rPr>
      </w:pPr>
    </w:p>
    <w:p>
      <w:pPr>
        <w:ind w:left="1120" w:right="999" w:firstLine="320"/>
        <w:spacing w:after="0" w:line="264" w:lineRule="auto"/>
        <w:rPr>
          <w:sz w:val="20"/>
          <w:szCs w:val="20"/>
          <w:color w:val="auto"/>
        </w:rPr>
      </w:pPr>
      <w:r>
        <w:rPr>
          <w:rFonts w:ascii="Arial" w:cs="Arial" w:eastAsia="Arial" w:hAnsi="Arial"/>
          <w:sz w:val="15"/>
          <w:szCs w:val="15"/>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92" w:lineRule="exact"/>
        <w:rPr>
          <w:sz w:val="20"/>
          <w:szCs w:val="20"/>
          <w:color w:val="auto"/>
        </w:rPr>
      </w:pPr>
    </w:p>
    <w:p>
      <w:pPr>
        <w:ind w:left="1120" w:right="1059" w:firstLine="320"/>
        <w:spacing w:after="0" w:line="261" w:lineRule="auto"/>
        <w:rPr>
          <w:sz w:val="20"/>
          <w:szCs w:val="20"/>
          <w:color w:val="auto"/>
        </w:rPr>
      </w:pPr>
      <w:r>
        <w:rPr>
          <w:rFonts w:ascii="Arial" w:cs="Arial" w:eastAsia="Arial" w:hAnsi="Arial"/>
          <w:sz w:val="15"/>
          <w:szCs w:val="15"/>
          <w:color w:val="auto"/>
        </w:rPr>
        <w:t>As described above, in accordance with the terms of the Deposit Agreement, holders of ADSs as of 5:00 p.m. Eastern Time on the ADS Record Date who do not provide the depositary bank with voting instructions on or before the ADS Voting Cut- 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MANY VOTES DO I HAVE?</w:t>
      </w:r>
    </w:p>
    <w:p>
      <w:pPr>
        <w:spacing w:after="0" w:line="140" w:lineRule="exact"/>
        <w:rPr>
          <w:sz w:val="20"/>
          <w:szCs w:val="20"/>
          <w:color w:val="auto"/>
        </w:rPr>
      </w:pPr>
    </w:p>
    <w:p>
      <w:pPr>
        <w:ind w:left="1120" w:right="1199" w:firstLine="320"/>
        <w:spacing w:after="0" w:line="261" w:lineRule="auto"/>
        <w:rPr>
          <w:sz w:val="20"/>
          <w:szCs w:val="20"/>
          <w:color w:val="auto"/>
        </w:rPr>
      </w:pPr>
      <w:r>
        <w:rPr>
          <w:rFonts w:ascii="Arial" w:cs="Arial" w:eastAsia="Arial" w:hAnsi="Arial"/>
          <w:sz w:val="16"/>
          <w:szCs w:val="16"/>
          <w:color w:val="auto"/>
        </w:rPr>
        <w:t>On a poll, each shareholder present in person or by proxy or, in the case of a corporation, by a duly authorized representative has one vote for each share held by the shareholder.</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WHAT IF I PLAN TO ATTEND THE AGM?</w:t>
      </w:r>
    </w:p>
    <w:p>
      <w:pPr>
        <w:spacing w:after="0" w:line="128" w:lineRule="exact"/>
        <w:rPr>
          <w:sz w:val="20"/>
          <w:szCs w:val="20"/>
          <w:color w:val="auto"/>
        </w:rPr>
      </w:pPr>
    </w:p>
    <w:p>
      <w:pPr>
        <w:ind w:left="1120" w:right="879" w:firstLine="320"/>
        <w:spacing w:after="0" w:line="255" w:lineRule="auto"/>
        <w:rPr>
          <w:sz w:val="20"/>
          <w:szCs w:val="20"/>
          <w:color w:val="auto"/>
        </w:rPr>
      </w:pPr>
      <w:r>
        <w:rPr>
          <w:rFonts w:ascii="Arial" w:cs="Arial" w:eastAsia="Arial" w:hAnsi="Arial"/>
          <w:sz w:val="15"/>
          <w:szCs w:val="15"/>
          <w:color w:val="auto"/>
        </w:rPr>
        <w:t>In normal circumstances, attendance at the AGM would be limited to ordinary shareholders of record as of 1:00 p.m. British Summer Time (8:00 a.m. Eastern Time) on April 23, 2021. However, as a result of restrictions on movement and gatherings imposed by the UK Government in response to the COVID-19 pandemic, ordinary shareholders will not be allowed to attend the AGM in person. Accordingly, we will hold the AGM electronically as a telephone meeting. You will be able to attend the AGM via teleconference by calling +1-888-317-6003 (for United States callers) or +1 -412- 317-6061 (for international callers) and providing conference ID 2027253, as well as your name and your affiliation (if any). We encourage you to access the AGM teleconference prior to the start time. Check-in will begin at 12:45 p.m. British Summer Time (7:45 a.m. Eastern Time), and you should allow ample time for the check-in procedures.</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WILL THERE BE A QUESTION AND ANSWER SESSION DURING THE AGM?</w:t>
      </w:r>
    </w:p>
    <w:p>
      <w:pPr>
        <w:spacing w:after="0" w:line="140" w:lineRule="exact"/>
        <w:rPr>
          <w:sz w:val="20"/>
          <w:szCs w:val="20"/>
          <w:color w:val="auto"/>
        </w:rPr>
      </w:pPr>
    </w:p>
    <w:p>
      <w:pPr>
        <w:ind w:left="1120" w:right="1019" w:firstLine="320"/>
        <w:spacing w:after="0" w:line="264" w:lineRule="auto"/>
        <w:rPr>
          <w:sz w:val="20"/>
          <w:szCs w:val="20"/>
          <w:color w:val="auto"/>
        </w:rPr>
      </w:pPr>
      <w:r>
        <w:rPr>
          <w:rFonts w:ascii="Arial" w:cs="Arial" w:eastAsia="Arial" w:hAnsi="Arial"/>
          <w:sz w:val="15"/>
          <w:szCs w:val="15"/>
          <w:color w:val="auto"/>
        </w:rPr>
        <w:t>As part of the AGM, we will hold a live Q&amp;A session, during which we intend to answer questions submitted in advance or during the meeting that are pertinent to the Company and the meeting matters, as time permits. Each shareholder is limited to no more than two questions. Questions should be succinct and only cover a single topic. We will not address questions that are, among other things:</w:t>
      </w:r>
    </w:p>
    <w:p>
      <w:pPr>
        <w:spacing w:after="0" w:line="56" w:lineRule="exact"/>
        <w:rPr>
          <w:sz w:val="20"/>
          <w:szCs w:val="20"/>
          <w:color w:val="auto"/>
        </w:rPr>
      </w:pPr>
    </w:p>
    <w:p>
      <w:pPr>
        <w:ind w:left="1600" w:hanging="160"/>
        <w:spacing w:after="0"/>
        <w:tabs>
          <w:tab w:leader="none" w:pos="1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irrelevant to the business of the Company or to the business of the AGM;</w:t>
      </w:r>
    </w:p>
    <w:p>
      <w:pPr>
        <w:spacing w:after="0" w:line="91" w:lineRule="exact"/>
        <w:rPr>
          <w:rFonts w:ascii="Arial" w:cs="Arial" w:eastAsia="Arial" w:hAnsi="Arial"/>
          <w:sz w:val="16"/>
          <w:szCs w:val="16"/>
          <w:color w:val="auto"/>
        </w:rPr>
      </w:pPr>
    </w:p>
    <w:p>
      <w:pPr>
        <w:ind w:left="1600" w:right="1239" w:hanging="160"/>
        <w:spacing w:after="0" w:line="276" w:lineRule="auto"/>
        <w:tabs>
          <w:tab w:leader="none" w:pos="1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related to material non-public information of the Company, including the status or results of our business since our last Quarterly Report on Form 10-Q;</w:t>
      </w:r>
    </w:p>
    <w:p>
      <w:pPr>
        <w:spacing w:after="0" w:line="56" w:lineRule="exact"/>
        <w:rPr>
          <w:rFonts w:ascii="Arial" w:cs="Arial" w:eastAsia="Arial" w:hAnsi="Arial"/>
          <w:sz w:val="16"/>
          <w:szCs w:val="16"/>
          <w:color w:val="auto"/>
        </w:rPr>
      </w:pPr>
    </w:p>
    <w:p>
      <w:pPr>
        <w:ind w:left="1600" w:hanging="160"/>
        <w:spacing w:after="0"/>
        <w:tabs>
          <w:tab w:leader="none" w:pos="1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related to any pending, threatened or ongoing litigation;</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related to personal grievances;</w:t>
      </w:r>
    </w:p>
    <w:p>
      <w:pPr>
        <w:spacing w:after="0" w:line="35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7" w:name="page18"/>
    <w:bookmarkEnd w:id="17"/>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0" w:hanging="160"/>
        <w:spacing w:after="0"/>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derogatory references to individuals or that are otherwise in bad taste;</w:t>
      </w:r>
    </w:p>
    <w:p>
      <w:pPr>
        <w:spacing w:after="0" w:line="91" w:lineRule="exact"/>
        <w:rPr>
          <w:rFonts w:ascii="Arial" w:cs="Arial" w:eastAsia="Arial" w:hAnsi="Arial"/>
          <w:sz w:val="16"/>
          <w:szCs w:val="16"/>
          <w:color w:val="auto"/>
        </w:rPr>
      </w:pPr>
    </w:p>
    <w:p>
      <w:pPr>
        <w:ind w:left="1600" w:hanging="160"/>
        <w:spacing w:after="0"/>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substantially repetitious of questions already made by another shareholder;</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excess of the two question limit;</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furtherance of the shareholder’s personal or business interests; or</w:t>
      </w:r>
    </w:p>
    <w:p>
      <w:pPr>
        <w:spacing w:after="0" w:line="103" w:lineRule="exact"/>
        <w:rPr>
          <w:rFonts w:ascii="Arial" w:cs="Arial" w:eastAsia="Arial" w:hAnsi="Arial"/>
          <w:sz w:val="16"/>
          <w:szCs w:val="16"/>
          <w:color w:val="auto"/>
        </w:rPr>
      </w:pPr>
    </w:p>
    <w:p>
      <w:pPr>
        <w:ind w:left="1600" w:right="979" w:hanging="160"/>
        <w:spacing w:after="0" w:line="276" w:lineRule="auto"/>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out of order or not otherwise suitable for the conduct of the AGM as determined by the Chairman in his reasonable judgment.</w:t>
      </w:r>
    </w:p>
    <w:p>
      <w:pPr>
        <w:spacing w:after="0" w:line="80" w:lineRule="exact"/>
        <w:rPr>
          <w:sz w:val="20"/>
          <w:szCs w:val="20"/>
          <w:color w:val="auto"/>
        </w:rPr>
      </w:pPr>
    </w:p>
    <w:p>
      <w:pPr>
        <w:ind w:left="1120" w:right="1199" w:firstLine="320"/>
        <w:spacing w:after="0" w:line="261" w:lineRule="auto"/>
        <w:rPr>
          <w:sz w:val="20"/>
          <w:szCs w:val="20"/>
          <w:color w:val="auto"/>
        </w:rPr>
      </w:pPr>
      <w:r>
        <w:rPr>
          <w:rFonts w:ascii="Arial" w:cs="Arial" w:eastAsia="Arial" w:hAnsi="Arial"/>
          <w:sz w:val="16"/>
          <w:szCs w:val="16"/>
          <w:color w:val="auto"/>
        </w:rPr>
        <w:t>Where it is not possible to answer any of the questions submitted prior to and during the AGM, the Company will endeavor to respond to those questions after the meeting.</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DO YOU SOLICIT PROXIES?</w:t>
      </w:r>
    </w:p>
    <w:p>
      <w:pPr>
        <w:spacing w:after="0" w:line="140" w:lineRule="exact"/>
        <w:rPr>
          <w:sz w:val="20"/>
          <w:szCs w:val="20"/>
          <w:color w:val="auto"/>
        </w:rPr>
      </w:pPr>
    </w:p>
    <w:p>
      <w:pPr>
        <w:ind w:left="1120" w:right="879" w:firstLine="320"/>
        <w:spacing w:after="0" w:line="239" w:lineRule="auto"/>
        <w:rPr>
          <w:sz w:val="20"/>
          <w:szCs w:val="20"/>
          <w:color w:val="auto"/>
        </w:rPr>
      </w:pPr>
      <w:r>
        <w:rPr>
          <w:rFonts w:ascii="Arial" w:cs="Arial" w:eastAsia="Arial" w:hAnsi="Arial"/>
          <w:sz w:val="16"/>
          <w:szCs w:val="16"/>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WHAT DO I DO IF I RECEIVE MORE THAN ONE NOTICE OR FORM OF PROXY?</w:t>
      </w:r>
    </w:p>
    <w:p>
      <w:pPr>
        <w:spacing w:after="0" w:line="140" w:lineRule="exact"/>
        <w:rPr>
          <w:sz w:val="20"/>
          <w:szCs w:val="20"/>
          <w:color w:val="auto"/>
        </w:rPr>
      </w:pPr>
    </w:p>
    <w:p>
      <w:pPr>
        <w:jc w:val="both"/>
        <w:ind w:left="1120" w:right="1059" w:firstLine="320"/>
        <w:spacing w:after="0" w:line="247" w:lineRule="auto"/>
        <w:rPr>
          <w:sz w:val="20"/>
          <w:szCs w:val="20"/>
          <w:color w:val="auto"/>
        </w:rPr>
      </w:pPr>
      <w:r>
        <w:rPr>
          <w:rFonts w:ascii="Arial" w:cs="Arial" w:eastAsia="Arial" w:hAnsi="Arial"/>
          <w:sz w:val="16"/>
          <w:szCs w:val="16"/>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WILL THERE BE ANY OTHER BUSINESS CONDUCTED AT THE AGM?</w:t>
      </w:r>
    </w:p>
    <w:p>
      <w:pPr>
        <w:spacing w:after="0" w:line="128" w:lineRule="exact"/>
        <w:rPr>
          <w:sz w:val="20"/>
          <w:szCs w:val="20"/>
          <w:color w:val="auto"/>
        </w:rPr>
      </w:pPr>
    </w:p>
    <w:p>
      <w:pPr>
        <w:jc w:val="both"/>
        <w:ind w:left="1120" w:right="959" w:firstLine="320"/>
        <w:spacing w:after="0" w:line="247" w:lineRule="auto"/>
        <w:rPr>
          <w:sz w:val="20"/>
          <w:szCs w:val="20"/>
          <w:color w:val="auto"/>
        </w:rPr>
      </w:pPr>
      <w:r>
        <w:rPr>
          <w:rFonts w:ascii="Arial" w:cs="Arial" w:eastAsia="Arial" w:hAnsi="Arial"/>
          <w:sz w:val="16"/>
          <w:szCs w:val="16"/>
          <w:color w:val="auto"/>
        </w:rPr>
        <w:t>No. In accordance with our Articles of Association, no matters other than proposals 1 through 11 may be presented at the AGM. We have not been notified of, and our Board is not aware of, any other matters to be presented for action at the AGM.</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HOW CAN I FIND OUT THE RESULTS OF THE VOTING AT THE AGM?</w:t>
      </w:r>
    </w:p>
    <w:p>
      <w:pPr>
        <w:spacing w:after="0" w:line="140" w:lineRule="exact"/>
        <w:rPr>
          <w:sz w:val="20"/>
          <w:szCs w:val="20"/>
          <w:color w:val="auto"/>
        </w:rPr>
      </w:pPr>
    </w:p>
    <w:p>
      <w:pPr>
        <w:ind w:left="1120" w:right="1119" w:firstLine="320"/>
        <w:spacing w:after="0" w:line="272" w:lineRule="auto"/>
        <w:rPr>
          <w:sz w:val="20"/>
          <w:szCs w:val="20"/>
          <w:color w:val="auto"/>
        </w:rPr>
      </w:pPr>
      <w:r>
        <w:rPr>
          <w:rFonts w:ascii="Arial" w:cs="Arial" w:eastAsia="Arial" w:hAnsi="Arial"/>
          <w:sz w:val="15"/>
          <w:szCs w:val="15"/>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Proposals to be Voted On</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1</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To re-elect David Ebsworth, Ph.D. as a Director of the Company</w:t>
      </w:r>
    </w:p>
    <w:p>
      <w:pPr>
        <w:spacing w:after="0" w:line="102" w:lineRule="exact"/>
        <w:rPr>
          <w:sz w:val="20"/>
          <w:szCs w:val="20"/>
          <w:color w:val="auto"/>
        </w:rPr>
      </w:pPr>
    </w:p>
    <w:p>
      <w:pPr>
        <w:ind w:left="1120" w:right="1039" w:firstLine="320"/>
        <w:spacing w:after="0" w:line="261" w:lineRule="auto"/>
        <w:rPr>
          <w:sz w:val="20"/>
          <w:szCs w:val="20"/>
          <w:color w:val="auto"/>
        </w:rPr>
      </w:pPr>
      <w:r>
        <w:rPr>
          <w:rFonts w:ascii="Arial" w:cs="Arial" w:eastAsia="Arial" w:hAnsi="Arial"/>
          <w:sz w:val="15"/>
          <w:szCs w:val="15"/>
          <w:color w:val="auto"/>
        </w:rPr>
        <w:t>David Ebsworth, Ph.D., 66,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Ebsworth has agreed to serve if elected, and we have no reason to believe that he will be unable to serve.</w:t>
      </w:r>
    </w:p>
    <w:p>
      <w:pPr>
        <w:spacing w:after="0" w:line="93" w:lineRule="exact"/>
        <w:rPr>
          <w:sz w:val="20"/>
          <w:szCs w:val="20"/>
          <w:color w:val="auto"/>
        </w:rPr>
      </w:pPr>
    </w:p>
    <w:p>
      <w:pPr>
        <w:ind w:left="1120" w:right="919" w:firstLine="320"/>
        <w:spacing w:after="0" w:line="238" w:lineRule="auto"/>
        <w:rPr>
          <w:sz w:val="20"/>
          <w:szCs w:val="20"/>
          <w:color w:val="auto"/>
        </w:rPr>
      </w:pPr>
      <w:r>
        <w:rPr>
          <w:rFonts w:ascii="Arial" w:cs="Arial" w:eastAsia="Arial" w:hAnsi="Arial"/>
          <w:sz w:val="16"/>
          <w:szCs w:val="16"/>
          <w:color w:val="auto"/>
        </w:rPr>
        <w:t>Dr. Ebsworth has served as the Non-Executive Chairman of our Board of directors since December 2014. Dr. Ebsworth has served as a Visiting Professor at the University of Surrey Business School since April 2016. From October 2009 to August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From 2009 to 2014, he was the Chief Executive Officer of Vifor Pharma AG, a pharmaceutical company. In his earlier career, Dr. Ebsworth worked with Bayer AG for over 19 years, heading the Canadian, North</w:t>
      </w:r>
    </w:p>
    <w:p>
      <w:pPr>
        <w:spacing w:after="0" w:line="32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06171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8" w:name="page19"/>
    <w:bookmarkEnd w:id="18"/>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39"/>
        <w:spacing w:after="0" w:line="239" w:lineRule="auto"/>
        <w:rPr>
          <w:sz w:val="20"/>
          <w:szCs w:val="20"/>
          <w:color w:val="auto"/>
        </w:rPr>
      </w:pPr>
      <w:r>
        <w:rPr>
          <w:rFonts w:ascii="Arial" w:cs="Arial" w:eastAsia="Arial" w:hAnsi="Arial"/>
          <w:sz w:val="16"/>
          <w:szCs w:val="16"/>
          <w:color w:val="auto"/>
        </w:rPr>
        <w:t>American and global pharmaceutical business. He also served as Chief Executive Officer of Oxford Glycosciences, a biotech company, listed on the London Stock Exchange and Nasdaq, which was acquired by Celltech plc (now part of UCB, a global biopharmaceutical company) in 2003. Dr. Ebsworth received a B.Sc. and a Ph.D. in industrial relations from the University of Surrey. We believe that Dr. Ebsworth’s extensive experience in the pharmaceuticals industry and his extensive leadership experience qualify him to serve on our Board of Directors.</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28"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72" w:lineRule="exact"/>
        <w:rPr>
          <w:sz w:val="20"/>
          <w:szCs w:val="20"/>
          <w:color w:val="auto"/>
        </w:rPr>
      </w:pPr>
    </w:p>
    <w:p>
      <w:pPr>
        <w:ind w:left="2280" w:right="1399"/>
        <w:spacing w:after="0" w:line="282" w:lineRule="auto"/>
        <w:rPr>
          <w:sz w:val="20"/>
          <w:szCs w:val="20"/>
          <w:color w:val="auto"/>
        </w:rPr>
      </w:pPr>
      <w:r>
        <w:rPr>
          <w:rFonts w:ascii="Arial" w:cs="Arial" w:eastAsia="Arial" w:hAnsi="Arial"/>
          <w:sz w:val="16"/>
          <w:szCs w:val="16"/>
          <w:b w:val="1"/>
          <w:bCs w:val="1"/>
          <w:color w:val="auto"/>
        </w:rPr>
        <w:t>The Board of Directors unanimously recommends a vote FOR the re-election of David Ebsworth, Ph.D.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-263525</wp:posOffset>
            </wp:positionV>
            <wp:extent cx="129540"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2</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To re-elect Martin Edwards, M.D. as a Director of the Company</w:t>
      </w:r>
    </w:p>
    <w:p>
      <w:pPr>
        <w:spacing w:after="0" w:line="102" w:lineRule="exact"/>
        <w:rPr>
          <w:sz w:val="20"/>
          <w:szCs w:val="20"/>
          <w:color w:val="auto"/>
        </w:rPr>
      </w:pPr>
    </w:p>
    <w:p>
      <w:pPr>
        <w:ind w:left="1120" w:right="879" w:firstLine="320"/>
        <w:spacing w:after="0" w:line="241" w:lineRule="auto"/>
        <w:rPr>
          <w:sz w:val="20"/>
          <w:szCs w:val="20"/>
          <w:color w:val="auto"/>
        </w:rPr>
      </w:pPr>
      <w:r>
        <w:rPr>
          <w:rFonts w:ascii="Arial" w:cs="Arial" w:eastAsia="Arial" w:hAnsi="Arial"/>
          <w:sz w:val="16"/>
          <w:szCs w:val="16"/>
          <w:color w:val="auto"/>
        </w:rPr>
        <w:t>Martin Edwards, M.D., 65,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Edwards has agreed to serve if elected, and we have no reason to believe that he will be unable to serve.</w:t>
      </w:r>
    </w:p>
    <w:p>
      <w:pPr>
        <w:spacing w:after="0" w:line="107" w:lineRule="exact"/>
        <w:rPr>
          <w:sz w:val="20"/>
          <w:szCs w:val="20"/>
          <w:color w:val="auto"/>
        </w:rPr>
      </w:pPr>
    </w:p>
    <w:p>
      <w:pPr>
        <w:ind w:left="1120" w:right="939" w:firstLine="320"/>
        <w:spacing w:after="0" w:line="255" w:lineRule="auto"/>
        <w:rPr>
          <w:sz w:val="20"/>
          <w:szCs w:val="20"/>
          <w:color w:val="auto"/>
        </w:rPr>
      </w:pPr>
      <w:r>
        <w:rPr>
          <w:rFonts w:ascii="Arial" w:cs="Arial" w:eastAsia="Arial" w:hAnsi="Arial"/>
          <w:sz w:val="15"/>
          <w:szCs w:val="15"/>
          <w:color w:val="auto"/>
        </w:rPr>
        <w:t>Dr. Edwards has served as a Non- Executive Director on our Board of Directors 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w:t>
      </w:r>
    </w:p>
    <w:p>
      <w:pPr>
        <w:ind w:left="1120" w:right="959"/>
        <w:spacing w:after="0" w:line="236" w:lineRule="auto"/>
        <w:rPr>
          <w:sz w:val="20"/>
          <w:szCs w:val="20"/>
          <w:color w:val="auto"/>
        </w:rPr>
      </w:pPr>
      <w:r>
        <w:rPr>
          <w:rFonts w:ascii="Arial" w:cs="Arial" w:eastAsia="Arial" w:hAnsi="Arial"/>
          <w:sz w:val="16"/>
          <w:szCs w:val="16"/>
          <w:color w:val="auto"/>
        </w:rPr>
        <w:t>Dr. Edwards currently serves on the boards of directors of Inozyme Pharma, KalVista Pharmaceuticals, Reata Pharmaceuticals, and Morphic Therapeutics, and previously served on the board of directors of CoLucid Pharmaceuticals from August 2014 to January 2017.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40"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The Board of Directors unanimously recommends a vote FOR the re-election of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-90805</wp:posOffset>
            </wp:positionV>
            <wp:extent cx="129540" cy="144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Edwards, M.D. as a Director of the Company</w:t>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PROPOSAL 3</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15"/>
          <w:szCs w:val="15"/>
          <w:i w:val="1"/>
          <w:iCs w:val="1"/>
          <w:color w:val="auto"/>
        </w:rPr>
        <w:t>To re-elect Sven Anders Ullman, M.D., Ph.D. (known as “Anders Ullman”) as a Director of the Company</w:t>
      </w:r>
    </w:p>
    <w:p>
      <w:pPr>
        <w:spacing w:after="0" w:line="125" w:lineRule="exact"/>
        <w:rPr>
          <w:sz w:val="20"/>
          <w:szCs w:val="20"/>
          <w:color w:val="auto"/>
        </w:rPr>
      </w:pPr>
    </w:p>
    <w:p>
      <w:pPr>
        <w:ind w:left="1120" w:right="939" w:firstLine="320"/>
        <w:spacing w:after="0" w:line="294" w:lineRule="auto"/>
        <w:rPr>
          <w:sz w:val="20"/>
          <w:szCs w:val="20"/>
          <w:color w:val="auto"/>
        </w:rPr>
      </w:pPr>
      <w:r>
        <w:rPr>
          <w:rFonts w:ascii="Arial" w:cs="Arial" w:eastAsia="Arial" w:hAnsi="Arial"/>
          <w:sz w:val="15"/>
          <w:szCs w:val="15"/>
          <w:color w:val="auto"/>
        </w:rPr>
        <w:t>Anders Ullman, M.D., Ph.D., 65, is currently a member of our Board of Directors and has been nominated for re-election as a director. If elected, he will hold office from the date of his election until such</w:t>
      </w: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19" w:name="page20"/>
    <w:bookmarkEnd w:id="19"/>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79"/>
        <w:spacing w:after="0" w:line="247" w:lineRule="auto"/>
        <w:rPr>
          <w:sz w:val="20"/>
          <w:szCs w:val="20"/>
          <w:color w:val="auto"/>
        </w:rPr>
      </w:pPr>
      <w:r>
        <w:rPr>
          <w:rFonts w:ascii="Arial" w:cs="Arial" w:eastAsia="Arial" w:hAnsi="Arial"/>
          <w:sz w:val="16"/>
          <w:szCs w:val="16"/>
          <w:color w:val="auto"/>
        </w:rPr>
        <w:t>annual general meeting of shareholders where he must retire by rotation and offer himself for re-election in accordance with the Articles, or until his earlier death, resignation or removal. Dr. Ullman has agreed to serve if elected, and we have no reason to believe that he will be unable to serve.</w:t>
      </w:r>
    </w:p>
    <w:p>
      <w:pPr>
        <w:spacing w:after="0" w:line="91" w:lineRule="exact"/>
        <w:rPr>
          <w:sz w:val="20"/>
          <w:szCs w:val="20"/>
          <w:color w:val="auto"/>
        </w:rPr>
      </w:pPr>
    </w:p>
    <w:p>
      <w:pPr>
        <w:ind w:left="1120" w:right="939" w:firstLine="320"/>
        <w:spacing w:after="0" w:line="251" w:lineRule="auto"/>
        <w:rPr>
          <w:sz w:val="20"/>
          <w:szCs w:val="20"/>
          <w:color w:val="auto"/>
        </w:rPr>
      </w:pPr>
      <w:r>
        <w:rPr>
          <w:rFonts w:ascii="Arial" w:cs="Arial" w:eastAsia="Arial" w:hAnsi="Arial"/>
          <w:sz w:val="15"/>
          <w:szCs w:val="15"/>
          <w:color w:val="auto"/>
        </w:rPr>
        <w:t>Dr. Ullman has served as a Non-Executive Director on our Board of Directors since September 2015. From September 2015 to December 2018, Dr. Ullman served as Head of the chronic obstructive pulmonary disease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served on the board of directors of Pexa AB, a company that develops and commercializes respiratory medicine technology, from January 2016 to May 2018. Dr. Ullman received a M.D. and a Ph.D. in clinical pharmacology from the University of Gothenburg. We believe that</w:t>
      </w:r>
    </w:p>
    <w:p>
      <w:pPr>
        <w:spacing w:after="0" w:line="8" w:lineRule="exact"/>
        <w:rPr>
          <w:sz w:val="20"/>
          <w:szCs w:val="20"/>
          <w:color w:val="auto"/>
        </w:rPr>
      </w:pPr>
    </w:p>
    <w:p>
      <w:pPr>
        <w:ind w:left="1120" w:right="999"/>
        <w:spacing w:after="0" w:line="242" w:lineRule="auto"/>
        <w:rPr>
          <w:sz w:val="20"/>
          <w:szCs w:val="20"/>
          <w:color w:val="auto"/>
        </w:rPr>
      </w:pPr>
      <w:r>
        <w:rPr>
          <w:rFonts w:ascii="Arial" w:cs="Arial" w:eastAsia="Arial" w:hAnsi="Arial"/>
          <w:sz w:val="16"/>
          <w:szCs w:val="16"/>
          <w:color w:val="auto"/>
        </w:rPr>
        <w:t>Dr. Ullman’s extensive experience in the healthcare and pharmaceuticals industries qualify him to serve on our Board of Directors.</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40"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The Board of Directors unanimously recommends a vote FOR the re-election of 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-90805</wp:posOffset>
            </wp:positionV>
            <wp:extent cx="129540" cy="144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Ullman, M.D., Ph.D. as a Director of the Company</w:t>
      </w:r>
    </w:p>
    <w:p>
      <w:pPr>
        <w:spacing w:after="0" w:line="2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4</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To re-elect Lisa Deschamps as a Director of the Company</w:t>
      </w:r>
    </w:p>
    <w:p>
      <w:pPr>
        <w:spacing w:after="0" w:line="114" w:lineRule="exact"/>
        <w:rPr>
          <w:sz w:val="20"/>
          <w:szCs w:val="20"/>
          <w:color w:val="auto"/>
        </w:rPr>
      </w:pPr>
    </w:p>
    <w:p>
      <w:pPr>
        <w:ind w:left="1120" w:right="999" w:firstLine="320"/>
        <w:spacing w:after="0" w:line="261" w:lineRule="auto"/>
        <w:rPr>
          <w:sz w:val="20"/>
          <w:szCs w:val="20"/>
          <w:color w:val="auto"/>
        </w:rPr>
      </w:pPr>
      <w:r>
        <w:rPr>
          <w:rFonts w:ascii="Arial" w:cs="Arial" w:eastAsia="Arial" w:hAnsi="Arial"/>
          <w:sz w:val="15"/>
          <w:szCs w:val="15"/>
          <w:color w:val="auto"/>
        </w:rPr>
        <w:t>Lisa Deschamps, 49, is currently a member of our Board of Directors and has been nominated for re-election as a director. If elected, she will hold office from the date of her election until such annual general meeting of shareholders where she must retire by rotation and offer herself for re-election in accordance with the Articles, or until her earlier death, resignation or removal. Ms. Deschamps has agreed to serve if elected, and we have no reason to believe that she will be unable to serve.</w:t>
      </w:r>
    </w:p>
    <w:p>
      <w:pPr>
        <w:spacing w:after="0" w:line="93" w:lineRule="exact"/>
        <w:rPr>
          <w:sz w:val="20"/>
          <w:szCs w:val="20"/>
          <w:color w:val="auto"/>
        </w:rPr>
      </w:pPr>
    </w:p>
    <w:p>
      <w:pPr>
        <w:ind w:left="1120" w:right="919" w:firstLine="320"/>
        <w:spacing w:after="0" w:line="256" w:lineRule="auto"/>
        <w:rPr>
          <w:sz w:val="20"/>
          <w:szCs w:val="20"/>
          <w:color w:val="auto"/>
        </w:rPr>
      </w:pPr>
      <w:r>
        <w:rPr>
          <w:rFonts w:ascii="Arial" w:cs="Arial" w:eastAsia="Arial" w:hAnsi="Arial"/>
          <w:sz w:val="15"/>
          <w:szCs w:val="15"/>
          <w:color w:val="auto"/>
        </w:rPr>
        <w:t>Lisa Deschamps has served as a Non-Executive Director on our Board of Directors since March 2021. Since December 1995, Ms. Deschamps has served in various roles at Novartis Pharmaceuticals, a global healthcare company, most recently since September 2019 as the Senior Vice President &amp; Chief Business Officer of AveXis, a biotechnology company that develops treatments for rare neurological genetic disorders, a subsidiary of Novartis and which was renamed Novartis Gene Therapies in September 2020. Lisa has an M.B.A. in General Management from NYU Stern School of Business and a B.B.A. in marketing from IONA College, Hagan School of Business. We believe that Ms. Deschamp’s extensive leadership experience in the healthcare industry qualify her to serve on our Board of Directors.</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28"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72" w:lineRule="exact"/>
        <w:rPr>
          <w:sz w:val="20"/>
          <w:szCs w:val="20"/>
          <w:color w:val="auto"/>
        </w:rPr>
      </w:pPr>
    </w:p>
    <w:p>
      <w:pPr>
        <w:ind w:left="2280" w:right="1519"/>
        <w:spacing w:after="0" w:line="282" w:lineRule="auto"/>
        <w:rPr>
          <w:sz w:val="20"/>
          <w:szCs w:val="20"/>
          <w:color w:val="auto"/>
        </w:rPr>
      </w:pPr>
      <w:r>
        <w:rPr>
          <w:rFonts w:ascii="Arial" w:cs="Arial" w:eastAsia="Arial" w:hAnsi="Arial"/>
          <w:sz w:val="16"/>
          <w:szCs w:val="16"/>
          <w:b w:val="1"/>
          <w:bCs w:val="1"/>
          <w:color w:val="auto"/>
        </w:rPr>
        <w:t>The Board of Directors unanimously recommends a vote FOR the re-election of Lisa Deschamps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-263525</wp:posOffset>
            </wp:positionV>
            <wp:extent cx="129540" cy="14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33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0" w:name="page21"/>
    <w:bookmarkEnd w:id="20"/>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Our Board of Directors</w:t>
      </w:r>
    </w:p>
    <w:p>
      <w:pPr>
        <w:spacing w:after="0" w:line="132" w:lineRule="exact"/>
        <w:rPr>
          <w:sz w:val="20"/>
          <w:szCs w:val="20"/>
          <w:color w:val="auto"/>
        </w:rPr>
      </w:pPr>
    </w:p>
    <w:p>
      <w:pPr>
        <w:ind w:left="1120" w:right="1119" w:firstLine="320"/>
        <w:spacing w:after="0" w:line="276" w:lineRule="auto"/>
        <w:rPr>
          <w:sz w:val="20"/>
          <w:szCs w:val="20"/>
          <w:color w:val="auto"/>
        </w:rPr>
      </w:pPr>
      <w:r>
        <w:rPr>
          <w:rFonts w:ascii="Arial" w:cs="Arial" w:eastAsia="Arial" w:hAnsi="Arial"/>
          <w:sz w:val="16"/>
          <w:szCs w:val="16"/>
          <w:color w:val="auto"/>
        </w:rPr>
        <w:t>Our Board of Directors currently consists of ten members, including one executive director and nine non-executive directors.</w:t>
      </w:r>
    </w:p>
    <w:p>
      <w:pPr>
        <w:spacing w:after="0" w:line="92" w:lineRule="exact"/>
        <w:rPr>
          <w:sz w:val="20"/>
          <w:szCs w:val="20"/>
          <w:color w:val="auto"/>
        </w:rPr>
      </w:pPr>
    </w:p>
    <w:p>
      <w:pPr>
        <w:ind w:left="1120" w:right="1199" w:firstLine="320"/>
        <w:spacing w:after="0" w:line="259" w:lineRule="auto"/>
        <w:rPr>
          <w:sz w:val="20"/>
          <w:szCs w:val="20"/>
          <w:color w:val="auto"/>
        </w:rPr>
      </w:pPr>
      <w:r>
        <w:rPr>
          <w:rFonts w:ascii="Arial" w:cs="Arial" w:eastAsia="Arial" w:hAnsi="Arial"/>
          <w:sz w:val="16"/>
          <w:szCs w:val="16"/>
          <w:color w:val="auto"/>
        </w:rPr>
        <w:t>Our Articles of Association require that those directors who were appointed by the Board since our 2020 annual general meeting of shareholders must retire from office and may offer themselves for re-election. Accordingly, Lisa Deschamps will retire from office and offer herself for re-election by our shareholders at the AGM.</w:t>
      </w:r>
    </w:p>
    <w:p>
      <w:pPr>
        <w:spacing w:after="0" w:line="105" w:lineRule="exact"/>
        <w:rPr>
          <w:sz w:val="20"/>
          <w:szCs w:val="20"/>
          <w:color w:val="auto"/>
        </w:rPr>
      </w:pPr>
    </w:p>
    <w:p>
      <w:pPr>
        <w:ind w:left="1120" w:right="919" w:firstLine="320"/>
        <w:spacing w:after="0" w:line="271" w:lineRule="auto"/>
        <w:rPr>
          <w:sz w:val="20"/>
          <w:szCs w:val="20"/>
          <w:color w:val="auto"/>
        </w:rPr>
      </w:pPr>
      <w:r>
        <w:rPr>
          <w:rFonts w:ascii="Arial" w:cs="Arial" w:eastAsia="Arial" w:hAnsi="Arial"/>
          <w:sz w:val="15"/>
          <w:szCs w:val="15"/>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nine directors subject to retirement by rotation, David Ebsworth, Ph.D., Martin Edwards, M.D. and Anders Ullman, M.D., Ph.D. will, on this occasion, retire from office and stand for re-election by our shareholders.</w:t>
      </w:r>
    </w:p>
    <w:p>
      <w:pPr>
        <w:spacing w:after="0" w:line="90" w:lineRule="exact"/>
        <w:rPr>
          <w:sz w:val="20"/>
          <w:szCs w:val="20"/>
          <w:color w:val="auto"/>
        </w:rPr>
      </w:pPr>
    </w:p>
    <w:p>
      <w:pPr>
        <w:ind w:left="1120" w:right="959" w:firstLine="320"/>
        <w:spacing w:after="0" w:line="255" w:lineRule="auto"/>
        <w:rPr>
          <w:sz w:val="20"/>
          <w:szCs w:val="20"/>
          <w:color w:val="auto"/>
        </w:rPr>
      </w:pPr>
      <w:r>
        <w:rPr>
          <w:rFonts w:ascii="Arial" w:cs="Arial" w:eastAsia="Arial" w:hAnsi="Arial"/>
          <w:sz w:val="16"/>
          <w:szCs w:val="16"/>
          <w:color w:val="auto"/>
        </w:rPr>
        <w:t>Having carried out an evaluation of the individual performance of each of Lisa Deschamps, David Ebsworth, Ph.D., Martin Edwards, M.D. and Anders Ullman, M.D., Ph.D.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Ms. Deschamps, Dr. Ebsworth, Dr. Edwards and Dr. Ullman to seek re-election at the AGM.</w:t>
      </w:r>
    </w:p>
    <w:p>
      <w:pPr>
        <w:spacing w:after="0" w:line="110" w:lineRule="exact"/>
        <w:rPr>
          <w:sz w:val="20"/>
          <w:szCs w:val="20"/>
          <w:color w:val="auto"/>
        </w:rPr>
      </w:pPr>
    </w:p>
    <w:p>
      <w:pPr>
        <w:ind w:left="1120" w:right="899" w:firstLine="320"/>
        <w:spacing w:after="0" w:line="259" w:lineRule="auto"/>
        <w:rPr>
          <w:sz w:val="20"/>
          <w:szCs w:val="20"/>
          <w:color w:val="auto"/>
        </w:rPr>
      </w:pPr>
      <w:r>
        <w:rPr>
          <w:rFonts w:ascii="Arial" w:cs="Arial" w:eastAsia="Arial" w:hAnsi="Arial"/>
          <w:sz w:val="16"/>
          <w:szCs w:val="16"/>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ten members, including one executive director and nine non-executive directors.</w:t>
      </w:r>
    </w:p>
    <w:p>
      <w:pPr>
        <w:spacing w:after="0" w:line="105" w:lineRule="exact"/>
        <w:rPr>
          <w:sz w:val="20"/>
          <w:szCs w:val="20"/>
          <w:color w:val="auto"/>
        </w:rPr>
      </w:pPr>
    </w:p>
    <w:p>
      <w:pPr>
        <w:jc w:val="right"/>
        <w:ind w:right="879"/>
        <w:spacing w:after="0"/>
        <w:rPr>
          <w:sz w:val="20"/>
          <w:szCs w:val="20"/>
          <w:color w:val="auto"/>
        </w:rPr>
      </w:pPr>
      <w:r>
        <w:rPr>
          <w:rFonts w:ascii="Arial" w:cs="Arial" w:eastAsia="Arial" w:hAnsi="Arial"/>
          <w:sz w:val="16"/>
          <w:szCs w:val="16"/>
          <w:color w:val="auto"/>
        </w:rPr>
        <w:t>The following table sets forth information regarding our directors as of the date of this proxy statement:</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Age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Director Since</w:t>
            </w:r>
          </w:p>
        </w:tc>
        <w:tc>
          <w:tcPr>
            <w:tcW w:w="20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Arial" w:cs="Arial" w:eastAsia="Arial" w:hAnsi="Arial"/>
                <w:sz w:val="13"/>
                <w:szCs w:val="13"/>
                <w:b w:val="1"/>
                <w:bCs w:val="1"/>
                <w:color w:val="auto"/>
                <w:w w:val="83"/>
              </w:rPr>
              <w:t>Position(s)</w:t>
            </w:r>
          </w:p>
        </w:tc>
      </w:tr>
      <w:tr>
        <w:trPr>
          <w:trHeight w:val="22"/>
        </w:trPr>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20"/>
        </w:trPr>
        <w:tc>
          <w:tcPr>
            <w:tcW w:w="2980" w:type="dxa"/>
            <w:vAlign w:val="bottom"/>
            <w:gridSpan w:val="2"/>
          </w:tcPr>
          <w:p>
            <w:pPr>
              <w:spacing w:after="0"/>
              <w:rPr>
                <w:sz w:val="20"/>
                <w:szCs w:val="20"/>
                <w:color w:val="auto"/>
              </w:rPr>
            </w:pPr>
            <w:r>
              <w:rPr>
                <w:rFonts w:ascii="Arial" w:cs="Arial" w:eastAsia="Arial" w:hAnsi="Arial"/>
                <w:sz w:val="16"/>
                <w:szCs w:val="16"/>
                <w:color w:val="auto"/>
              </w:rPr>
              <w:t>David Zaccardelli, Pharm.D.</w:t>
            </w:r>
          </w:p>
        </w:tc>
        <w:tc>
          <w:tcPr>
            <w:tcW w:w="380" w:type="dxa"/>
            <w:vAlign w:val="bottom"/>
          </w:tcPr>
          <w:p>
            <w:pPr>
              <w:ind w:left="100"/>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2020</w:t>
            </w:r>
          </w:p>
        </w:tc>
        <w:tc>
          <w:tcPr>
            <w:tcW w:w="2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Chief Executive Officer and Director</w:t>
            </w:r>
          </w:p>
        </w:tc>
      </w:tr>
      <w:tr>
        <w:trPr>
          <w:trHeight w:val="203"/>
        </w:trPr>
        <w:tc>
          <w:tcPr>
            <w:tcW w:w="2980" w:type="dxa"/>
            <w:vAlign w:val="bottom"/>
            <w:gridSpan w:val="2"/>
          </w:tcPr>
          <w:p>
            <w:pPr>
              <w:spacing w:after="0"/>
              <w:rPr>
                <w:sz w:val="20"/>
                <w:szCs w:val="20"/>
                <w:color w:val="auto"/>
              </w:rPr>
            </w:pPr>
            <w:r>
              <w:rPr>
                <w:rFonts w:ascii="Arial" w:cs="Arial" w:eastAsia="Arial" w:hAnsi="Arial"/>
                <w:sz w:val="16"/>
                <w:szCs w:val="16"/>
                <w:color w:val="auto"/>
              </w:rPr>
              <w:t>David Ebsworth, Ph.D.</w:t>
            </w:r>
          </w:p>
        </w:tc>
        <w:tc>
          <w:tcPr>
            <w:tcW w:w="380" w:type="dxa"/>
            <w:vAlign w:val="bottom"/>
          </w:tcPr>
          <w:p>
            <w:pPr>
              <w:ind w:left="100"/>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298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Non-Executive Chairman of the Board of</w:t>
            </w:r>
          </w:p>
        </w:tc>
      </w:tr>
      <w:tr>
        <w:trPr>
          <w:trHeight w:val="204"/>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6"/>
              </w:rPr>
              <w:t>Directors</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Martin Edwards, M.D.</w:t>
            </w:r>
          </w:p>
        </w:tc>
        <w:tc>
          <w:tcPr>
            <w:tcW w:w="380" w:type="dxa"/>
            <w:vAlign w:val="bottom"/>
          </w:tcPr>
          <w:p>
            <w:pPr>
              <w:ind w:left="10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28"/>
        </w:trPr>
        <w:tc>
          <w:tcPr>
            <w:tcW w:w="2980" w:type="dxa"/>
            <w:vAlign w:val="bottom"/>
            <w:gridSpan w:val="2"/>
          </w:tcPr>
          <w:p>
            <w:pPr>
              <w:spacing w:after="0"/>
              <w:rPr>
                <w:sz w:val="20"/>
                <w:szCs w:val="20"/>
                <w:color w:val="auto"/>
              </w:rPr>
            </w:pPr>
            <w:r>
              <w:rPr>
                <w:rFonts w:ascii="Arial" w:cs="Arial" w:eastAsia="Arial" w:hAnsi="Arial"/>
                <w:sz w:val="16"/>
                <w:szCs w:val="16"/>
                <w:color w:val="auto"/>
              </w:rPr>
              <w:t>Ken Cunningham, M.D.</w:t>
            </w:r>
          </w:p>
        </w:tc>
        <w:tc>
          <w:tcPr>
            <w:tcW w:w="380" w:type="dxa"/>
            <w:vAlign w:val="bottom"/>
          </w:tcPr>
          <w:p>
            <w:pPr>
              <w:ind w:left="10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2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Lisa Deschamps</w:t>
            </w:r>
          </w:p>
        </w:tc>
        <w:tc>
          <w:tcPr>
            <w:tcW w:w="380" w:type="dxa"/>
            <w:vAlign w:val="bottom"/>
          </w:tcPr>
          <w:p>
            <w:pPr>
              <w:ind w:left="10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2021</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Rishi Gupta</w:t>
            </w:r>
          </w:p>
        </w:tc>
        <w:tc>
          <w:tcPr>
            <w:tcW w:w="380" w:type="dxa"/>
            <w:vAlign w:val="bottom"/>
          </w:tcPr>
          <w:p>
            <w:pPr>
              <w:ind w:left="10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Mahendra Shah, Ph.D.</w:t>
            </w:r>
          </w:p>
        </w:tc>
        <w:tc>
          <w:tcPr>
            <w:tcW w:w="380" w:type="dxa"/>
            <w:vAlign w:val="bottom"/>
          </w:tcPr>
          <w:p>
            <w:pPr>
              <w:ind w:left="100"/>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Andrew Sinclair, Ph.D.</w:t>
            </w:r>
          </w:p>
        </w:tc>
        <w:tc>
          <w:tcPr>
            <w:tcW w:w="380" w:type="dxa"/>
            <w:vAlign w:val="bottom"/>
          </w:tcPr>
          <w:p>
            <w:pPr>
              <w:ind w:left="10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Vikas Sinha</w:t>
            </w:r>
          </w:p>
        </w:tc>
        <w:tc>
          <w:tcPr>
            <w:tcW w:w="380" w:type="dxa"/>
            <w:vAlign w:val="bottom"/>
          </w:tcPr>
          <w:p>
            <w:pPr>
              <w:ind w:left="10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r>
        <w:trPr>
          <w:trHeight w:val="240"/>
        </w:trPr>
        <w:tc>
          <w:tcPr>
            <w:tcW w:w="2980" w:type="dxa"/>
            <w:vAlign w:val="bottom"/>
            <w:gridSpan w:val="2"/>
          </w:tcPr>
          <w:p>
            <w:pPr>
              <w:spacing w:after="0"/>
              <w:rPr>
                <w:sz w:val="20"/>
                <w:szCs w:val="20"/>
                <w:color w:val="auto"/>
              </w:rPr>
            </w:pPr>
            <w:r>
              <w:rPr>
                <w:rFonts w:ascii="Arial" w:cs="Arial" w:eastAsia="Arial" w:hAnsi="Arial"/>
                <w:sz w:val="16"/>
                <w:szCs w:val="16"/>
                <w:color w:val="auto"/>
              </w:rPr>
              <w:t>Anders Ullman, M.D., Ph.D.</w:t>
            </w:r>
          </w:p>
        </w:tc>
        <w:tc>
          <w:tcPr>
            <w:tcW w:w="380" w:type="dxa"/>
            <w:vAlign w:val="bottom"/>
          </w:tcPr>
          <w:p>
            <w:pPr>
              <w:ind w:left="10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2015</w:t>
            </w:r>
          </w:p>
        </w:tc>
        <w:tc>
          <w:tcPr>
            <w:tcW w:w="2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7"/>
              </w:rPr>
              <w:t>Non-Executive Director</w:t>
            </w:r>
          </w:p>
        </w:tc>
      </w:tr>
    </w:tbl>
    <w:p>
      <w:pPr>
        <w:spacing w:after="0" w:line="13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Biographical information for Dr. David Ebsworth, Dr. Martin Edwards, Dr. Anders Ullman and</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xml:space="preserve">Ms. Lisa Deschamps, nominees to our Board of Directors, is set forth in </w:t>
      </w:r>
      <w:r>
        <w:rPr>
          <w:rFonts w:ascii="Arial" w:cs="Arial" w:eastAsia="Arial" w:hAnsi="Arial"/>
          <w:sz w:val="15"/>
          <w:szCs w:val="15"/>
          <w:i w:val="1"/>
          <w:iCs w:val="1"/>
          <w:color w:val="auto"/>
        </w:rPr>
        <w:t>“Proposal 1 — To re-elect David</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Ebsworth, Ph.D. as a Director of the Company,” “Proposal 2 — To re-elect Martin Edwards, Ph.D. as a</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Director of the Company,” “Proposal 3 — To re-elect Anders Ullman, M.D., Ph.D. as a Director of the</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5"/>
          <w:szCs w:val="15"/>
          <w:i w:val="1"/>
          <w:iCs w:val="1"/>
          <w:color w:val="auto"/>
        </w:rPr>
        <w:t xml:space="preserve">Company, “ and “Proposal 4 — To re-elect Lisa Deschamps as a Director of the Company,” </w:t>
      </w:r>
      <w:r>
        <w:rPr>
          <w:rFonts w:ascii="Arial" w:cs="Arial" w:eastAsia="Arial" w:hAnsi="Arial"/>
          <w:sz w:val="15"/>
          <w:szCs w:val="15"/>
          <w:color w:val="auto"/>
        </w:rPr>
        <w:t>respectively.</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xml:space="preserve">Biographical information for our other directors is set forth below under </w:t>
      </w:r>
      <w:r>
        <w:rPr>
          <w:rFonts w:ascii="Arial" w:cs="Arial" w:eastAsia="Arial" w:hAnsi="Arial"/>
          <w:sz w:val="15"/>
          <w:szCs w:val="15"/>
          <w:i w:val="1"/>
          <w:iCs w:val="1"/>
          <w:color w:val="auto"/>
        </w:rPr>
        <w:t>“Continuing Members of the Board</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of Directors</w:t>
      </w:r>
      <w:r>
        <w:rPr>
          <w:rFonts w:ascii="Arial" w:cs="Arial" w:eastAsia="Arial" w:hAnsi="Arial"/>
          <w:sz w:val="16"/>
          <w:szCs w:val="16"/>
          <w:color w:val="auto"/>
        </w:rPr>
        <w:t>.”</w:t>
      </w:r>
    </w:p>
    <w:p>
      <w:pPr>
        <w:spacing w:after="0" w:line="35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1" w:name="page22"/>
    <w:bookmarkEnd w:id="21"/>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CONTINUING MEMBERS OF THE BOARD OF DIRECTORS</w:t>
      </w:r>
    </w:p>
    <w:p>
      <w:pPr>
        <w:spacing w:after="0" w:line="128" w:lineRule="exact"/>
        <w:rPr>
          <w:sz w:val="20"/>
          <w:szCs w:val="20"/>
          <w:color w:val="auto"/>
        </w:rPr>
      </w:pPr>
    </w:p>
    <w:p>
      <w:pPr>
        <w:ind w:left="1120" w:right="959" w:firstLine="320"/>
        <w:spacing w:after="0" w:line="261" w:lineRule="auto"/>
        <w:rPr>
          <w:sz w:val="20"/>
          <w:szCs w:val="20"/>
          <w:color w:val="auto"/>
        </w:rPr>
      </w:pPr>
      <w:r>
        <w:rPr>
          <w:rFonts w:ascii="Arial" w:cs="Arial" w:eastAsia="Arial" w:hAnsi="Arial"/>
          <w:sz w:val="16"/>
          <w:szCs w:val="16"/>
          <w:color w:val="auto"/>
        </w:rPr>
        <w:t>Below is biographical information for those directors who are not standing for re-election at AGM and who will continue on the Board of Directors following the AGM:</w:t>
      </w:r>
    </w:p>
    <w:p>
      <w:pPr>
        <w:spacing w:after="0" w:line="91" w:lineRule="exact"/>
        <w:rPr>
          <w:sz w:val="20"/>
          <w:szCs w:val="20"/>
          <w:color w:val="auto"/>
        </w:rPr>
      </w:pPr>
    </w:p>
    <w:p>
      <w:pPr>
        <w:ind w:left="1120" w:right="899" w:firstLine="320"/>
        <w:spacing w:after="0" w:line="251" w:lineRule="auto"/>
        <w:rPr>
          <w:sz w:val="20"/>
          <w:szCs w:val="20"/>
          <w:color w:val="auto"/>
        </w:rPr>
      </w:pPr>
      <w:r>
        <w:rPr>
          <w:rFonts w:ascii="Arial" w:cs="Arial" w:eastAsia="Arial" w:hAnsi="Arial"/>
          <w:sz w:val="15"/>
          <w:szCs w:val="15"/>
          <w:b w:val="1"/>
          <w:bCs w:val="1"/>
          <w:i w:val="1"/>
          <w:iCs w:val="1"/>
          <w:color w:val="auto"/>
        </w:rPr>
        <w:t xml:space="preserve">David Zaccardelli, Pharm.D. </w:t>
      </w:r>
      <w:r>
        <w:rPr>
          <w:rFonts w:ascii="Arial" w:cs="Arial" w:eastAsia="Arial" w:hAnsi="Arial"/>
          <w:sz w:val="15"/>
          <w:szCs w:val="15"/>
          <w:color w:val="auto"/>
        </w:rPr>
        <w:t>Dr. Zaccardelli has served as our President and Chief Executive Officer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our Board of Directors since February 2020. From December 2018 until its acquisition by Swedish Orphan Biovitrum in November 2019, Dr. Zaccardelli served as President and CEO of Dova Pharmaceuticals, a U.S. company developing therapeutics for rare diseases. Previously, he was Acting CEO of Cempra Pharmaceuticals, a pharmaceuticals company, from December 2016 until the company’s merger with Melinta Therapeutics in November 2017.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spacing w:after="0" w:line="7" w:lineRule="exact"/>
        <w:rPr>
          <w:sz w:val="20"/>
          <w:szCs w:val="20"/>
          <w:color w:val="auto"/>
        </w:rPr>
      </w:pPr>
    </w:p>
    <w:p>
      <w:pPr>
        <w:ind w:left="1120" w:right="919"/>
        <w:spacing w:after="0" w:line="242" w:lineRule="auto"/>
        <w:rPr>
          <w:sz w:val="20"/>
          <w:szCs w:val="20"/>
          <w:color w:val="auto"/>
        </w:rPr>
      </w:pPr>
      <w:r>
        <w:rPr>
          <w:rFonts w:ascii="Arial" w:cs="Arial" w:eastAsia="Arial" w:hAnsi="Arial"/>
          <w:sz w:val="16"/>
          <w:szCs w:val="16"/>
          <w:color w:val="auto"/>
        </w:rPr>
        <w:t>Dr. Zaccardelli’s extensive leadership experience in the pharmaceutical industry qualify him to serve on our Board of Directors.</w:t>
      </w:r>
    </w:p>
    <w:p>
      <w:pPr>
        <w:spacing w:after="0" w:line="106" w:lineRule="exact"/>
        <w:rPr>
          <w:sz w:val="20"/>
          <w:szCs w:val="20"/>
          <w:color w:val="auto"/>
        </w:rPr>
      </w:pPr>
    </w:p>
    <w:p>
      <w:pPr>
        <w:jc w:val="both"/>
        <w:ind w:left="1120" w:right="1299" w:firstLine="320"/>
        <w:spacing w:after="0" w:line="256" w:lineRule="auto"/>
        <w:rPr>
          <w:sz w:val="20"/>
          <w:szCs w:val="20"/>
          <w:color w:val="auto"/>
        </w:rPr>
      </w:pPr>
      <w:r>
        <w:rPr>
          <w:rFonts w:ascii="Arial" w:cs="Arial" w:eastAsia="Arial" w:hAnsi="Arial"/>
          <w:sz w:val="15"/>
          <w:szCs w:val="15"/>
          <w:b w:val="1"/>
          <w:bCs w:val="1"/>
          <w:i w:val="1"/>
          <w:iCs w:val="1"/>
          <w:color w:val="auto"/>
        </w:rPr>
        <w:t xml:space="preserve">Ken Cunningham, M.D. </w:t>
      </w:r>
      <w:r>
        <w:rPr>
          <w:rFonts w:ascii="Arial" w:cs="Arial" w:eastAsia="Arial" w:hAnsi="Arial"/>
          <w:sz w:val="15"/>
          <w:szCs w:val="15"/>
          <w:color w:val="auto"/>
        </w:rPr>
        <w:t>Dr. Cunningham has served as a Non-Executive Director on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since September 2015. Dr. Cunningham has over 30 years’ experience in the pharmaceutical industry including leadership roles at several companies focused on developing respiratory medicines.</w:t>
      </w:r>
    </w:p>
    <w:p>
      <w:pPr>
        <w:spacing w:after="0" w:line="1" w:lineRule="exact"/>
        <w:rPr>
          <w:sz w:val="20"/>
          <w:szCs w:val="20"/>
          <w:color w:val="auto"/>
        </w:rPr>
      </w:pPr>
    </w:p>
    <w:p>
      <w:pPr>
        <w:ind w:left="1120" w:right="879"/>
        <w:spacing w:after="0" w:line="250" w:lineRule="auto"/>
        <w:rPr>
          <w:sz w:val="20"/>
          <w:szCs w:val="20"/>
          <w:color w:val="auto"/>
        </w:rPr>
      </w:pPr>
      <w:r>
        <w:rPr>
          <w:rFonts w:ascii="Arial" w:cs="Arial" w:eastAsia="Arial" w:hAnsi="Arial"/>
          <w:sz w:val="15"/>
          <w:szCs w:val="15"/>
          <w:color w:val="auto"/>
        </w:rPr>
        <w:t>Between 2006 and 2010, he was at SkyePharma plc, a pharmaceutical company that is now part of Vectura Group plc, initially as Chief Operating Officer and subsequently as Chief Executive Officer where he was involved in the late-stage development of flutiform for asthma. Prior to that, he was the Chief Executive Officer of Arakis Ltd., a pharmaceutical company, from 2001 to 2005, where he was involved in the early clinical development of glcopyrronium bromide, now marketed as Seebri for chronic obstructive pulmonary disease Earlier in his career, Dr. Cunningham held a variety of clinical development and commercial strategy roles at pharmaceutical companies GlaxoWellcome plc and Warner-Lambert. Dr. Cunningham currently serves as the non-executive chairman of the board of directors of Medherant Ltd. He also serves as</w:t>
      </w:r>
    </w:p>
    <w:p>
      <w:pPr>
        <w:spacing w:after="0" w:line="1" w:lineRule="exact"/>
        <w:rPr>
          <w:sz w:val="20"/>
          <w:szCs w:val="20"/>
          <w:color w:val="auto"/>
        </w:rPr>
      </w:pPr>
    </w:p>
    <w:p>
      <w:pPr>
        <w:ind w:left="1120" w:right="1219"/>
        <w:spacing w:after="0" w:line="256" w:lineRule="auto"/>
        <w:tabs>
          <w:tab w:leader="none" w:pos="1237" w:val="left"/>
        </w:tabs>
        <w:numPr>
          <w:ilvl w:val="0"/>
          <w:numId w:val="17"/>
        </w:numPr>
        <w:rPr>
          <w:rFonts w:ascii="Arial" w:cs="Arial" w:eastAsia="Arial" w:hAnsi="Arial"/>
          <w:sz w:val="15"/>
          <w:szCs w:val="15"/>
          <w:color w:val="auto"/>
        </w:rPr>
      </w:pPr>
      <w:r>
        <w:rPr>
          <w:rFonts w:ascii="Arial" w:cs="Arial" w:eastAsia="Arial" w:hAnsi="Arial"/>
          <w:sz w:val="15"/>
          <w:szCs w:val="15"/>
          <w:color w:val="auto"/>
        </w:rPr>
        <w:t>non-executive director of Abzena Holdings (US) LLC, of which he was non-executive chairman from October 2018 to January 2021, and also previously served on the board of directors of Abzena plc from June 2010 to October 2018. Dr. Cunningham received an M.B.B.S. from St. Mary’s, Imperial College, London University. We believe that Dr. Cunningham’s extensive leadership experience in the pharmaceutical industry qualifies him to serve on our Board of Directors.</w:t>
      </w:r>
    </w:p>
    <w:p>
      <w:pPr>
        <w:spacing w:after="0" w:line="81" w:lineRule="exact"/>
        <w:rPr>
          <w:sz w:val="20"/>
          <w:szCs w:val="20"/>
          <w:color w:val="auto"/>
        </w:rPr>
      </w:pPr>
    </w:p>
    <w:p>
      <w:pPr>
        <w:ind w:left="1120" w:right="879" w:firstLine="320"/>
        <w:spacing w:after="0" w:line="237" w:lineRule="auto"/>
        <w:rPr>
          <w:sz w:val="20"/>
          <w:szCs w:val="20"/>
          <w:color w:val="auto"/>
        </w:rPr>
      </w:pPr>
      <w:r>
        <w:rPr>
          <w:rFonts w:ascii="Arial" w:cs="Arial" w:eastAsia="Arial" w:hAnsi="Arial"/>
          <w:sz w:val="16"/>
          <w:szCs w:val="16"/>
          <w:b w:val="1"/>
          <w:bCs w:val="1"/>
          <w:i w:val="1"/>
          <w:iCs w:val="1"/>
          <w:color w:val="auto"/>
        </w:rPr>
        <w:t>Rishi Gupta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Gupta has served as a Non-Executive Director on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2016. Mr. Gupta was designated for appointment to our Board of Directors by OrbiMed Private Investments VI, LP, or OrbiMed, pursuant to our relationship agreement with OrbiMed. Although such agreement automatically terminated in connection with our delisting from AIM, Mr. Gupta continues to serve as a Non-Executive Director. Since 2002, Mr. Gupta has held various positions at OrbiMed Advisors LLC, an investment firm, where he is currently a Partner. Prior to OrbiMed Advisors LLC, Mr. Gupta was a healthcare investment banker at Raymond James &amp; Associates, served as manager of corporate development at Veritas Medicine, and was a summer associate at Wachtell, Lipton, Rosen &amp; Katz. Mr. Gupta previously served on the board of directors of Dimension Therapeutics, Inc. and currently serves on the boards of directors of several private companies. Mr. Gupta received an A.B. in biochemical sciences from Harvard College and a J.D. from Yale Law School. We believe Mr. Gupta’s experience in the medical technology field and his experience serving on the boards of public and private companies qualify him to serve on our Board of Directors.</w:t>
      </w:r>
    </w:p>
    <w:p>
      <w:pPr>
        <w:spacing w:after="0" w:line="111" w:lineRule="exact"/>
        <w:rPr>
          <w:sz w:val="20"/>
          <w:szCs w:val="20"/>
          <w:color w:val="auto"/>
        </w:rPr>
      </w:pPr>
    </w:p>
    <w:p>
      <w:pPr>
        <w:ind w:left="1120" w:right="879" w:firstLine="320"/>
        <w:spacing w:after="0" w:line="257" w:lineRule="auto"/>
        <w:rPr>
          <w:sz w:val="20"/>
          <w:szCs w:val="20"/>
          <w:color w:val="auto"/>
        </w:rPr>
      </w:pPr>
      <w:r>
        <w:rPr>
          <w:rFonts w:ascii="Arial" w:cs="Arial" w:eastAsia="Arial" w:hAnsi="Arial"/>
          <w:sz w:val="15"/>
          <w:szCs w:val="15"/>
          <w:b w:val="1"/>
          <w:bCs w:val="1"/>
          <w:i w:val="1"/>
          <w:iCs w:val="1"/>
          <w:color w:val="auto"/>
        </w:rPr>
        <w:t xml:space="preserve">Mahendra Shah, Ph.D. </w:t>
      </w:r>
      <w:r>
        <w:rPr>
          <w:rFonts w:ascii="Arial" w:cs="Arial" w:eastAsia="Arial" w:hAnsi="Arial"/>
          <w:sz w:val="15"/>
          <w:szCs w:val="15"/>
          <w:color w:val="auto"/>
        </w:rPr>
        <w:t>Dr. Shah has served as a Non-Executive Director on our Board of Directors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July 2016. Dr. Shah was designated for appointment to our Board of Directors by funds affiliated with Vivo Capital, a healthcare investment firm, pursuant to a relationship agreement that we entered into with such funds in June 2016. Although such agreement automatically terminated on the closing of the 2020 Private Placement, Dr. Shah continues to serve as a Non-Executive Director. Dr. Shah has served as a Senior Fellow of Vivo Capital since January 2021, where he previously served as Managing Director from March 2010 to January 2021. He previously served as a member of the board of directors of Homology</w:t>
      </w:r>
    </w:p>
    <w:p>
      <w:pPr>
        <w:spacing w:after="0" w:line="31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2" w:name="page23"/>
    <w:bookmarkEnd w:id="22"/>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1059"/>
        <w:spacing w:after="0" w:line="259" w:lineRule="auto"/>
        <w:rPr>
          <w:sz w:val="20"/>
          <w:szCs w:val="20"/>
          <w:color w:val="auto"/>
        </w:rPr>
      </w:pPr>
      <w:r>
        <w:rPr>
          <w:rFonts w:ascii="Arial" w:cs="Arial" w:eastAsia="Arial" w:hAnsi="Arial"/>
          <w:sz w:val="15"/>
          <w:szCs w:val="15"/>
          <w:color w:val="auto"/>
        </w:rPr>
        <w:t>Medicines, Soleno Therapeutics, and Crinetics Pharmaceuticals, and currently serves as a member of the boards of directors of several private companies in the biopharmaceutical and biotechnology industries. Dr. Shah received his Ph.D. in industrial pharmacy from St. John’s University and his Bachelor’s and Master’s Degrees in Pharmacy from L.M. College of Pharmacy in Gujarat, India. We believe Dr. Shah’s experience in the biomedical and pharmaceutical industries and his experience in serving on the boards of public and private companies qualify him to serve on our Board of Directors.</w:t>
      </w:r>
    </w:p>
    <w:p>
      <w:pPr>
        <w:spacing w:after="0" w:line="82" w:lineRule="exact"/>
        <w:rPr>
          <w:sz w:val="20"/>
          <w:szCs w:val="20"/>
          <w:color w:val="auto"/>
        </w:rPr>
      </w:pPr>
    </w:p>
    <w:p>
      <w:pPr>
        <w:ind w:left="1120" w:right="899" w:firstLine="320"/>
        <w:spacing w:after="0" w:line="252" w:lineRule="auto"/>
        <w:rPr>
          <w:sz w:val="20"/>
          <w:szCs w:val="20"/>
          <w:color w:val="auto"/>
        </w:rPr>
      </w:pPr>
      <w:r>
        <w:rPr>
          <w:rFonts w:ascii="Arial" w:cs="Arial" w:eastAsia="Arial" w:hAnsi="Arial"/>
          <w:sz w:val="15"/>
          <w:szCs w:val="15"/>
          <w:b w:val="1"/>
          <w:bCs w:val="1"/>
          <w:i w:val="1"/>
          <w:iCs w:val="1"/>
          <w:color w:val="auto"/>
        </w:rPr>
        <w:t xml:space="preserve">Andrew Sinclair, Ph.D. </w:t>
      </w:r>
      <w:r>
        <w:rPr>
          <w:rFonts w:ascii="Arial" w:cs="Arial" w:eastAsia="Arial" w:hAnsi="Arial"/>
          <w:sz w:val="15"/>
          <w:szCs w:val="15"/>
          <w:color w:val="auto"/>
        </w:rPr>
        <w:t>Dr. Sinclair has served as a Non-Executive Director on our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July 2016. Dr. Sinclair was designated for appointment to our Board of Directors by Abingworth Bioventures VI, LP, or Abingworth, pursuant to a relationship agreement that we entered into with Abingworth in June 2016. Although such agreement automatically terminated on the closing of the 2020 Private Placement, Dr. Sinclair continues to serve as a Non-Executive Director. Since 2008, Dr. Sinclair has held various positions at Abingworth LLP, a life sciences investment group, where he is currently a Partner and Portfolio Manager, a role he has held since December 2015. He has served as a member of the boards of directors of Soleno Therapeutics since December 2018 and Sierra Therapeutics since November 2019.</w:t>
      </w:r>
    </w:p>
    <w:p>
      <w:pPr>
        <w:spacing w:after="0" w:line="4" w:lineRule="exact"/>
        <w:rPr>
          <w:sz w:val="20"/>
          <w:szCs w:val="20"/>
          <w:color w:val="auto"/>
        </w:rPr>
      </w:pPr>
    </w:p>
    <w:p>
      <w:pPr>
        <w:ind w:left="1120" w:right="879"/>
        <w:spacing w:after="0" w:line="258" w:lineRule="auto"/>
        <w:rPr>
          <w:sz w:val="20"/>
          <w:szCs w:val="20"/>
          <w:color w:val="auto"/>
        </w:rPr>
      </w:pPr>
      <w:r>
        <w:rPr>
          <w:rFonts w:ascii="Arial" w:cs="Arial" w:eastAsia="Arial" w:hAnsi="Arial"/>
          <w:sz w:val="15"/>
          <w:szCs w:val="15"/>
          <w:color w:val="auto"/>
        </w:rPr>
        <w:t>Dr. Sinclair is a member of the Institute of Chartered Accountants in England and Wales and received a Ph.D. in chemistry and genetic engineering at the BBSRC Institute of Plant Science, Norwich, and a B.Sc. in microbiology from King’s College London. We believe Dr. Sinclair’s experience as a finance professional in the biomedical and pharmaceutical industries qualify him to serve on our Board of Directors.</w:t>
      </w:r>
    </w:p>
    <w:p>
      <w:pPr>
        <w:spacing w:after="0" w:line="95" w:lineRule="exact"/>
        <w:rPr>
          <w:sz w:val="20"/>
          <w:szCs w:val="20"/>
          <w:color w:val="auto"/>
        </w:rPr>
      </w:pPr>
    </w:p>
    <w:p>
      <w:pPr>
        <w:ind w:left="1120" w:right="879" w:firstLine="320"/>
        <w:spacing w:after="0" w:line="253" w:lineRule="auto"/>
        <w:rPr>
          <w:sz w:val="20"/>
          <w:szCs w:val="20"/>
          <w:color w:val="auto"/>
        </w:rPr>
      </w:pPr>
      <w:r>
        <w:rPr>
          <w:rFonts w:ascii="Arial" w:cs="Arial" w:eastAsia="Arial" w:hAnsi="Arial"/>
          <w:sz w:val="15"/>
          <w:szCs w:val="15"/>
          <w:b w:val="1"/>
          <w:bCs w:val="1"/>
          <w:i w:val="1"/>
          <w:iCs w:val="1"/>
          <w:color w:val="auto"/>
        </w:rPr>
        <w:t xml:space="preserve">Vikas Sinha. </w:t>
      </w:r>
      <w:r>
        <w:rPr>
          <w:rFonts w:ascii="Arial" w:cs="Arial" w:eastAsia="Arial" w:hAnsi="Arial"/>
          <w:sz w:val="15"/>
          <w:szCs w:val="15"/>
          <w:color w:val="auto"/>
        </w:rPr>
        <w:t>Mr. Sinha has served as a Non-Executive Director on our Board of Directors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2016. Mr. Sinha has over 20 years’ experience working in executive finance roles in the life sciences industry. Mr. Sinha is co-founder and has served as the Chief Financial Officer of ElevateBio, Inc., a holding company focused on building cell and gene therapy companies, since February 2018. He has served as President and Chief Financial Officer of AlloVir, Inc., an ElevateBio portfolio company, from September 2018. From September 2005 to December 2016, Mr. Sinha was the Chief Financial Officer of Alexion Pharmaceuticals, Inc., a biotechnology company, where he was responsible for finance, business development, strategy, investor relations and IT. Prior to joining Alexion, Mr. Sinha held various positions with Bayer AG, a pharmaceuticals company, in the United States, Japan, Germany and Canada, including Vice President and Chief Financial Officer of Bayer Pharmaceuticals Corporation in the United States and Vice President and Chief Financial Officer of Bayer Yakuhin Ltd. In Japan. He currently serves as a member of the board of directors of Allovir and BCLS Acquisition Corp. Mr. Sinha holds a Bachelor of Commerce degree from Tribhuvan University and an M.B.A. from the Asian Institute of Management. He is also a qualified Chartered Accountant from the Institute of Chartered Accountants of India and a Certified Public Accountant in the United States. We believe Mr. Sinha’s experience as a finance professional in the life science industry qualifies him to serve on our Board of Directors.</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5</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To receive and adopt the 2020 U.K. Annual Report</w:t>
      </w:r>
    </w:p>
    <w:p>
      <w:pPr>
        <w:spacing w:after="0" w:line="90" w:lineRule="exact"/>
        <w:rPr>
          <w:sz w:val="20"/>
          <w:szCs w:val="20"/>
          <w:color w:val="auto"/>
        </w:rPr>
      </w:pPr>
    </w:p>
    <w:p>
      <w:pPr>
        <w:ind w:left="1120" w:right="1139" w:firstLine="320"/>
        <w:spacing w:after="0" w:line="247" w:lineRule="auto"/>
        <w:rPr>
          <w:sz w:val="20"/>
          <w:szCs w:val="20"/>
          <w:color w:val="auto"/>
        </w:rPr>
      </w:pPr>
      <w:r>
        <w:rPr>
          <w:rFonts w:ascii="Arial" w:cs="Arial" w:eastAsia="Arial" w:hAnsi="Arial"/>
          <w:sz w:val="16"/>
          <w:szCs w:val="16"/>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pacing w:after="0" w:line="103" w:lineRule="exact"/>
        <w:rPr>
          <w:sz w:val="20"/>
          <w:szCs w:val="20"/>
          <w:color w:val="auto"/>
        </w:rPr>
      </w:pPr>
    </w:p>
    <w:p>
      <w:pPr>
        <w:ind w:left="1120" w:right="879" w:firstLine="320"/>
        <w:spacing w:after="0" w:line="243" w:lineRule="auto"/>
        <w:rPr>
          <w:sz w:val="20"/>
          <w:szCs w:val="20"/>
          <w:color w:val="auto"/>
        </w:rPr>
      </w:pPr>
      <w:r>
        <w:rPr>
          <w:rFonts w:ascii="Arial" w:cs="Arial" w:eastAsia="Arial" w:hAnsi="Arial"/>
          <w:sz w:val="16"/>
          <w:szCs w:val="16"/>
          <w:color w:val="auto"/>
        </w:rPr>
        <w:t>At the AGM, our Board of Directors will present our U.K. statutory annual accounts and Directors’ reports for the year ended December 31, 2020 and the report of the auditors thereon (the “2020 U.K. Annual Report”) . We will provide our shareholders with an opportunity to receive our 2020 U.K. Annual Report and to adopt it.</w:t>
      </w:r>
    </w:p>
    <w:p>
      <w:pPr>
        <w:spacing w:after="0" w:line="106" w:lineRule="exact"/>
        <w:rPr>
          <w:sz w:val="20"/>
          <w:szCs w:val="20"/>
          <w:color w:val="auto"/>
        </w:rPr>
      </w:pPr>
    </w:p>
    <w:p>
      <w:pPr>
        <w:ind w:left="1120" w:right="899" w:firstLine="320"/>
        <w:spacing w:after="0" w:line="261" w:lineRule="auto"/>
        <w:rPr>
          <w:sz w:val="20"/>
          <w:szCs w:val="20"/>
          <w:color w:val="auto"/>
        </w:rPr>
      </w:pPr>
      <w:r>
        <w:rPr>
          <w:rFonts w:ascii="Arial" w:cs="Arial" w:eastAsia="Arial" w:hAnsi="Arial"/>
          <w:sz w:val="16"/>
          <w:szCs w:val="16"/>
          <w:color w:val="auto"/>
        </w:rPr>
        <w:t>In accordance with best practice, the Company proposes an ordinary resolution to receive and adopt the 2020 U.K. Annual Report.</w:t>
      </w:r>
    </w:p>
    <w:p>
      <w:pPr>
        <w:spacing w:after="0" w:line="79" w:lineRule="exact"/>
        <w:rPr>
          <w:sz w:val="20"/>
          <w:szCs w:val="20"/>
          <w:color w:val="auto"/>
        </w:rPr>
      </w:pPr>
    </w:p>
    <w:p>
      <w:pPr>
        <w:ind w:left="1120" w:right="1019" w:firstLine="320"/>
        <w:spacing w:after="0" w:line="261" w:lineRule="auto"/>
        <w:rPr>
          <w:sz w:val="20"/>
          <w:szCs w:val="20"/>
          <w:color w:val="auto"/>
        </w:rPr>
      </w:pPr>
      <w:r>
        <w:rPr>
          <w:rFonts w:ascii="Arial" w:cs="Arial" w:eastAsia="Arial" w:hAnsi="Arial"/>
          <w:sz w:val="16"/>
          <w:szCs w:val="16"/>
          <w:color w:val="auto"/>
        </w:rPr>
        <w:t xml:space="preserve">The 2020 U.K. Annual Report is appended as Annex A to this proxy statement and may also be found on our investor relations website located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16"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3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3" w:name="page24"/>
    <w:bookmarkEnd w:id="23"/>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right="939"/>
        <w:spacing w:after="0" w:line="282" w:lineRule="auto"/>
        <w:rPr>
          <w:sz w:val="20"/>
          <w:szCs w:val="20"/>
          <w:color w:val="auto"/>
        </w:rPr>
      </w:pPr>
      <w:r>
        <w:rPr>
          <w:rFonts w:ascii="Arial" w:cs="Arial" w:eastAsia="Arial" w:hAnsi="Arial"/>
          <w:sz w:val="16"/>
          <w:szCs w:val="16"/>
          <w:b w:val="1"/>
          <w:bCs w:val="1"/>
          <w:color w:val="auto"/>
        </w:rPr>
        <w:t>The Board of Directors unanimously recommends a vote FOR the receipt and adoption of the 2020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-263525</wp:posOffset>
            </wp:positionV>
            <wp:extent cx="129540" cy="144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6</w:t>
      </w:r>
    </w:p>
    <w:p>
      <w:pPr>
        <w:spacing w:after="0" w:line="10" w:lineRule="exact"/>
        <w:rPr>
          <w:sz w:val="20"/>
          <w:szCs w:val="20"/>
          <w:color w:val="auto"/>
        </w:rPr>
      </w:pPr>
    </w:p>
    <w:p>
      <w:pPr>
        <w:ind w:left="1120" w:right="1039"/>
        <w:spacing w:after="0" w:line="242" w:lineRule="auto"/>
        <w:rPr>
          <w:sz w:val="20"/>
          <w:szCs w:val="20"/>
          <w:color w:val="auto"/>
        </w:rPr>
      </w:pPr>
      <w:r>
        <w:rPr>
          <w:rFonts w:ascii="Arial" w:cs="Arial" w:eastAsia="Arial" w:hAnsi="Arial"/>
          <w:sz w:val="16"/>
          <w:szCs w:val="16"/>
          <w:i w:val="1"/>
          <w:iCs w:val="1"/>
          <w:color w:val="auto"/>
        </w:rPr>
        <w:t>To receive and approve, as a non-binding advisory resolution, the U.K. statutory Directors’ Remuneration Report</w:t>
      </w:r>
    </w:p>
    <w:p>
      <w:pPr>
        <w:spacing w:after="0" w:line="94" w:lineRule="exact"/>
        <w:rPr>
          <w:sz w:val="20"/>
          <w:szCs w:val="20"/>
          <w:color w:val="auto"/>
        </w:rPr>
      </w:pPr>
    </w:p>
    <w:p>
      <w:pPr>
        <w:ind w:left="1120" w:right="959" w:firstLine="320"/>
        <w:spacing w:after="0" w:line="255" w:lineRule="auto"/>
        <w:rPr>
          <w:sz w:val="20"/>
          <w:szCs w:val="20"/>
          <w:color w:val="auto"/>
        </w:rPr>
      </w:pPr>
      <w:r>
        <w:rPr>
          <w:rFonts w:ascii="Arial" w:cs="Arial" w:eastAsia="Arial" w:hAnsi="Arial"/>
          <w:sz w:val="15"/>
          <w:szCs w:val="15"/>
          <w:color w:val="auto"/>
        </w:rPr>
        <w:t>At the AGM, our Board of Directors will present our U.K. statutory Directors’ Remuneration Report for the year ended December 31, 2020, as set out on pages 28 to 46 of the 2020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 quality directors. Our Board of Directors has approved and signed the report in accordance with English law.</w:t>
      </w:r>
    </w:p>
    <w:p>
      <w:pPr>
        <w:spacing w:after="0" w:line="97" w:lineRule="exact"/>
        <w:rPr>
          <w:sz w:val="20"/>
          <w:szCs w:val="20"/>
          <w:color w:val="auto"/>
        </w:rPr>
      </w:pPr>
    </w:p>
    <w:p>
      <w:pPr>
        <w:ind w:left="1120" w:right="959" w:firstLine="320"/>
        <w:spacing w:after="0" w:line="241" w:lineRule="auto"/>
        <w:rPr>
          <w:sz w:val="20"/>
          <w:szCs w:val="20"/>
          <w:color w:val="auto"/>
        </w:rPr>
      </w:pPr>
      <w:r>
        <w:rPr>
          <w:rFonts w:ascii="Arial" w:cs="Arial" w:eastAsia="Arial" w:hAnsi="Arial"/>
          <w:sz w:val="16"/>
          <w:szCs w:val="16"/>
          <w:color w:val="auto"/>
        </w:rPr>
        <w:t>At the AGM, the shareholders will vote on the Director’s Remuneration Report. This vote is advisory and non-binding. Although non-binding, our Board of Directors and Remuneration Committee will review 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40"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right="999"/>
        <w:spacing w:after="0" w:line="356" w:lineRule="auto"/>
        <w:rPr>
          <w:sz w:val="20"/>
          <w:szCs w:val="20"/>
          <w:color w:val="auto"/>
        </w:rPr>
      </w:pPr>
      <w:r>
        <w:rPr>
          <w:rFonts w:ascii="Arial" w:cs="Arial" w:eastAsia="Arial" w:hAnsi="Arial"/>
          <w:sz w:val="14"/>
          <w:szCs w:val="14"/>
          <w:b w:val="1"/>
          <w:bCs w:val="1"/>
          <w:color w:val="auto"/>
        </w:rPr>
        <w:t>The Board of Directors unanimously recommends a vote FOR the receipt and approval, as a non-binding advisory resolution, of the U.K. statutory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-292100</wp:posOffset>
            </wp:positionV>
            <wp:extent cx="129540" cy="144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3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7</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To receive and approve the U.K. Directors’ Remuneration Policy</w:t>
      </w:r>
    </w:p>
    <w:p>
      <w:pPr>
        <w:spacing w:after="0" w:line="102" w:lineRule="exact"/>
        <w:rPr>
          <w:sz w:val="20"/>
          <w:szCs w:val="20"/>
          <w:color w:val="auto"/>
        </w:rPr>
      </w:pPr>
    </w:p>
    <w:p>
      <w:pPr>
        <w:ind w:left="1120" w:right="939" w:firstLine="320"/>
        <w:spacing w:after="0" w:line="247" w:lineRule="auto"/>
        <w:rPr>
          <w:sz w:val="20"/>
          <w:szCs w:val="20"/>
          <w:color w:val="auto"/>
        </w:rPr>
      </w:pPr>
      <w:r>
        <w:rPr>
          <w:rFonts w:ascii="Arial" w:cs="Arial" w:eastAsia="Arial" w:hAnsi="Arial"/>
          <w:sz w:val="16"/>
          <w:szCs w:val="16"/>
          <w:color w:val="auto"/>
        </w:rPr>
        <w:t>At the AGM, our Board of Directors will present our U.K. statutory Directors’ Remuneration Policy as set out on pages 38 to 46 of the 2020 U.K. Annual Report appended as Annex A to this proxy statement, which, if approved, will take effect upon conclusion of the AGM.</w:t>
      </w:r>
    </w:p>
    <w:p>
      <w:pPr>
        <w:spacing w:after="0" w:line="103" w:lineRule="exact"/>
        <w:rPr>
          <w:sz w:val="20"/>
          <w:szCs w:val="20"/>
          <w:color w:val="auto"/>
        </w:rPr>
      </w:pPr>
    </w:p>
    <w:p>
      <w:pPr>
        <w:ind w:left="1120" w:right="939" w:firstLine="320"/>
        <w:spacing w:after="0" w:line="253" w:lineRule="auto"/>
        <w:rPr>
          <w:sz w:val="20"/>
          <w:szCs w:val="20"/>
          <w:color w:val="auto"/>
        </w:rPr>
      </w:pPr>
      <w:r>
        <w:rPr>
          <w:rFonts w:ascii="Arial" w:cs="Arial" w:eastAsia="Arial" w:hAnsi="Arial"/>
          <w:sz w:val="15"/>
          <w:szCs w:val="15"/>
          <w:color w:val="auto"/>
        </w:rPr>
        <w:t>Our Directors’ Remuneration Policy is used to determine the remuneration of our directors, including our President and Chief Executive Officer (our sole executive director). The policy has as its key objectives the engagement and retention of high-caliber directors with the requisite experience and knowledge. The original remuneration policy was approved by the shareholders at our 2018 annual general meeting. As set out on pages 38 to 46 of the 2020 U.K. Annual Report appended as Annex A to this proxy statement, we submit our new proposed remuneration policy, the aim of which is to enable the Company to offer remuneration packages that are designed to promote the long-term success of the Company. The policy, as proposed, is substantively the same as the original remuneration policy, as our Board of Directors and Remuneration Committee consider that the original remuneration policy continues to be appropriate and fit for purpose, with the key changes being the ability for the Directors’ base remuneration to be paid in a combination of cash and equity and for remuneration to be benchmarked against a relevant group of life sciences companies, many of whom are listed on Nasdaq, rather than companies listed on the AIM stock exchange or other European stock exchanges. The Remuneration Committee is committed to reviewing the</w:t>
      </w: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4" w:name="page25"/>
    <w:bookmarkEnd w:id="24"/>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99"/>
        <w:spacing w:after="0" w:line="243" w:lineRule="auto"/>
        <w:rPr>
          <w:sz w:val="20"/>
          <w:szCs w:val="20"/>
          <w:color w:val="auto"/>
        </w:rPr>
      </w:pPr>
      <w:r>
        <w:rPr>
          <w:rFonts w:ascii="Arial" w:cs="Arial" w:eastAsia="Arial" w:hAnsi="Arial"/>
          <w:sz w:val="16"/>
          <w:szCs w:val="16"/>
          <w:color w:val="auto"/>
        </w:rPr>
        <w:t>policy on an ongoing basis in order to ensure that it remains effective and competitive. Our Board of Directors has approved the Directors’ Remuneration Policy and believes it is effective to achieve its objectives. The Directors’ Remuneration Policy, if approved, will take effect immediately upon conclusion of the AGM.</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28"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72" w:lineRule="exact"/>
        <w:rPr>
          <w:sz w:val="20"/>
          <w:szCs w:val="20"/>
          <w:color w:val="auto"/>
        </w:rPr>
      </w:pPr>
    </w:p>
    <w:p>
      <w:pPr>
        <w:ind w:left="2280" w:right="939"/>
        <w:spacing w:after="0" w:line="282" w:lineRule="auto"/>
        <w:rPr>
          <w:sz w:val="20"/>
          <w:szCs w:val="20"/>
          <w:color w:val="auto"/>
        </w:rPr>
      </w:pPr>
      <w:r>
        <w:rPr>
          <w:rFonts w:ascii="Arial" w:cs="Arial" w:eastAsia="Arial" w:hAnsi="Arial"/>
          <w:sz w:val="16"/>
          <w:szCs w:val="16"/>
          <w:b w:val="1"/>
          <w:bCs w:val="1"/>
          <w:color w:val="auto"/>
        </w:rPr>
        <w:t>The Board of Directors unanimously recommends a vote FOR the receipt and adoption of the U.K. 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-263525</wp:posOffset>
            </wp:positionV>
            <wp:extent cx="129540" cy="144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8</w:t>
      </w:r>
    </w:p>
    <w:p>
      <w:pPr>
        <w:spacing w:after="0" w:line="10" w:lineRule="exact"/>
        <w:rPr>
          <w:sz w:val="20"/>
          <w:szCs w:val="20"/>
          <w:color w:val="auto"/>
        </w:rPr>
      </w:pPr>
    </w:p>
    <w:p>
      <w:pPr>
        <w:ind w:left="1120" w:right="939"/>
        <w:spacing w:after="0" w:line="242" w:lineRule="auto"/>
        <w:rPr>
          <w:sz w:val="20"/>
          <w:szCs w:val="20"/>
          <w:color w:val="auto"/>
        </w:rPr>
      </w:pPr>
      <w:r>
        <w:rPr>
          <w:rFonts w:ascii="Arial" w:cs="Arial" w:eastAsia="Arial" w:hAnsi="Arial"/>
          <w:sz w:val="16"/>
          <w:szCs w:val="16"/>
          <w:i w:val="1"/>
          <w:iCs w:val="1"/>
          <w:color w:val="auto"/>
        </w:rPr>
        <w:t>To re-appoint PwC as the Company’s auditors, to hold office until the conclusion of the next annual general meeting of shareholders</w:t>
      </w:r>
    </w:p>
    <w:p>
      <w:pPr>
        <w:spacing w:after="0" w:line="106" w:lineRule="exact"/>
        <w:rPr>
          <w:sz w:val="20"/>
          <w:szCs w:val="20"/>
          <w:color w:val="auto"/>
        </w:rPr>
      </w:pPr>
    </w:p>
    <w:p>
      <w:pPr>
        <w:ind w:left="1120" w:right="899" w:firstLine="320"/>
        <w:spacing w:after="0" w:line="239" w:lineRule="auto"/>
        <w:rPr>
          <w:sz w:val="20"/>
          <w:szCs w:val="20"/>
          <w:color w:val="auto"/>
        </w:rPr>
      </w:pPr>
      <w:r>
        <w:rPr>
          <w:rFonts w:ascii="Arial" w:cs="Arial" w:eastAsia="Arial" w:hAnsi="Arial"/>
          <w:sz w:val="16"/>
          <w:szCs w:val="16"/>
          <w:color w:val="auto"/>
        </w:rPr>
        <w:t>At each meeting at which the accounts are laid before shareholders, the Company is required to appoint U.K. statutory auditors to serve until the next such meeting of shareholders. Proposal 8 seeks your approval of the re-appointment of PricewaterhouseCoopers LLP (“PwC”), to serve as our U.K. statutory auditor, to hold office until the conclusion of the next annual general meeting of shareholders. In the event this proposal does not receive approval by holders representing a simple majority of the total voting rights of shareholders present (in person or by proxy) who (being entitled to vote) vote on the proposal, the Board of Directors may appoint an auditor to fill the vacancy.</w:t>
      </w:r>
    </w:p>
    <w:p>
      <w:pPr>
        <w:spacing w:after="0" w:line="108" w:lineRule="exact"/>
        <w:rPr>
          <w:sz w:val="20"/>
          <w:szCs w:val="20"/>
          <w:color w:val="auto"/>
        </w:rPr>
      </w:pPr>
    </w:p>
    <w:p>
      <w:pPr>
        <w:ind w:left="1120" w:right="999" w:firstLine="320"/>
        <w:spacing w:after="0" w:line="247" w:lineRule="auto"/>
        <w:rPr>
          <w:sz w:val="20"/>
          <w:szCs w:val="20"/>
          <w:color w:val="auto"/>
        </w:rPr>
      </w:pPr>
      <w:r>
        <w:rPr>
          <w:rFonts w:ascii="Arial" w:cs="Arial" w:eastAsia="Arial" w:hAnsi="Arial"/>
          <w:sz w:val="16"/>
          <w:szCs w:val="16"/>
          <w:color w:val="auto"/>
        </w:rPr>
        <w:t>PwC has indicated its willingness to act as the Company’s auditors. A representative of PwC is expected to be present at the AGM and will have an opportunity to make a statement if he or she desires to do so and to respond to appropriate questions from our shareholders.</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28"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72" w:lineRule="exact"/>
        <w:rPr>
          <w:sz w:val="20"/>
          <w:szCs w:val="20"/>
          <w:color w:val="auto"/>
        </w:rPr>
      </w:pPr>
    </w:p>
    <w:p>
      <w:pPr>
        <w:ind w:left="2280" w:right="979"/>
        <w:spacing w:after="0" w:line="282" w:lineRule="auto"/>
        <w:rPr>
          <w:sz w:val="20"/>
          <w:szCs w:val="20"/>
          <w:color w:val="auto"/>
        </w:rPr>
      </w:pPr>
      <w:r>
        <w:rPr>
          <w:rFonts w:ascii="Arial" w:cs="Arial" w:eastAsia="Arial" w:hAnsi="Arial"/>
          <w:sz w:val="16"/>
          <w:szCs w:val="16"/>
          <w:b w:val="1"/>
          <w:bCs w:val="1"/>
          <w:color w:val="auto"/>
        </w:rPr>
        <w:t>The Board of Directors unanimously recommends a vote FOR the re-appointment of PwC as the Company’s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-263525</wp:posOffset>
            </wp:positionV>
            <wp:extent cx="129540" cy="144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Report of the Audit Committee of the Board of Directors</w:t>
      </w:r>
    </w:p>
    <w:p>
      <w:pPr>
        <w:spacing w:after="0" w:line="128" w:lineRule="exact"/>
        <w:rPr>
          <w:sz w:val="20"/>
          <w:szCs w:val="20"/>
          <w:color w:val="auto"/>
        </w:rPr>
      </w:pPr>
    </w:p>
    <w:p>
      <w:pPr>
        <w:ind w:left="1120" w:right="959" w:firstLine="320"/>
        <w:spacing w:after="0" w:line="256" w:lineRule="auto"/>
        <w:rPr>
          <w:sz w:val="20"/>
          <w:szCs w:val="20"/>
          <w:color w:val="auto"/>
        </w:rPr>
      </w:pPr>
      <w:r>
        <w:rPr>
          <w:rFonts w:ascii="Arial" w:cs="Arial" w:eastAsia="Arial" w:hAnsi="Arial"/>
          <w:sz w:val="15"/>
          <w:szCs w:val="15"/>
          <w:color w:val="auto"/>
        </w:rPr>
        <w:t>The Audit and Risk Committee of the Board (“Audit Committee”) has reviewed the audited consolidated financial statements of Verona Pharma plc (the “Company”) for the fiscal year ended December 31, 2020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98" w:lineRule="exact"/>
        <w:rPr>
          <w:sz w:val="20"/>
          <w:szCs w:val="20"/>
          <w:color w:val="auto"/>
        </w:rPr>
      </w:pPr>
    </w:p>
    <w:p>
      <w:pPr>
        <w:ind w:left="1120" w:right="919" w:firstLine="320"/>
        <w:spacing w:after="0" w:line="294" w:lineRule="auto"/>
        <w:rPr>
          <w:sz w:val="20"/>
          <w:szCs w:val="20"/>
          <w:color w:val="auto"/>
        </w:rPr>
      </w:pPr>
      <w:r>
        <w:rPr>
          <w:rFonts w:ascii="Arial" w:cs="Arial" w:eastAsia="Arial" w:hAnsi="Arial"/>
          <w:sz w:val="15"/>
          <w:szCs w:val="15"/>
          <w:color w:val="auto"/>
        </w:rPr>
        <w:t>The Company’s independent registered public accounting firm also provided the Audit Committee with a formal written statement required by PCAOB Rule 3526 (Communications with Audit Committees</w:t>
      </w:r>
    </w:p>
    <w:p>
      <w:pPr>
        <w:spacing w:after="0" w:line="28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25" w:name="page26"/>
    <w:bookmarkEnd w:id="25"/>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99"/>
        <w:spacing w:after="0" w:line="241" w:lineRule="auto"/>
        <w:rPr>
          <w:sz w:val="20"/>
          <w:szCs w:val="20"/>
          <w:color w:val="auto"/>
        </w:rPr>
      </w:pPr>
      <w:r>
        <w:rPr>
          <w:rFonts w:ascii="Arial" w:cs="Arial" w:eastAsia="Arial" w:hAnsi="Arial"/>
          <w:sz w:val="16"/>
          <w:szCs w:val="16"/>
          <w:color w:val="auto"/>
        </w:rPr>
        <w:t>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95" w:lineRule="exact"/>
        <w:rPr>
          <w:sz w:val="20"/>
          <w:szCs w:val="20"/>
          <w:color w:val="auto"/>
        </w:rPr>
      </w:pPr>
    </w:p>
    <w:p>
      <w:pPr>
        <w:ind w:left="1120" w:right="979" w:firstLine="320"/>
        <w:spacing w:after="0" w:line="24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2020.</w:t>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Vikas Sinha (Chair)</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David Ebsworth, Ph.D.</w:t>
      </w:r>
    </w:p>
    <w:p>
      <w:pPr>
        <w:ind w:left="1120"/>
        <w:spacing w:after="0"/>
        <w:rPr>
          <w:sz w:val="20"/>
          <w:szCs w:val="20"/>
          <w:color w:val="auto"/>
        </w:rPr>
      </w:pPr>
      <w:r>
        <w:rPr>
          <w:rFonts w:ascii="Arial" w:cs="Arial" w:eastAsia="Arial" w:hAnsi="Arial"/>
          <w:sz w:val="16"/>
          <w:szCs w:val="16"/>
          <w:color w:val="auto"/>
        </w:rPr>
        <w:t>Andrew Sinclair, Ph.D.</w:t>
      </w:r>
    </w:p>
    <w:p>
      <w:pPr>
        <w:spacing w:after="0" w:line="174"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Independent Registered Public Accounting Firm Fees</w:t>
      </w:r>
    </w:p>
    <w:p>
      <w:pPr>
        <w:spacing w:after="0" w:line="140" w:lineRule="exact"/>
        <w:rPr>
          <w:sz w:val="20"/>
          <w:szCs w:val="20"/>
          <w:color w:val="auto"/>
        </w:rPr>
      </w:pPr>
    </w:p>
    <w:p>
      <w:pPr>
        <w:ind w:left="1120" w:right="1099" w:firstLine="320"/>
        <w:spacing w:after="0" w:line="247" w:lineRule="auto"/>
        <w:rPr>
          <w:sz w:val="20"/>
          <w:szCs w:val="20"/>
          <w:color w:val="auto"/>
        </w:rPr>
      </w:pPr>
      <w:r>
        <w:rPr>
          <w:rFonts w:ascii="Arial" w:cs="Arial" w:eastAsia="Arial" w:hAnsi="Arial"/>
          <w:sz w:val="16"/>
          <w:szCs w:val="16"/>
          <w:color w:val="auto"/>
        </w:rPr>
        <w:t>The following table summarizes the fees of PwC, our independent registered public accounting firm, billed to us for each of the last two fiscal years for audit services and billed to us in each of the last two fiscal years for other services:</w:t>
      </w:r>
    </w:p>
    <w:p>
      <w:pPr>
        <w:spacing w:after="0" w:line="108"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Fee Category</w:t>
            </w:r>
          </w:p>
        </w:tc>
        <w:tc>
          <w:tcPr>
            <w:tcW w:w="620" w:type="dxa"/>
            <w:vAlign w:val="bottom"/>
          </w:tcPr>
          <w:p>
            <w:pPr>
              <w:jc w:val="right"/>
              <w:ind w:right="123"/>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3"/>
              <w:spacing w:after="0"/>
              <w:rPr>
                <w:sz w:val="20"/>
                <w:szCs w:val="20"/>
                <w:color w:val="auto"/>
              </w:rPr>
            </w:pPr>
            <w:r>
              <w:rPr>
                <w:rFonts w:ascii="Arial" w:cs="Arial" w:eastAsia="Arial" w:hAnsi="Arial"/>
                <w:sz w:val="13"/>
                <w:szCs w:val="13"/>
                <w:b w:val="1"/>
                <w:bCs w:val="1"/>
                <w:color w:val="auto"/>
              </w:rPr>
              <w:t>2019</w:t>
            </w:r>
          </w:p>
        </w:tc>
      </w:tr>
      <w:tr>
        <w:trPr>
          <w:trHeight w:val="22"/>
        </w:trPr>
        <w:tc>
          <w:tcPr>
            <w:tcW w:w="5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0"/>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$318,000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188,000</w:t>
            </w:r>
          </w:p>
        </w:tc>
      </w:tr>
      <w:tr>
        <w:trPr>
          <w:trHeight w:val="228"/>
        </w:trPr>
        <w:tc>
          <w:tcPr>
            <w:tcW w:w="586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$348,000</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66,000</w:t>
            </w:r>
          </w:p>
        </w:tc>
      </w:tr>
      <w:tr>
        <w:trPr>
          <w:trHeight w:val="228"/>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Fees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586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$198,000</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85,000</w:t>
            </w:r>
          </w:p>
        </w:tc>
      </w:tr>
      <w:tr>
        <w:trPr>
          <w:trHeight w:val="240"/>
        </w:trPr>
        <w:tc>
          <w:tcPr>
            <w:tcW w:w="5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Fees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$864,000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339,000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-745490</wp:posOffset>
            </wp:positionV>
            <wp:extent cx="1219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-745490</wp:posOffset>
            </wp:positionV>
            <wp:extent cx="1219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Audit Fees</w:t>
      </w:r>
    </w:p>
    <w:p>
      <w:pPr>
        <w:spacing w:after="0" w:line="128" w:lineRule="exact"/>
        <w:rPr>
          <w:sz w:val="20"/>
          <w:szCs w:val="20"/>
          <w:color w:val="auto"/>
        </w:rPr>
      </w:pPr>
    </w:p>
    <w:p>
      <w:pPr>
        <w:ind w:left="1120" w:right="1139" w:firstLine="320"/>
        <w:spacing w:after="0" w:line="261" w:lineRule="auto"/>
        <w:rPr>
          <w:sz w:val="20"/>
          <w:szCs w:val="20"/>
          <w:color w:val="auto"/>
        </w:rPr>
      </w:pPr>
      <w:r>
        <w:rPr>
          <w:rFonts w:ascii="Arial" w:cs="Arial" w:eastAsia="Arial" w:hAnsi="Arial"/>
          <w:sz w:val="16"/>
          <w:szCs w:val="16"/>
          <w:color w:val="auto"/>
        </w:rPr>
        <w:t>Audit fees for the years ended December 31, 2020 and 2019, consisted of fees billed for the audit of Verona Pharma plc and its consolidated financial statements.</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Audit-Related Fees</w:t>
      </w:r>
    </w:p>
    <w:p>
      <w:pPr>
        <w:spacing w:after="0" w:line="140" w:lineRule="exact"/>
        <w:rPr>
          <w:sz w:val="20"/>
          <w:szCs w:val="20"/>
          <w:color w:val="auto"/>
        </w:rPr>
      </w:pPr>
    </w:p>
    <w:p>
      <w:pPr>
        <w:ind w:left="1120" w:right="899" w:firstLine="320"/>
        <w:spacing w:after="0" w:line="247" w:lineRule="auto"/>
        <w:rPr>
          <w:sz w:val="20"/>
          <w:szCs w:val="20"/>
          <w:color w:val="auto"/>
        </w:rPr>
      </w:pPr>
      <w:r>
        <w:rPr>
          <w:rFonts w:ascii="Arial" w:cs="Arial" w:eastAsia="Arial" w:hAnsi="Arial"/>
          <w:sz w:val="16"/>
          <w:szCs w:val="16"/>
          <w:color w:val="auto"/>
        </w:rPr>
        <w:t>For the year ended December 31, 2020, audit-related services include fees for quarterly interim reviews and the audit of conversion from International Financial Reporting Standards to U.S. Generally Accepted Accounting Principles for SEC filings.</w:t>
      </w:r>
    </w:p>
    <w:p>
      <w:pPr>
        <w:spacing w:after="0" w:line="103" w:lineRule="exact"/>
        <w:rPr>
          <w:sz w:val="20"/>
          <w:szCs w:val="20"/>
          <w:color w:val="auto"/>
        </w:rPr>
      </w:pPr>
    </w:p>
    <w:p>
      <w:pPr>
        <w:ind w:left="1120" w:right="1459" w:firstLine="320"/>
        <w:spacing w:after="0" w:line="276" w:lineRule="auto"/>
        <w:rPr>
          <w:sz w:val="20"/>
          <w:szCs w:val="20"/>
          <w:color w:val="auto"/>
        </w:rPr>
      </w:pPr>
      <w:r>
        <w:rPr>
          <w:rFonts w:ascii="Arial" w:cs="Arial" w:eastAsia="Arial" w:hAnsi="Arial"/>
          <w:sz w:val="16"/>
          <w:szCs w:val="16"/>
          <w:color w:val="auto"/>
        </w:rPr>
        <w:t>For the year ended December 31, 2019, audit-related services include fees for quarterly interim reviews.</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All Other Fees</w:t>
      </w:r>
    </w:p>
    <w:p>
      <w:pPr>
        <w:spacing w:after="0" w:line="128" w:lineRule="exact"/>
        <w:rPr>
          <w:sz w:val="20"/>
          <w:szCs w:val="20"/>
          <w:color w:val="auto"/>
        </w:rPr>
      </w:pPr>
    </w:p>
    <w:p>
      <w:pPr>
        <w:ind w:left="1120" w:right="1199" w:firstLine="320"/>
        <w:spacing w:after="0" w:line="261" w:lineRule="auto"/>
        <w:rPr>
          <w:sz w:val="20"/>
          <w:szCs w:val="20"/>
          <w:color w:val="auto"/>
        </w:rPr>
      </w:pPr>
      <w:r>
        <w:rPr>
          <w:rFonts w:ascii="Arial" w:cs="Arial" w:eastAsia="Arial" w:hAnsi="Arial"/>
          <w:sz w:val="16"/>
          <w:szCs w:val="16"/>
          <w:color w:val="auto"/>
        </w:rPr>
        <w:t>For the year ended December 31, 2020, other services related to advice relating to fund raising and certain regulatory filings.</w:t>
      </w:r>
    </w:p>
    <w:p>
      <w:pPr>
        <w:spacing w:after="0" w:line="91" w:lineRule="exact"/>
        <w:rPr>
          <w:sz w:val="20"/>
          <w:szCs w:val="20"/>
          <w:color w:val="auto"/>
        </w:rPr>
      </w:pPr>
    </w:p>
    <w:p>
      <w:pPr>
        <w:ind w:left="1120" w:right="1059" w:firstLine="320"/>
        <w:spacing w:after="0" w:line="261" w:lineRule="auto"/>
        <w:rPr>
          <w:sz w:val="20"/>
          <w:szCs w:val="20"/>
          <w:color w:val="auto"/>
        </w:rPr>
      </w:pPr>
      <w:r>
        <w:rPr>
          <w:rFonts w:ascii="Arial" w:cs="Arial" w:eastAsia="Arial" w:hAnsi="Arial"/>
          <w:sz w:val="16"/>
          <w:szCs w:val="16"/>
          <w:color w:val="auto"/>
        </w:rPr>
        <w:t>For the year ended December 31, 2019, other services related to a review of the Company’s F-3 shelf registration statement.</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Audit Committee Pre-Approval Policy and Procedures</w:t>
      </w:r>
    </w:p>
    <w:p>
      <w:pPr>
        <w:spacing w:after="0" w:line="140" w:lineRule="exact"/>
        <w:rPr>
          <w:sz w:val="20"/>
          <w:szCs w:val="20"/>
          <w:color w:val="auto"/>
        </w:rPr>
      </w:pPr>
    </w:p>
    <w:p>
      <w:pPr>
        <w:ind w:left="1120" w:right="899" w:firstLine="320"/>
        <w:spacing w:after="0" w:line="259" w:lineRule="auto"/>
        <w:rPr>
          <w:sz w:val="20"/>
          <w:szCs w:val="20"/>
          <w:color w:val="auto"/>
        </w:rPr>
      </w:pPr>
      <w:r>
        <w:rPr>
          <w:rFonts w:ascii="Arial" w:cs="Arial" w:eastAsia="Arial" w:hAnsi="Arial"/>
          <w:sz w:val="15"/>
          <w:szCs w:val="15"/>
          <w:color w:val="auto"/>
        </w:rPr>
        <w:t>The Audit Committee has adopted a policy (the “Pre-Approval Policy”) which sets forth the procedures and conditions pursuant to which audit and non- audit services proposed to be performed by the independent auditor may be pre-approved. The Pre-Approval Policy generally provides that we will not engage PwC to render any audit, audit -related,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w:t>
      </w:r>
    </w:p>
    <w:p>
      <w:pPr>
        <w:spacing w:after="0" w:line="31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26" w:name="page27"/>
    <w:bookmarkEnd w:id="26"/>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899"/>
        <w:spacing w:after="0" w:line="253" w:lineRule="auto"/>
        <w:rPr>
          <w:sz w:val="20"/>
          <w:szCs w:val="20"/>
          <w:color w:val="auto"/>
        </w:rPr>
      </w:pPr>
      <w:r>
        <w:rPr>
          <w:rFonts w:ascii="Arial" w:cs="Arial" w:eastAsia="Arial" w:hAnsi="Arial"/>
          <w:sz w:val="15"/>
          <w:szCs w:val="15"/>
          <w:color w:val="auto"/>
        </w:rPr>
        <w:t>service to be provided by PricewaterhouseCoopers LLP has received general pre -approval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9</w:t>
      </w:r>
    </w:p>
    <w:p>
      <w:pPr>
        <w:spacing w:after="0" w:line="10" w:lineRule="exact"/>
        <w:rPr>
          <w:sz w:val="20"/>
          <w:szCs w:val="20"/>
          <w:color w:val="auto"/>
        </w:rPr>
      </w:pPr>
    </w:p>
    <w:p>
      <w:pPr>
        <w:ind w:left="1120" w:right="1219"/>
        <w:spacing w:after="0" w:line="242" w:lineRule="auto"/>
        <w:rPr>
          <w:sz w:val="20"/>
          <w:szCs w:val="20"/>
          <w:color w:val="auto"/>
        </w:rPr>
      </w:pPr>
      <w:r>
        <w:rPr>
          <w:rFonts w:ascii="Arial" w:cs="Arial" w:eastAsia="Arial" w:hAnsi="Arial"/>
          <w:sz w:val="16"/>
          <w:szCs w:val="16"/>
          <w:i w:val="1"/>
          <w:iCs w:val="1"/>
          <w:color w:val="auto"/>
        </w:rPr>
        <w:t>To authorize the Audit and Risk Committee to determine the auditors’ remuneration for the year ending December 31, 2021</w:t>
      </w:r>
    </w:p>
    <w:p>
      <w:pPr>
        <w:spacing w:after="0" w:line="94" w:lineRule="exact"/>
        <w:rPr>
          <w:sz w:val="20"/>
          <w:szCs w:val="20"/>
          <w:color w:val="auto"/>
        </w:rPr>
      </w:pPr>
    </w:p>
    <w:p>
      <w:pPr>
        <w:ind w:left="1120" w:right="999" w:firstLine="320"/>
        <w:spacing w:after="0" w:line="243" w:lineRule="auto"/>
        <w:rPr>
          <w:sz w:val="20"/>
          <w:szCs w:val="20"/>
          <w:color w:val="auto"/>
        </w:rPr>
      </w:pPr>
      <w:r>
        <w:rPr>
          <w:rFonts w:ascii="Arial" w:cs="Arial" w:eastAsia="Arial" w:hAnsi="Arial"/>
          <w:sz w:val="16"/>
          <w:szCs w:val="16"/>
          <w:color w:val="auto"/>
        </w:rPr>
        <w:t>Proposal 9 authorizes the Audit Committee to determine our auditors’ remuneration for the fiscal year ending December 31, 2021. Fees for PwC in respect of the years ended December 31, 2020 and December 31, 2019, are set forth above under “</w:t>
      </w:r>
      <w:r>
        <w:rPr>
          <w:rFonts w:ascii="Arial" w:cs="Arial" w:eastAsia="Arial" w:hAnsi="Arial"/>
          <w:sz w:val="16"/>
          <w:szCs w:val="16"/>
          <w:i w:val="1"/>
          <w:iCs w:val="1"/>
          <w:color w:val="auto"/>
        </w:rPr>
        <w:t>Independent Registered Public Accounting Firm Fees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Matters</w:t>
      </w:r>
      <w:r>
        <w:rPr>
          <w:rFonts w:ascii="Arial" w:cs="Arial" w:eastAsia="Arial" w:hAnsi="Arial"/>
          <w:sz w:val="16"/>
          <w:szCs w:val="16"/>
          <w:color w:val="auto"/>
        </w:rPr>
        <w:t>.”</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40"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The Board of Directors unanimously recommends a vote FOR authorization of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-90805</wp:posOffset>
            </wp:positionV>
            <wp:extent cx="129540" cy="144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5"/>
          <w:szCs w:val="15"/>
          <w:b w:val="1"/>
          <w:bCs w:val="1"/>
          <w:color w:val="auto"/>
        </w:rPr>
        <w:t>Committee to determine PwC’s remuneration for the year ending December 31, 2021</w:t>
      </w:r>
    </w:p>
    <w:p>
      <w:pPr>
        <w:spacing w:after="0" w:line="2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10</w:t>
      </w:r>
    </w:p>
    <w:p>
      <w:pPr>
        <w:spacing w:after="0" w:line="10" w:lineRule="exact"/>
        <w:rPr>
          <w:sz w:val="20"/>
          <w:szCs w:val="20"/>
          <w:color w:val="auto"/>
        </w:rPr>
      </w:pPr>
    </w:p>
    <w:p>
      <w:pPr>
        <w:ind w:left="1120" w:right="1159"/>
        <w:spacing w:after="0" w:line="239" w:lineRule="auto"/>
        <w:rPr>
          <w:sz w:val="20"/>
          <w:szCs w:val="20"/>
          <w:color w:val="auto"/>
        </w:rPr>
      </w:pPr>
      <w:r>
        <w:rPr>
          <w:rFonts w:ascii="Arial" w:cs="Arial" w:eastAsia="Arial" w:hAnsi="Arial"/>
          <w:sz w:val="16"/>
          <w:szCs w:val="16"/>
          <w:i w:val="1"/>
          <w:iCs w:val="1"/>
          <w:color w:val="auto"/>
        </w:rPr>
        <w:t>To authorize the Board of Directors to exercise all the powers of the Company to allot shares in the Company or grant rights to subscribe for or to convert any security into shares in the Company up to an aggregate nominal amount of £24,415,222.30.</w:t>
      </w:r>
    </w:p>
    <w:p>
      <w:pPr>
        <w:spacing w:after="0" w:line="96" w:lineRule="exact"/>
        <w:rPr>
          <w:sz w:val="20"/>
          <w:szCs w:val="20"/>
          <w:color w:val="auto"/>
        </w:rPr>
      </w:pPr>
    </w:p>
    <w:p>
      <w:pPr>
        <w:ind w:left="1120" w:right="879" w:firstLine="320"/>
        <w:spacing w:after="0" w:line="241" w:lineRule="auto"/>
        <w:rPr>
          <w:sz w:val="20"/>
          <w:szCs w:val="20"/>
          <w:color w:val="auto"/>
        </w:rPr>
      </w:pPr>
      <w:r>
        <w:rPr>
          <w:rFonts w:ascii="Arial" w:cs="Arial" w:eastAsia="Arial" w:hAnsi="Arial"/>
          <w:sz w:val="16"/>
          <w:szCs w:val="16"/>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£24,415,222.30 to such persons at such times and upon such conditions as the directors may determine (subject to the Company’s Articles of Association).</w:t>
      </w:r>
    </w:p>
    <w:p>
      <w:pPr>
        <w:spacing w:after="0" w:line="107" w:lineRule="exact"/>
        <w:rPr>
          <w:sz w:val="20"/>
          <w:szCs w:val="20"/>
          <w:color w:val="auto"/>
        </w:rPr>
      </w:pPr>
    </w:p>
    <w:p>
      <w:pPr>
        <w:ind w:left="1120" w:right="879" w:firstLine="320"/>
        <w:spacing w:after="0" w:line="239" w:lineRule="auto"/>
        <w:rPr>
          <w:sz w:val="20"/>
          <w:szCs w:val="20"/>
          <w:color w:val="auto"/>
        </w:rPr>
      </w:pPr>
      <w:r>
        <w:rPr>
          <w:rFonts w:ascii="Arial" w:cs="Arial" w:eastAsia="Arial" w:hAnsi="Arial"/>
          <w:sz w:val="16"/>
          <w:szCs w:val="16"/>
          <w:color w:val="auto"/>
        </w:rPr>
        <w:t>This authority will replace any existing authorities to the extent not utilized at the date this resolution is passed and will, unless previously renewed, revoked or varied by the Company in general meeting, expire on June 1, 2022,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40" w:lineRule="exact"/>
        <w:rPr>
          <w:sz w:val="20"/>
          <w:szCs w:val="20"/>
          <w:color w:val="auto"/>
        </w:rPr>
      </w:pPr>
    </w:p>
    <w:p>
      <w:pPr>
        <w:ind w:left="1120" w:right="939" w:firstLine="320"/>
        <w:spacing w:after="0" w:line="243" w:lineRule="auto"/>
        <w:rPr>
          <w:sz w:val="20"/>
          <w:szCs w:val="20"/>
          <w:color w:val="auto"/>
        </w:rPr>
      </w:pPr>
      <w:r>
        <w:rPr>
          <w:rFonts w:ascii="Arial" w:cs="Arial" w:eastAsia="Arial" w:hAnsi="Arial"/>
          <w:sz w:val="16"/>
          <w:szCs w:val="16"/>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2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7" w:name="page28"/>
    <w:bookmarkEnd w:id="27"/>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right="879"/>
        <w:spacing w:after="0" w:line="266" w:lineRule="auto"/>
        <w:rPr>
          <w:sz w:val="20"/>
          <w:szCs w:val="20"/>
          <w:color w:val="auto"/>
        </w:rPr>
      </w:pPr>
      <w:r>
        <w:rPr>
          <w:rFonts w:ascii="Arial" w:cs="Arial" w:eastAsia="Arial" w:hAnsi="Arial"/>
          <w:sz w:val="16"/>
          <w:szCs w:val="16"/>
          <w:b w:val="1"/>
          <w:bCs w:val="1"/>
          <w:color w:val="auto"/>
        </w:rPr>
        <w:t>The Board of Directors unanimously recommends a vote FOR the authorization of Directors to exercise all the powers to the Company to allot shares in the Company or grant Rights up to an aggregate nominal amount of £24,415,222.30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-377190</wp:posOffset>
            </wp:positionV>
            <wp:extent cx="129540" cy="14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13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PROPOSAL 11</w:t>
      </w:r>
    </w:p>
    <w:p>
      <w:pPr>
        <w:spacing w:after="0" w:line="10" w:lineRule="exact"/>
        <w:rPr>
          <w:sz w:val="20"/>
          <w:szCs w:val="20"/>
          <w:color w:val="auto"/>
        </w:rPr>
      </w:pPr>
    </w:p>
    <w:p>
      <w:pPr>
        <w:ind w:left="1120" w:right="959"/>
        <w:spacing w:after="0" w:line="239" w:lineRule="auto"/>
        <w:rPr>
          <w:sz w:val="20"/>
          <w:szCs w:val="20"/>
          <w:color w:val="auto"/>
        </w:rPr>
      </w:pPr>
      <w:r>
        <w:rPr>
          <w:rFonts w:ascii="Arial" w:cs="Arial" w:eastAsia="Arial" w:hAnsi="Arial"/>
          <w:sz w:val="16"/>
          <w:szCs w:val="16"/>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As a U.K.-incorporated company, the Company’s ordinary shareholders are entitled, under</w:t>
      </w:r>
    </w:p>
    <w:p>
      <w:pPr>
        <w:spacing w:after="0" w:line="10" w:lineRule="exact"/>
        <w:rPr>
          <w:sz w:val="20"/>
          <w:szCs w:val="20"/>
          <w:color w:val="auto"/>
        </w:rPr>
      </w:pPr>
    </w:p>
    <w:p>
      <w:pPr>
        <w:ind w:left="1120" w:right="919"/>
        <w:spacing w:after="0" w:line="262" w:lineRule="auto"/>
        <w:rPr>
          <w:sz w:val="20"/>
          <w:szCs w:val="20"/>
          <w:color w:val="auto"/>
        </w:rPr>
      </w:pPr>
      <w:r>
        <w:rPr>
          <w:rFonts w:ascii="Arial" w:cs="Arial" w:eastAsia="Arial" w:hAnsi="Arial"/>
          <w:sz w:val="15"/>
          <w:szCs w:val="15"/>
          <w:color w:val="auto"/>
        </w:rPr>
        <w:t>Section 561(1) of the Companies Act, to pre -emption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8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Subject to and conditioned upon the passing of Proposal 10 above, this Proposal 11 authorizes the</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Board of Directors pursuant to Section 570 and 573 of the Companies Act to allot equity securities (as</w:t>
      </w:r>
    </w:p>
    <w:p>
      <w:pPr>
        <w:ind w:left="1120"/>
        <w:spacing w:after="0"/>
        <w:rPr>
          <w:sz w:val="20"/>
          <w:szCs w:val="20"/>
          <w:color w:val="auto"/>
        </w:rPr>
      </w:pPr>
      <w:r>
        <w:rPr>
          <w:rFonts w:ascii="Arial" w:cs="Arial" w:eastAsia="Arial" w:hAnsi="Arial"/>
          <w:sz w:val="15"/>
          <w:szCs w:val="15"/>
          <w:color w:val="auto"/>
        </w:rPr>
        <w:t>defined in Section 560 of the Companies Act) for cash pursuant to the authority conferred by Proposal 10</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above and/or to sell ordinary shares held by the Company as treasury shares for cash, as if Section 561(1) of</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the Companies Act did not apply to any such allotment or sale, provided that this power will be limited to</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allotment of equity securities or sale of treasury shares up to an aggregate nominal amount of</w:t>
      </w:r>
    </w:p>
    <w:p>
      <w:pPr>
        <w:ind w:left="1120"/>
        <w:spacing w:after="0"/>
        <w:rPr>
          <w:sz w:val="20"/>
          <w:szCs w:val="20"/>
          <w:color w:val="auto"/>
        </w:rPr>
      </w:pPr>
      <w:r>
        <w:rPr>
          <w:rFonts w:ascii="Arial" w:cs="Arial" w:eastAsia="Arial" w:hAnsi="Arial"/>
          <w:sz w:val="15"/>
          <w:szCs w:val="15"/>
          <w:color w:val="auto"/>
        </w:rPr>
        <w:t>£24,415,222.30, will replace any existing disapplication of Section 561 of the Companies Act to the extent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not utilized at the date this resolution is passed and will expire on June 1, 2022, unless previously renewed,</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varied or revoked by the Company in general meeting, provided that the Company may, before such expiry,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make an offer or agreement which would or might require shares in the Company or rights to be allotted or</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granted or treasury shares to be sold after this authority expires and that the Directors may allot shares in the</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Company or grant rights or sell treasury shares pursuant to such an offer or agreement as if the authority</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conferred by this resolution had not expired.</w:t>
      </w:r>
    </w:p>
    <w:p>
      <w:pPr>
        <w:spacing w:after="0" w:line="114" w:lineRule="exact"/>
        <w:rPr>
          <w:sz w:val="20"/>
          <w:szCs w:val="20"/>
          <w:color w:val="auto"/>
        </w:rPr>
      </w:pPr>
    </w:p>
    <w:p>
      <w:pPr>
        <w:jc w:val="both"/>
        <w:ind w:left="1120" w:right="919" w:firstLine="320"/>
        <w:spacing w:after="0" w:line="264" w:lineRule="auto"/>
        <w:rPr>
          <w:sz w:val="20"/>
          <w:szCs w:val="20"/>
          <w:color w:val="auto"/>
        </w:rPr>
      </w:pPr>
      <w:r>
        <w:rPr>
          <w:rFonts w:ascii="Arial" w:cs="Arial" w:eastAsia="Arial" w:hAnsi="Arial"/>
          <w:sz w:val="15"/>
          <w:szCs w:val="15"/>
          <w:color w:val="auto"/>
        </w:rPr>
        <w:t>The Board of Directors considers that, at this stage of the development of the Company, the ability to raise new equity funds at relatively short notice and at low cost is vital to the continuing financial health of the business. We believe that it is in the best interests of the Company and our shareholders for the Board of Directors to seek to retain the ability to readily raise new equity funds at the appropriate time.</w:t>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Anti-takeover Effects of Proposal 11</w:t>
      </w:r>
    </w:p>
    <w:p>
      <w:pPr>
        <w:spacing w:after="0" w:line="128" w:lineRule="exact"/>
        <w:rPr>
          <w:sz w:val="20"/>
          <w:szCs w:val="20"/>
          <w:color w:val="auto"/>
        </w:rPr>
      </w:pPr>
    </w:p>
    <w:p>
      <w:pPr>
        <w:ind w:left="1120" w:right="1059" w:firstLine="320"/>
        <w:spacing w:after="0" w:line="255" w:lineRule="auto"/>
        <w:rPr>
          <w:sz w:val="20"/>
          <w:szCs w:val="20"/>
          <w:color w:val="auto"/>
        </w:rPr>
      </w:pPr>
      <w:r>
        <w:rPr>
          <w:rFonts w:ascii="Arial" w:cs="Arial" w:eastAsia="Arial" w:hAnsi="Arial"/>
          <w:sz w:val="15"/>
          <w:szCs w:val="15"/>
          <w:color w:val="auto"/>
        </w:rPr>
        <w:t>Release No. 34-15230 of the staff of the SEC requires disclosure and discussion of the effects of any action that may be used as an anti-takeover mechanism. Because this Proposal 11, if approved, will authorize the Board of Directors to allot new equity securities for cash without first offering them to existing shareholders, it could, under certain circumstances, have an anti- 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89" w:lineRule="exact"/>
        <w:rPr>
          <w:sz w:val="20"/>
          <w:szCs w:val="20"/>
          <w:color w:val="auto"/>
        </w:rPr>
      </w:pPr>
    </w:p>
    <w:p>
      <w:pPr>
        <w:ind w:left="1120" w:right="879" w:firstLine="320"/>
        <w:spacing w:after="0" w:line="257" w:lineRule="auto"/>
        <w:rPr>
          <w:sz w:val="20"/>
          <w:szCs w:val="20"/>
          <w:color w:val="auto"/>
        </w:rPr>
      </w:pPr>
      <w:r>
        <w:rPr>
          <w:rFonts w:ascii="Arial" w:cs="Arial" w:eastAsia="Arial" w:hAnsi="Arial"/>
          <w:sz w:val="15"/>
          <w:szCs w:val="15"/>
          <w:color w:val="auto"/>
        </w:rPr>
        <w:t>As stated above, the Company has no present intent to use any relative increase in the number of issued shares of our equity securities offered to new shareholders for anti-takeover purposes, and Proposal 11 is not part of a plan by the Board of Directors to adopt a series of anti-takeover provisions; however, if Proposal 11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VOTE REQUIRED</w:t>
      </w:r>
    </w:p>
    <w:p>
      <w:pPr>
        <w:spacing w:after="0" w:line="116" w:lineRule="exact"/>
        <w:rPr>
          <w:sz w:val="20"/>
          <w:szCs w:val="20"/>
          <w:color w:val="auto"/>
        </w:rPr>
      </w:pPr>
    </w:p>
    <w:p>
      <w:pPr>
        <w:ind w:left="1120" w:right="919" w:firstLine="320"/>
        <w:spacing w:after="0" w:line="243" w:lineRule="auto"/>
        <w:rPr>
          <w:sz w:val="20"/>
          <w:szCs w:val="20"/>
          <w:color w:val="auto"/>
        </w:rPr>
      </w:pPr>
      <w:r>
        <w:rPr>
          <w:rFonts w:ascii="Arial" w:cs="Arial" w:eastAsia="Arial" w:hAnsi="Arial"/>
          <w:sz w:val="16"/>
          <w:szCs w:val="16"/>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pacing w:after="0" w:line="33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28" w:name="page29"/>
    <w:bookmarkEnd w:id="28"/>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RECOMMENDATION OF THE BOARD OF DIRECTORS</w:t>
      </w:r>
    </w:p>
    <w:p>
      <w:pPr>
        <w:spacing w:after="0" w:line="160" w:lineRule="exact"/>
        <w:rPr>
          <w:sz w:val="20"/>
          <w:szCs w:val="20"/>
          <w:color w:val="auto"/>
        </w:rPr>
      </w:pPr>
    </w:p>
    <w:p>
      <w:pPr>
        <w:ind w:left="2280" w:right="999"/>
        <w:spacing w:after="0" w:line="260" w:lineRule="auto"/>
        <w:rPr>
          <w:sz w:val="20"/>
          <w:szCs w:val="20"/>
          <w:color w:val="auto"/>
        </w:rPr>
      </w:pPr>
      <w:r>
        <w:rPr>
          <w:rFonts w:ascii="Arial" w:cs="Arial" w:eastAsia="Arial" w:hAnsi="Arial"/>
          <w:sz w:val="16"/>
          <w:szCs w:val="16"/>
          <w:b w:val="1"/>
          <w:bCs w:val="1"/>
          <w:color w:val="auto"/>
        </w:rPr>
        <w:t>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-495300</wp:posOffset>
            </wp:positionV>
            <wp:extent cx="129540"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954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29" w:name="page30"/>
    <w:bookmarkEnd w:id="29"/>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Executive Officers</w:t>
      </w:r>
    </w:p>
    <w:p>
      <w:pPr>
        <w:spacing w:after="0" w:line="13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following table identifies our current executive officers:</w:t>
      </w:r>
    </w:p>
    <w:p>
      <w:pPr>
        <w:spacing w:after="0" w:line="156" w:lineRule="exact"/>
        <w:rPr>
          <w:sz w:val="20"/>
          <w:szCs w:val="20"/>
          <w:color w:val="auto"/>
        </w:rPr>
      </w:pPr>
    </w:p>
    <w:tbl>
      <w:tblPr>
        <w:tblLayout w:type="fixed"/>
        <w:tblInd w:w="1120" w:type="dxa"/>
        <w:tblCellMar>
          <w:top w:w="0" w:type="dxa"/>
          <w:left w:w="0" w:type="dxa"/>
          <w:bottom w:w="0" w:type="dxa"/>
          <w:right w:w="0" w:type="dxa"/>
        </w:tblCellMar>
      </w:tblPr>
      <w:tr>
        <w:trPr>
          <w:trHeight w:val="166"/>
        </w:trPr>
        <w:tc>
          <w:tcPr>
            <w:tcW w:w="28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ind w:left="20"/>
              <w:spacing w:after="0"/>
              <w:rPr>
                <w:sz w:val="20"/>
                <w:szCs w:val="20"/>
                <w:color w:val="auto"/>
              </w:rPr>
            </w:pPr>
            <w:r>
              <w:rPr>
                <w:rFonts w:ascii="Arial" w:cs="Arial" w:eastAsia="Arial" w:hAnsi="Arial"/>
                <w:sz w:val="13"/>
                <w:szCs w:val="13"/>
                <w:b w:val="1"/>
                <w:bCs w:val="1"/>
                <w:color w:val="auto"/>
                <w:w w:val="89"/>
              </w:rPr>
              <w:t>Age</w:t>
            </w:r>
          </w:p>
        </w:tc>
        <w:tc>
          <w:tcPr>
            <w:tcW w:w="200" w:type="dxa"/>
            <w:vAlign w:val="bottom"/>
          </w:tcPr>
          <w:p>
            <w:pPr>
              <w:spacing w:after="0"/>
              <w:rPr>
                <w:sz w:val="14"/>
                <w:szCs w:val="14"/>
                <w:color w:val="auto"/>
              </w:rPr>
            </w:pPr>
          </w:p>
        </w:tc>
        <w:tc>
          <w:tcPr>
            <w:tcW w:w="3940" w:type="dxa"/>
            <w:vAlign w:val="bottom"/>
          </w:tcPr>
          <w:p>
            <w:pPr>
              <w:ind w:left="1760"/>
              <w:spacing w:after="0"/>
              <w:rPr>
                <w:sz w:val="20"/>
                <w:szCs w:val="20"/>
                <w:color w:val="auto"/>
              </w:rPr>
            </w:pPr>
            <w:r>
              <w:rPr>
                <w:rFonts w:ascii="Arial" w:cs="Arial" w:eastAsia="Arial" w:hAnsi="Arial"/>
                <w:sz w:val="13"/>
                <w:szCs w:val="13"/>
                <w:b w:val="1"/>
                <w:bCs w:val="1"/>
                <w:color w:val="auto"/>
              </w:rPr>
              <w:t>Position</w:t>
            </w:r>
          </w:p>
        </w:tc>
      </w:tr>
      <w:tr>
        <w:trPr>
          <w:trHeight w:val="22"/>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line="223" w:lineRule="exact"/>
              <w:rPr>
                <w:sz w:val="20"/>
                <w:szCs w:val="20"/>
                <w:color w:val="auto"/>
              </w:rPr>
            </w:pPr>
            <w:r>
              <w:rPr>
                <w:rFonts w:ascii="Arial" w:cs="Arial" w:eastAsia="Arial" w:hAnsi="Arial"/>
                <w:sz w:val="16"/>
                <w:szCs w:val="16"/>
                <w:color w:val="auto"/>
              </w:rPr>
              <w:t>David Zaccardelli, Pharm.D.</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56</w:t>
            </w:r>
          </w:p>
        </w:tc>
        <w:tc>
          <w:tcPr>
            <w:tcW w:w="4140" w:type="dxa"/>
            <w:vAlign w:val="bottom"/>
            <w:gridSpan w:val="2"/>
          </w:tcPr>
          <w:p>
            <w:pPr>
              <w:ind w:left="200"/>
              <w:spacing w:after="0"/>
              <w:rPr>
                <w:sz w:val="20"/>
                <w:szCs w:val="20"/>
                <w:color w:val="auto"/>
              </w:rPr>
            </w:pPr>
            <w:r>
              <w:rPr>
                <w:rFonts w:ascii="Arial" w:cs="Arial" w:eastAsia="Arial" w:hAnsi="Arial"/>
                <w:sz w:val="16"/>
                <w:szCs w:val="16"/>
                <w:color w:val="auto"/>
                <w:w w:val="96"/>
              </w:rPr>
              <w:t>President, Chief Executive Officer and Executive Director</w:t>
            </w:r>
          </w:p>
        </w:tc>
      </w:tr>
      <w:tr>
        <w:trPr>
          <w:trHeight w:val="240"/>
        </w:trPr>
        <w:tc>
          <w:tcPr>
            <w:tcW w:w="2880" w:type="dxa"/>
            <w:vAlign w:val="bottom"/>
            <w:gridSpan w:val="3"/>
          </w:tcPr>
          <w:p>
            <w:pPr>
              <w:spacing w:after="0" w:line="240" w:lineRule="exact"/>
              <w:rPr>
                <w:sz w:val="20"/>
                <w:szCs w:val="20"/>
                <w:color w:val="auto"/>
              </w:rPr>
            </w:pPr>
            <w:r>
              <w:rPr>
                <w:rFonts w:ascii="Arial" w:cs="Arial" w:eastAsia="Arial" w:hAnsi="Arial"/>
                <w:sz w:val="16"/>
                <w:szCs w:val="16"/>
                <w:color w:val="auto"/>
              </w:rPr>
              <w:t>Mark W. Hahn</w:t>
            </w:r>
            <w:r>
              <w:rPr>
                <w:rFonts w:ascii="Arial" w:cs="Arial" w:eastAsia="Arial" w:hAnsi="Arial"/>
                <w:sz w:val="23"/>
                <w:szCs w:val="23"/>
                <w:color w:val="auto"/>
                <w:vertAlign w:val="superscript"/>
              </w:rPr>
              <w:t>(2)</w:t>
            </w:r>
          </w:p>
        </w:tc>
        <w:tc>
          <w:tcPr>
            <w:tcW w:w="260" w:type="dxa"/>
            <w:vAlign w:val="bottom"/>
          </w:tcPr>
          <w:p>
            <w:pPr>
              <w:ind w:left="40"/>
              <w:spacing w:after="0"/>
              <w:rPr>
                <w:sz w:val="20"/>
                <w:szCs w:val="20"/>
                <w:color w:val="auto"/>
              </w:rPr>
            </w:pPr>
            <w:r>
              <w:rPr>
                <w:rFonts w:ascii="Arial" w:cs="Arial" w:eastAsia="Arial" w:hAnsi="Arial"/>
                <w:sz w:val="16"/>
                <w:szCs w:val="16"/>
                <w:color w:val="auto"/>
              </w:rPr>
              <w:t>58</w:t>
            </w:r>
          </w:p>
        </w:tc>
        <w:tc>
          <w:tcPr>
            <w:tcW w:w="4140" w:type="dxa"/>
            <w:vAlign w:val="bottom"/>
            <w:gridSpan w:val="2"/>
          </w:tcPr>
          <w:p>
            <w:pPr>
              <w:ind w:left="200"/>
              <w:spacing w:after="0"/>
              <w:rPr>
                <w:sz w:val="20"/>
                <w:szCs w:val="20"/>
                <w:color w:val="auto"/>
              </w:rPr>
            </w:pPr>
            <w:r>
              <w:rPr>
                <w:rFonts w:ascii="Arial" w:cs="Arial" w:eastAsia="Arial" w:hAnsi="Arial"/>
                <w:sz w:val="16"/>
                <w:szCs w:val="16"/>
                <w:color w:val="auto"/>
              </w:rPr>
              <w:t>Chief Financial Officer</w:t>
            </w:r>
          </w:p>
        </w:tc>
      </w:tr>
      <w:tr>
        <w:trPr>
          <w:trHeight w:val="240"/>
        </w:trPr>
        <w:tc>
          <w:tcPr>
            <w:tcW w:w="2880" w:type="dxa"/>
            <w:vAlign w:val="bottom"/>
            <w:gridSpan w:val="3"/>
          </w:tcPr>
          <w:p>
            <w:pPr>
              <w:spacing w:after="0" w:line="240" w:lineRule="exact"/>
              <w:rPr>
                <w:sz w:val="20"/>
                <w:szCs w:val="20"/>
                <w:color w:val="auto"/>
              </w:rPr>
            </w:pPr>
            <w:r>
              <w:rPr>
                <w:rFonts w:ascii="Arial" w:cs="Arial" w:eastAsia="Arial" w:hAnsi="Arial"/>
                <w:sz w:val="16"/>
                <w:szCs w:val="16"/>
                <w:color w:val="auto"/>
              </w:rPr>
              <w:t>Claire Poll</w:t>
            </w:r>
            <w:r>
              <w:rPr>
                <w:rFonts w:ascii="Arial" w:cs="Arial" w:eastAsia="Arial" w:hAnsi="Arial"/>
                <w:sz w:val="23"/>
                <w:szCs w:val="23"/>
                <w:color w:val="auto"/>
                <w:vertAlign w:val="superscript"/>
              </w:rPr>
              <w:t>(3)</w:t>
            </w:r>
          </w:p>
        </w:tc>
        <w:tc>
          <w:tcPr>
            <w:tcW w:w="260" w:type="dxa"/>
            <w:vAlign w:val="bottom"/>
          </w:tcPr>
          <w:p>
            <w:pPr>
              <w:ind w:left="40"/>
              <w:spacing w:after="0"/>
              <w:rPr>
                <w:sz w:val="20"/>
                <w:szCs w:val="20"/>
                <w:color w:val="auto"/>
              </w:rPr>
            </w:pPr>
            <w:r>
              <w:rPr>
                <w:rFonts w:ascii="Arial" w:cs="Arial" w:eastAsia="Arial" w:hAnsi="Arial"/>
                <w:sz w:val="16"/>
                <w:szCs w:val="16"/>
                <w:color w:val="auto"/>
              </w:rPr>
              <w:t>54</w:t>
            </w:r>
          </w:p>
        </w:tc>
        <w:tc>
          <w:tcPr>
            <w:tcW w:w="4140" w:type="dxa"/>
            <w:vAlign w:val="bottom"/>
            <w:gridSpan w:val="2"/>
          </w:tcPr>
          <w:p>
            <w:pPr>
              <w:ind w:left="200"/>
              <w:spacing w:after="0"/>
              <w:rPr>
                <w:sz w:val="20"/>
                <w:szCs w:val="20"/>
                <w:color w:val="auto"/>
              </w:rPr>
            </w:pPr>
            <w:r>
              <w:rPr>
                <w:rFonts w:ascii="Arial" w:cs="Arial" w:eastAsia="Arial" w:hAnsi="Arial"/>
                <w:sz w:val="16"/>
                <w:szCs w:val="16"/>
                <w:color w:val="auto"/>
              </w:rPr>
              <w:t>General Counsel</w:t>
            </w:r>
          </w:p>
        </w:tc>
      </w:tr>
      <w:tr>
        <w:trPr>
          <w:trHeight w:val="313"/>
        </w:trPr>
        <w:tc>
          <w:tcPr>
            <w:tcW w:w="2880" w:type="dxa"/>
            <w:vAlign w:val="bottom"/>
            <w:gridSpan w:val="3"/>
          </w:tcPr>
          <w:p>
            <w:pPr>
              <w:spacing w:after="0"/>
              <w:rPr>
                <w:sz w:val="20"/>
                <w:szCs w:val="20"/>
                <w:color w:val="auto"/>
              </w:rPr>
            </w:pPr>
            <w:r>
              <w:rPr>
                <w:rFonts w:ascii="Arial" w:cs="Arial" w:eastAsia="Arial" w:hAnsi="Arial"/>
                <w:sz w:val="16"/>
                <w:szCs w:val="16"/>
                <w:color w:val="auto"/>
              </w:rPr>
              <w:t>Kathleen Rickard, M.D.</w:t>
            </w:r>
            <w:r>
              <w:rPr>
                <w:rFonts w:ascii="Arial" w:cs="Arial" w:eastAsia="Arial" w:hAnsi="Arial"/>
                <w:sz w:val="23"/>
                <w:szCs w:val="23"/>
                <w:color w:val="auto"/>
                <w:vertAlign w:val="superscript"/>
              </w:rPr>
              <w:t>(4)</w:t>
            </w:r>
          </w:p>
        </w:tc>
        <w:tc>
          <w:tcPr>
            <w:tcW w:w="260" w:type="dxa"/>
            <w:vAlign w:val="bottom"/>
          </w:tcPr>
          <w:p>
            <w:pPr>
              <w:ind w:left="40"/>
              <w:spacing w:after="0"/>
              <w:rPr>
                <w:sz w:val="20"/>
                <w:szCs w:val="20"/>
                <w:color w:val="auto"/>
              </w:rPr>
            </w:pPr>
            <w:r>
              <w:rPr>
                <w:rFonts w:ascii="Arial" w:cs="Arial" w:eastAsia="Arial" w:hAnsi="Arial"/>
                <w:sz w:val="16"/>
                <w:szCs w:val="16"/>
                <w:color w:val="auto"/>
              </w:rPr>
              <w:t>62</w:t>
            </w:r>
          </w:p>
        </w:tc>
        <w:tc>
          <w:tcPr>
            <w:tcW w:w="4140" w:type="dxa"/>
            <w:vAlign w:val="bottom"/>
            <w:gridSpan w:val="2"/>
          </w:tcPr>
          <w:p>
            <w:pPr>
              <w:ind w:left="200"/>
              <w:spacing w:after="0"/>
              <w:rPr>
                <w:sz w:val="20"/>
                <w:szCs w:val="20"/>
                <w:color w:val="auto"/>
              </w:rPr>
            </w:pPr>
            <w:r>
              <w:rPr>
                <w:rFonts w:ascii="Arial" w:cs="Arial" w:eastAsia="Arial" w:hAnsi="Arial"/>
                <w:sz w:val="16"/>
                <w:szCs w:val="16"/>
                <w:color w:val="auto"/>
              </w:rPr>
              <w:t>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80645</wp:posOffset>
            </wp:positionV>
            <wp:extent cx="10960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27" w:lineRule="exact"/>
        <w:rPr>
          <w:sz w:val="20"/>
          <w:szCs w:val="20"/>
          <w:color w:val="auto"/>
        </w:rPr>
      </w:pPr>
    </w:p>
    <w:p>
      <w:pPr>
        <w:ind w:left="1440" w:hanging="320"/>
        <w:spacing w:after="0"/>
        <w:tabs>
          <w:tab w:leader="none" w:pos="1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biography on page 11 of this proxy statement.</w:t>
      </w:r>
    </w:p>
    <w:p>
      <w:pPr>
        <w:spacing w:after="0" w:line="51" w:lineRule="exact"/>
        <w:rPr>
          <w:rFonts w:ascii="Arial" w:cs="Arial" w:eastAsia="Arial" w:hAnsi="Arial"/>
          <w:sz w:val="16"/>
          <w:szCs w:val="16"/>
          <w:color w:val="auto"/>
        </w:rPr>
      </w:pPr>
    </w:p>
    <w:p>
      <w:pPr>
        <w:ind w:left="1440" w:right="879" w:hanging="320"/>
        <w:spacing w:after="0" w:line="255" w:lineRule="auto"/>
        <w:tabs>
          <w:tab w:leader="none" w:pos="144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Mark Hahn</w:t>
      </w:r>
      <w:r>
        <w:rPr>
          <w:rFonts w:ascii="Arial" w:cs="Arial" w:eastAsia="Arial" w:hAnsi="Arial"/>
          <w:sz w:val="16"/>
          <w:szCs w:val="16"/>
          <w:color w:val="auto"/>
        </w:rPr>
        <w:t>. Mr. Hahn has served as our Chief Financial Officer since February 2020. From</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November 2017, Mr. Hahn was CFO of Cempra, Inc. Mr. Hahn received a B.B.A. degree in Accounting and Finance from the University of Wisconsin-Milwaukee and is a Certified Public Accountant in Maryland and North Carolina.</w:t>
      </w:r>
    </w:p>
    <w:p>
      <w:pPr>
        <w:spacing w:after="0" w:line="22" w:lineRule="exact"/>
        <w:rPr>
          <w:rFonts w:ascii="Arial" w:cs="Arial" w:eastAsia="Arial" w:hAnsi="Arial"/>
          <w:sz w:val="16"/>
          <w:szCs w:val="16"/>
          <w:color w:val="auto"/>
        </w:rPr>
      </w:pPr>
    </w:p>
    <w:p>
      <w:pPr>
        <w:ind w:left="1440" w:right="899" w:hanging="320"/>
        <w:spacing w:after="0" w:line="279" w:lineRule="auto"/>
        <w:tabs>
          <w:tab w:leader="none" w:pos="144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Claire Poll</w:t>
      </w:r>
      <w:r>
        <w:rPr>
          <w:rFonts w:ascii="Arial" w:cs="Arial" w:eastAsia="Arial" w:hAnsi="Arial"/>
          <w:sz w:val="15"/>
          <w:szCs w:val="15"/>
          <w:color w:val="auto"/>
        </w:rPr>
        <w:t>. Ms. Poll has served as General Counsel since September 2016. From September 2015 to</w:t>
      </w:r>
      <w:r>
        <w:rPr>
          <w:rFonts w:ascii="Arial" w:cs="Arial" w:eastAsia="Arial" w:hAnsi="Arial"/>
          <w:sz w:val="15"/>
          <w:szCs w:val="15"/>
          <w:b w:val="1"/>
          <w:bCs w:val="1"/>
          <w:color w:val="auto"/>
        </w:rPr>
        <w:t xml:space="preserve"> </w:t>
      </w:r>
      <w:r>
        <w:rPr>
          <w:rFonts w:ascii="Arial" w:cs="Arial" w:eastAsia="Arial" w:hAnsi="Arial"/>
          <w:sz w:val="15"/>
          <w:szCs w:val="15"/>
          <w:color w:val="auto"/>
        </w:rPr>
        <w:t>August 2016, Ms. Poll served as an advisor to us on legal, general corporate 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6" w:lineRule="exact"/>
        <w:rPr>
          <w:rFonts w:ascii="Arial" w:cs="Arial" w:eastAsia="Arial" w:hAnsi="Arial"/>
          <w:sz w:val="15"/>
          <w:szCs w:val="15"/>
          <w:color w:val="auto"/>
        </w:rPr>
      </w:pPr>
    </w:p>
    <w:p>
      <w:pPr>
        <w:ind w:left="1440" w:right="899" w:hanging="320"/>
        <w:spacing w:after="0" w:line="274" w:lineRule="auto"/>
        <w:tabs>
          <w:tab w:leader="none" w:pos="144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Kathleen Rickard, M.D. </w:t>
      </w:r>
      <w:r>
        <w:rPr>
          <w:rFonts w:ascii="Arial" w:cs="Arial" w:eastAsia="Arial" w:hAnsi="Arial"/>
          <w:sz w:val="15"/>
          <w:szCs w:val="15"/>
          <w:color w:val="auto"/>
        </w:rPr>
        <w:t>Dr. Rickard has served as our Chief Medical Officer since February 2019. Prior</w:t>
      </w:r>
      <w:r>
        <w:rPr>
          <w:rFonts w:ascii="Arial" w:cs="Arial" w:eastAsia="Arial" w:hAnsi="Arial"/>
          <w:sz w:val="15"/>
          <w:szCs w:val="15"/>
          <w:b w:val="1"/>
          <w:bCs w:val="1"/>
          <w:color w:val="auto"/>
        </w:rPr>
        <w:t xml:space="preserve"> </w:t>
      </w:r>
      <w:r>
        <w:rPr>
          <w:rFonts w:ascii="Arial" w:cs="Arial" w:eastAsia="Arial" w:hAnsi="Arial"/>
          <w:sz w:val="15"/>
          <w:szCs w:val="15"/>
          <w:color w:val="auto"/>
        </w:rPr>
        <w:t>to joining Verona Pharma, Dr. Rickard served in multiple roles at Aerocrine 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82" w:lineRule="exact"/>
        <w:rPr>
          <w:rFonts w:ascii="Arial" w:cs="Arial" w:eastAsia="Arial" w:hAnsi="Arial"/>
          <w:sz w:val="15"/>
          <w:szCs w:val="15"/>
          <w:color w:val="auto"/>
        </w:rPr>
      </w:pPr>
    </w:p>
    <w:p>
      <w:pPr>
        <w:ind w:left="1440"/>
        <w:spacing w:after="0"/>
        <w:rPr>
          <w:rFonts w:ascii="Arial" w:cs="Arial" w:eastAsia="Arial" w:hAnsi="Arial"/>
          <w:sz w:val="15"/>
          <w:szCs w:val="15"/>
          <w:color w:val="auto"/>
        </w:rPr>
      </w:pPr>
      <w:r>
        <w:rPr>
          <w:rFonts w:ascii="Arial" w:cs="Arial" w:eastAsia="Arial" w:hAnsi="Arial"/>
          <w:sz w:val="16"/>
          <w:szCs w:val="16"/>
          <w:color w:val="auto"/>
        </w:rPr>
        <w:t>There are no family relationships among any of our executive officers or directors.</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Corporate Governance</w:t>
      </w: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GENERAL</w:t>
      </w:r>
    </w:p>
    <w:p>
      <w:pPr>
        <w:spacing w:after="0" w:line="140" w:lineRule="exact"/>
        <w:rPr>
          <w:sz w:val="20"/>
          <w:szCs w:val="20"/>
          <w:color w:val="auto"/>
        </w:rPr>
      </w:pPr>
    </w:p>
    <w:p>
      <w:pPr>
        <w:ind w:left="1120" w:right="919" w:firstLine="320"/>
        <w:spacing w:after="0" w:line="238" w:lineRule="auto"/>
        <w:rPr>
          <w:sz w:val="20"/>
          <w:szCs w:val="20"/>
          <w:color w:val="auto"/>
        </w:rPr>
      </w:pPr>
      <w:r>
        <w:rPr>
          <w:rFonts w:ascii="Arial" w:cs="Arial" w:eastAsia="Arial" w:hAnsi="Arial"/>
          <w:sz w:val="16"/>
          <w:szCs w:val="16"/>
          <w:color w:val="auto"/>
        </w:rPr>
        <w:t xml:space="preserve">Our Board of Directors has adopted, among other policies, Corporate Governance Guidelines, a Code of Business Conduct and Ethics, an Insider Trading Compliance Policy, a Whistleblowing Policy and terms of reference for the Nomination and Corporate Governance Committee, Audit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 in the “Corporate Governance” section of our investor relations website located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w:t>
      </w:r>
    </w:p>
    <w:p>
      <w:pPr>
        <w:spacing w:after="0" w:line="17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BOARD COMPOSITION</w:t>
      </w:r>
    </w:p>
    <w:p>
      <w:pPr>
        <w:spacing w:after="0" w:line="140" w:lineRule="exact"/>
        <w:rPr>
          <w:sz w:val="20"/>
          <w:szCs w:val="20"/>
          <w:color w:val="auto"/>
        </w:rPr>
      </w:pPr>
    </w:p>
    <w:p>
      <w:pPr>
        <w:ind w:left="1120" w:right="1119" w:firstLine="320"/>
        <w:spacing w:after="0" w:line="261" w:lineRule="auto"/>
        <w:rPr>
          <w:sz w:val="20"/>
          <w:szCs w:val="20"/>
          <w:color w:val="auto"/>
        </w:rPr>
      </w:pPr>
      <w:r>
        <w:rPr>
          <w:rFonts w:ascii="Arial" w:cs="Arial" w:eastAsia="Arial" w:hAnsi="Arial"/>
          <w:sz w:val="16"/>
          <w:szCs w:val="16"/>
          <w:color w:val="auto"/>
        </w:rPr>
        <w:t>Our Board of Directors currently consists of ten members, including one executive director and nine non-executive directors.</w:t>
      </w:r>
    </w:p>
    <w:p>
      <w:pPr>
        <w:spacing w:after="0" w:line="79" w:lineRule="exact"/>
        <w:rPr>
          <w:sz w:val="20"/>
          <w:szCs w:val="20"/>
          <w:color w:val="auto"/>
        </w:rPr>
      </w:pPr>
    </w:p>
    <w:p>
      <w:pPr>
        <w:ind w:left="1120" w:right="1199" w:firstLine="320"/>
        <w:spacing w:after="0" w:line="243" w:lineRule="auto"/>
        <w:rPr>
          <w:sz w:val="20"/>
          <w:szCs w:val="20"/>
          <w:color w:val="auto"/>
        </w:rPr>
      </w:pPr>
      <w:r>
        <w:rPr>
          <w:rFonts w:ascii="Arial" w:cs="Arial" w:eastAsia="Arial" w:hAnsi="Arial"/>
          <w:sz w:val="16"/>
          <w:szCs w:val="16"/>
          <w:color w:val="auto"/>
        </w:rPr>
        <w:t>Our Articles of Association require that those directors who were appointed by the Board since our 2020 annual general meeting of shareholders must retire from office and may offer themselves for re-election. Accordingly, Lisa Deschamps will retire from office and offer herself for re-election by our shareholders at the AGM.</w:t>
      </w:r>
    </w:p>
    <w:p>
      <w:pPr>
        <w:spacing w:after="0" w:line="33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30" w:name="page31"/>
    <w:bookmarkEnd w:id="30"/>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19" w:firstLine="320"/>
        <w:spacing w:after="0" w:line="255" w:lineRule="auto"/>
        <w:rPr>
          <w:sz w:val="20"/>
          <w:szCs w:val="20"/>
          <w:color w:val="auto"/>
        </w:rPr>
      </w:pPr>
      <w:r>
        <w:rPr>
          <w:rFonts w:ascii="Arial" w:cs="Arial" w:eastAsia="Arial" w:hAnsi="Arial"/>
          <w:sz w:val="15"/>
          <w:szCs w:val="15"/>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nine directors subject to retirement by rotation, David Ebsworth, Ph.D., Martin Edwards, M.D. and Anders Ullman, M.D., Ph.D. will, on this occasion, retire from office and stand for re-election by our shareholders.</w:t>
      </w:r>
    </w:p>
    <w:p>
      <w:pPr>
        <w:spacing w:after="0" w:line="85" w:lineRule="exact"/>
        <w:rPr>
          <w:sz w:val="20"/>
          <w:szCs w:val="20"/>
          <w:color w:val="auto"/>
        </w:rPr>
      </w:pPr>
    </w:p>
    <w:p>
      <w:pPr>
        <w:ind w:left="1120" w:right="959" w:firstLine="320"/>
        <w:spacing w:after="0" w:line="239" w:lineRule="auto"/>
        <w:rPr>
          <w:sz w:val="20"/>
          <w:szCs w:val="20"/>
          <w:color w:val="auto"/>
        </w:rPr>
      </w:pPr>
      <w:r>
        <w:rPr>
          <w:rFonts w:ascii="Arial" w:cs="Arial" w:eastAsia="Arial" w:hAnsi="Arial"/>
          <w:sz w:val="16"/>
          <w:szCs w:val="16"/>
          <w:color w:val="auto"/>
        </w:rPr>
        <w:t>Having carried out an evaluation of the individual performance of each of Lisa Deschamps, David Ebsworth, Ph.D., Martin Edwards, M.D. and Anders Ullman, M.D., Ph.D.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Ms. Deschamps, Dr. Ebsworth, Dr. Edwards and Dr. Ullman to seek re-election at the AGM.</w:t>
      </w:r>
    </w:p>
    <w:p>
      <w:pPr>
        <w:spacing w:after="0" w:line="111" w:lineRule="exact"/>
        <w:rPr>
          <w:sz w:val="20"/>
          <w:szCs w:val="20"/>
          <w:color w:val="auto"/>
        </w:rPr>
      </w:pPr>
    </w:p>
    <w:p>
      <w:pPr>
        <w:ind w:left="1120" w:right="899" w:firstLine="320"/>
        <w:spacing w:after="0" w:line="243" w:lineRule="auto"/>
        <w:rPr>
          <w:sz w:val="20"/>
          <w:szCs w:val="20"/>
          <w:color w:val="auto"/>
        </w:rPr>
      </w:pPr>
      <w:r>
        <w:rPr>
          <w:rFonts w:ascii="Arial" w:cs="Arial" w:eastAsia="Arial" w:hAnsi="Arial"/>
          <w:sz w:val="16"/>
          <w:szCs w:val="16"/>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ten members, including one executive director and nine non-executive directors.</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DIRECTOR INDEPENDENCE</w:t>
      </w:r>
    </w:p>
    <w:p>
      <w:pPr>
        <w:spacing w:after="0" w:line="140" w:lineRule="exact"/>
        <w:rPr>
          <w:sz w:val="20"/>
          <w:szCs w:val="20"/>
          <w:color w:val="auto"/>
        </w:rPr>
      </w:pPr>
    </w:p>
    <w:p>
      <w:pPr>
        <w:ind w:left="1120" w:right="919" w:firstLine="320"/>
        <w:spacing w:after="0" w:line="253" w:lineRule="auto"/>
        <w:rPr>
          <w:sz w:val="20"/>
          <w:szCs w:val="20"/>
          <w:color w:val="auto"/>
        </w:rPr>
      </w:pPr>
      <w:r>
        <w:rPr>
          <w:rFonts w:ascii="Arial" w:cs="Arial" w:eastAsia="Arial" w:hAnsi="Arial"/>
          <w:sz w:val="15"/>
          <w:szCs w:val="15"/>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Gupta and Dr. Shah are affiliated with certain of our significant stockholders. Dr. Zaccardelli is not independent because he is the President and Chief Executive Officer of our Company. Jan-Anders Karlsson, Ph.D, our former President and Chief Executive Officer, did not qualify as independent during the period he served on our Board in 2020 until his departure on February 2, 2020.</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DIRECTOR CANDIDATES</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Director Nomination Process</w:t>
      </w:r>
    </w:p>
    <w:p>
      <w:pPr>
        <w:spacing w:after="0" w:line="128" w:lineRule="exact"/>
        <w:rPr>
          <w:sz w:val="20"/>
          <w:szCs w:val="20"/>
          <w:color w:val="auto"/>
        </w:rPr>
      </w:pPr>
    </w:p>
    <w:p>
      <w:pPr>
        <w:ind w:left="1120" w:right="999" w:firstLine="320"/>
        <w:spacing w:after="0" w:line="270" w:lineRule="auto"/>
        <w:rPr>
          <w:sz w:val="20"/>
          <w:szCs w:val="20"/>
          <w:color w:val="auto"/>
        </w:rPr>
      </w:pPr>
      <w:r>
        <w:rPr>
          <w:rFonts w:ascii="Arial" w:cs="Arial" w:eastAsia="Arial" w:hAnsi="Arial"/>
          <w:sz w:val="15"/>
          <w:szCs w:val="15"/>
          <w:color w:val="auto"/>
        </w:rPr>
        <w:t>The Nomination and Corporate Governance Committee is primarily responsible for searching for qualified director candidates for election to the Board and filling vacancies on the Board of Directors. To 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 the Nomination and Corporate Governance Committee for candidates for election as a director. Lisa Deschamps, a nominee for appointment to our Board of Directors, was identified and recommended as a potential candidate to serve on our Board of Directors by several of our non-executive directors.</w:t>
      </w:r>
    </w:p>
    <w:p>
      <w:pPr>
        <w:spacing w:after="0" w:line="33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1" w:name="page32"/>
    <w:bookmarkEnd w:id="31"/>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879" w:firstLine="320"/>
        <w:spacing w:after="0" w:line="252" w:lineRule="auto"/>
        <w:rPr>
          <w:sz w:val="20"/>
          <w:szCs w:val="20"/>
          <w:color w:val="auto"/>
        </w:rPr>
      </w:pPr>
      <w:r>
        <w:rPr>
          <w:rFonts w:ascii="Arial" w:cs="Arial" w:eastAsia="Arial" w:hAnsi="Arial"/>
          <w:sz w:val="15"/>
          <w:szCs w:val="15"/>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Shareholder Recommendations and Nominees</w:t>
      </w:r>
    </w:p>
    <w:p>
      <w:pPr>
        <w:spacing w:after="0" w:line="128" w:lineRule="exact"/>
        <w:rPr>
          <w:sz w:val="20"/>
          <w:szCs w:val="20"/>
          <w:color w:val="auto"/>
        </w:rPr>
      </w:pPr>
    </w:p>
    <w:p>
      <w:pPr>
        <w:ind w:left="1120" w:right="919" w:firstLine="320"/>
        <w:spacing w:after="0" w:line="239" w:lineRule="auto"/>
        <w:rPr>
          <w:sz w:val="20"/>
          <w:szCs w:val="20"/>
          <w:color w:val="auto"/>
        </w:rPr>
      </w:pPr>
      <w:r>
        <w:rPr>
          <w:rFonts w:ascii="Arial" w:cs="Arial" w:eastAsia="Arial" w:hAnsi="Arial"/>
          <w:sz w:val="16"/>
          <w:szCs w:val="16"/>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 -by-case basis, and (iii) the expectation that recommendations from shareholders would be considered in the same manner as recommendations by directors, officers, outside advisors or search firms in the event of a vacancy on the Board.</w:t>
      </w:r>
    </w:p>
    <w:p>
      <w:pPr>
        <w:spacing w:after="0" w:line="111" w:lineRule="exact"/>
        <w:rPr>
          <w:sz w:val="20"/>
          <w:szCs w:val="20"/>
          <w:color w:val="auto"/>
        </w:rPr>
      </w:pPr>
    </w:p>
    <w:p>
      <w:pPr>
        <w:ind w:left="1120" w:right="879" w:firstLine="320"/>
        <w:spacing w:after="0" w:line="239" w:lineRule="auto"/>
        <w:rPr>
          <w:sz w:val="20"/>
          <w:szCs w:val="20"/>
          <w:color w:val="auto"/>
        </w:rPr>
      </w:pPr>
      <w:r>
        <w:rPr>
          <w:rFonts w:ascii="Arial" w:cs="Arial" w:eastAsia="Arial" w:hAnsi="Arial"/>
          <w:sz w:val="16"/>
          <w:szCs w:val="16"/>
          <w:color w:val="auto"/>
        </w:rPr>
        <w:t>Shareholders who desire to nominate persons directly for election to the Board of Directors at an annual general meeting of shareholders must meet the deadlines and other requirements set forth under “Additional Information — Shareholder Proposals for 2022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COMMUNICATIONS FROM SHAREHOLDERS</w:t>
      </w:r>
    </w:p>
    <w:p>
      <w:pPr>
        <w:spacing w:after="0" w:line="140" w:lineRule="exact"/>
        <w:rPr>
          <w:sz w:val="20"/>
          <w:szCs w:val="20"/>
          <w:color w:val="auto"/>
        </w:rPr>
      </w:pPr>
    </w:p>
    <w:p>
      <w:pPr>
        <w:ind w:left="1120" w:right="919" w:firstLine="320"/>
        <w:spacing w:after="0" w:line="243"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94" w:lineRule="exact"/>
        <w:rPr>
          <w:sz w:val="20"/>
          <w:szCs w:val="20"/>
          <w:color w:val="auto"/>
        </w:rPr>
      </w:pPr>
    </w:p>
    <w:p>
      <w:pPr>
        <w:ind w:left="1120" w:right="899" w:firstLine="320"/>
        <w:spacing w:after="0" w:line="256" w:lineRule="auto"/>
        <w:rPr>
          <w:sz w:val="20"/>
          <w:szCs w:val="20"/>
          <w:color w:val="auto"/>
        </w:rPr>
      </w:pPr>
      <w:r>
        <w:rPr>
          <w:rFonts w:ascii="Arial" w:cs="Arial" w:eastAsia="Arial" w:hAnsi="Arial"/>
          <w:sz w:val="15"/>
          <w:szCs w:val="15"/>
          <w:color w:val="auto"/>
        </w:rPr>
        <w:t>Communications are forwarded to all directors if they relate to important substantive matters and include suggestions or comments that our Company Secretary or General Counsel and Chairman of the Board consider to be important for the directors to know. In general, communications relating to corporate governance and long -term corporate strategy are more likely to be forwarded than communications relating to ordinary business affairs, personal grievances and matters as to which we tend to receive repetitive 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 60 Gracechurch Street, London, EC3V 0HR.</w:t>
      </w:r>
    </w:p>
    <w:p>
      <w:pPr>
        <w:spacing w:after="0" w:line="8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BOARD LEADERSHIP STRUCTURE AND ROLE IN RISK OVERSIGHT</w:t>
      </w:r>
    </w:p>
    <w:p>
      <w:pPr>
        <w:spacing w:after="0" w:line="140" w:lineRule="exact"/>
        <w:rPr>
          <w:sz w:val="20"/>
          <w:szCs w:val="20"/>
          <w:color w:val="auto"/>
        </w:rPr>
      </w:pPr>
    </w:p>
    <w:p>
      <w:pPr>
        <w:ind w:left="1120" w:right="1039" w:firstLine="320"/>
        <w:spacing w:after="0" w:line="272" w:lineRule="auto"/>
        <w:rPr>
          <w:sz w:val="20"/>
          <w:szCs w:val="20"/>
          <w:color w:val="auto"/>
        </w:rPr>
      </w:pPr>
      <w:r>
        <w:rPr>
          <w:rFonts w:ascii="Arial" w:cs="Arial" w:eastAsia="Arial" w:hAnsi="Arial"/>
          <w:sz w:val="15"/>
          <w:szCs w:val="15"/>
          <w:color w:val="auto"/>
        </w:rPr>
        <w:t>Our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based</w:t>
      </w:r>
    </w:p>
    <w:p>
      <w:pPr>
        <w:spacing w:after="0" w:line="30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2" w:name="page33"/>
    <w:bookmarkEnd w:id="32"/>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1679"/>
        <w:spacing w:after="0" w:line="261" w:lineRule="auto"/>
        <w:rPr>
          <w:sz w:val="20"/>
          <w:szCs w:val="20"/>
          <w:color w:val="auto"/>
        </w:rPr>
      </w:pPr>
      <w:r>
        <w:rPr>
          <w:rFonts w:ascii="Arial" w:cs="Arial" w:eastAsia="Arial" w:hAnsi="Arial"/>
          <w:sz w:val="16"/>
          <w:szCs w:val="16"/>
          <w:color w:val="auto"/>
        </w:rPr>
        <w:t>on the circumstances at that time. We recognize that different board leadership structures may be appropriate for companies in different situations.</w:t>
      </w:r>
    </w:p>
    <w:p>
      <w:pPr>
        <w:spacing w:after="0" w:line="79" w:lineRule="exact"/>
        <w:rPr>
          <w:sz w:val="20"/>
          <w:szCs w:val="20"/>
          <w:color w:val="auto"/>
        </w:rPr>
      </w:pPr>
    </w:p>
    <w:p>
      <w:pPr>
        <w:ind w:left="1120" w:right="939" w:firstLine="320"/>
        <w:spacing w:after="0" w:line="239" w:lineRule="auto"/>
        <w:rPr>
          <w:sz w:val="20"/>
          <w:szCs w:val="20"/>
          <w:color w:val="auto"/>
        </w:rPr>
      </w:pPr>
      <w:r>
        <w:rPr>
          <w:rFonts w:ascii="Arial" w:cs="Arial" w:eastAsia="Arial" w:hAnsi="Arial"/>
          <w:sz w:val="16"/>
          <w:szCs w:val="16"/>
          <w:color w:val="auto"/>
        </w:rPr>
        <w:t>Based on the Company’s present circumstances, the Board believes that the Company and its shareholders are best served by having Dr. Ebsworth serve as its Chairman of the Board and 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108" w:lineRule="exact"/>
        <w:rPr>
          <w:sz w:val="20"/>
          <w:szCs w:val="20"/>
          <w:color w:val="auto"/>
        </w:rPr>
      </w:pPr>
    </w:p>
    <w:p>
      <w:pPr>
        <w:ind w:left="1120" w:right="879" w:firstLine="320"/>
        <w:spacing w:after="0" w:line="251"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Committee, the Audit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such as risks relating to the COVID -19 pandemic. The Audit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PERIODIC BOARD EVALUATION</w:t>
      </w:r>
    </w:p>
    <w:p>
      <w:pPr>
        <w:spacing w:after="0" w:line="140" w:lineRule="exact"/>
        <w:rPr>
          <w:sz w:val="20"/>
          <w:szCs w:val="20"/>
          <w:color w:val="auto"/>
        </w:rPr>
      </w:pPr>
    </w:p>
    <w:p>
      <w:pPr>
        <w:ind w:left="1120" w:right="1039" w:firstLine="320"/>
        <w:spacing w:after="0" w:line="261" w:lineRule="auto"/>
        <w:rPr>
          <w:sz w:val="20"/>
          <w:szCs w:val="20"/>
          <w:color w:val="auto"/>
        </w:rPr>
      </w:pPr>
      <w:r>
        <w:rPr>
          <w:rFonts w:ascii="Arial" w:cs="Arial" w:eastAsia="Arial" w:hAnsi="Arial"/>
          <w:sz w:val="16"/>
          <w:szCs w:val="16"/>
          <w:color w:val="auto"/>
        </w:rPr>
        <w:t>Our Corporate Governance Guidelines require the Nomination and Corporate Governance Committee to oversee a periodic assessment of the Board and its committees.</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CODE OF BUSINESS CONDUCT AND ETHICS</w:t>
      </w:r>
    </w:p>
    <w:p>
      <w:pPr>
        <w:spacing w:after="0" w:line="128" w:lineRule="exact"/>
        <w:rPr>
          <w:sz w:val="20"/>
          <w:szCs w:val="20"/>
          <w:color w:val="auto"/>
        </w:rPr>
      </w:pPr>
    </w:p>
    <w:p>
      <w:pPr>
        <w:ind w:left="1120" w:right="919" w:firstLine="320"/>
        <w:spacing w:after="0" w:line="255"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 “Corporate Governance” section of our investor relations website at </w:t>
      </w:r>
      <w:r>
        <w:rPr>
          <w:rFonts w:ascii="Arial" w:cs="Arial" w:eastAsia="Arial" w:hAnsi="Arial"/>
          <w:sz w:val="15"/>
          <w:szCs w:val="15"/>
          <w:i w:val="1"/>
          <w:iCs w:val="1"/>
          <w:color w:val="auto"/>
        </w:rPr>
        <w:t>www.veronapharma.com/investors</w:t>
      </w:r>
      <w:r>
        <w:rPr>
          <w:rFonts w:ascii="Arial" w:cs="Arial" w:eastAsia="Arial" w:hAnsi="Arial"/>
          <w:sz w:val="15"/>
          <w:szCs w:val="15"/>
          <w:color w:val="auto"/>
        </w:rPr>
        <w:t>. Our Board of Directors is responsible for administering the Code of Business Conduct and Ethics. The Board of Directors is allowed to amend, alter or terminate the Code of Business Conduct and Ethics. In addition, we intend to post on our website all disclosures that are required by law or the Nasdaq rules concerning any amendments to, or waivers from, any provision of the Code of Business Conduct and Ethics.</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ANTI-HEDGING POLICY</w:t>
      </w:r>
    </w:p>
    <w:p>
      <w:pPr>
        <w:spacing w:after="0" w:line="140" w:lineRule="exact"/>
        <w:rPr>
          <w:sz w:val="20"/>
          <w:szCs w:val="20"/>
          <w:color w:val="auto"/>
        </w:rPr>
      </w:pPr>
    </w:p>
    <w:p>
      <w:pPr>
        <w:ind w:left="1120" w:right="1019" w:firstLine="320"/>
        <w:spacing w:after="0" w:line="247" w:lineRule="auto"/>
        <w:rPr>
          <w:sz w:val="20"/>
          <w:szCs w:val="20"/>
          <w:color w:val="auto"/>
        </w:rPr>
      </w:pPr>
      <w:r>
        <w:rPr>
          <w:rFonts w:ascii="Arial" w:cs="Arial" w:eastAsia="Arial" w:hAnsi="Arial"/>
          <w:sz w:val="16"/>
          <w:szCs w:val="16"/>
          <w:color w:val="auto"/>
        </w:rPr>
        <w:t>Our Board of Directors has adopted an Insider Trading Compliance Policy, which applies to all of our directors, officers and employees. The policy prohibits our directors, officers and employees and any entities</w:t>
      </w:r>
    </w:p>
    <w:p>
      <w:pPr>
        <w:spacing w:after="0" w:line="31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3" w:name="page34"/>
    <w:bookmarkEnd w:id="33"/>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1079"/>
        <w:spacing w:after="0" w:line="256" w:lineRule="auto"/>
        <w:rPr>
          <w:sz w:val="20"/>
          <w:szCs w:val="20"/>
          <w:color w:val="auto"/>
        </w:rPr>
      </w:pPr>
      <w:r>
        <w:rPr>
          <w:rFonts w:ascii="Arial" w:cs="Arial" w:eastAsia="Arial" w:hAnsi="Arial"/>
          <w:sz w:val="16"/>
          <w:szCs w:val="16"/>
          <w:color w:val="auto"/>
        </w:rPr>
        <w:t>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ATTENDANCE BY MEMBERS OF THE BOARD OF DIRECTORS AT MEETINGS</w:t>
      </w:r>
    </w:p>
    <w:p>
      <w:pPr>
        <w:spacing w:after="0" w:line="128" w:lineRule="exact"/>
        <w:rPr>
          <w:sz w:val="20"/>
          <w:szCs w:val="20"/>
          <w:color w:val="auto"/>
        </w:rPr>
      </w:pPr>
    </w:p>
    <w:p>
      <w:pPr>
        <w:ind w:left="1120" w:right="959" w:firstLine="320"/>
        <w:spacing w:after="0" w:line="259" w:lineRule="auto"/>
        <w:rPr>
          <w:sz w:val="20"/>
          <w:szCs w:val="20"/>
          <w:color w:val="auto"/>
        </w:rPr>
      </w:pPr>
      <w:r>
        <w:rPr>
          <w:rFonts w:ascii="Arial" w:cs="Arial" w:eastAsia="Arial" w:hAnsi="Arial"/>
          <w:sz w:val="16"/>
          <w:szCs w:val="16"/>
          <w:color w:val="auto"/>
        </w:rPr>
        <w:t>There were 15 meetings of the Board of Directors during the fiscal year ended December 31, 2020. During the fiscal year ended December 31, 2020, each director attended at least 75% of the aggregate of all meetings of the Board of Directors and meetings of the committees on which the director served during the period in which he or she served as a director.</w:t>
      </w:r>
    </w:p>
    <w:p>
      <w:pPr>
        <w:spacing w:after="0" w:line="105" w:lineRule="exact"/>
        <w:rPr>
          <w:sz w:val="20"/>
          <w:szCs w:val="20"/>
          <w:color w:val="auto"/>
        </w:rPr>
      </w:pPr>
    </w:p>
    <w:p>
      <w:pPr>
        <w:ind w:left="1120" w:right="939" w:firstLine="320"/>
        <w:spacing w:after="0" w:line="263" w:lineRule="auto"/>
        <w:rPr>
          <w:sz w:val="20"/>
          <w:szCs w:val="20"/>
          <w:color w:val="auto"/>
        </w:rPr>
      </w:pPr>
      <w:r>
        <w:rPr>
          <w:rFonts w:ascii="Arial" w:cs="Arial" w:eastAsia="Arial" w:hAnsi="Arial"/>
          <w:sz w:val="16"/>
          <w:szCs w:val="16"/>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2020.</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Committees of the Board</w:t>
      </w:r>
    </w:p>
    <w:p>
      <w:pPr>
        <w:spacing w:after="0" w:line="142" w:lineRule="exact"/>
        <w:rPr>
          <w:sz w:val="20"/>
          <w:szCs w:val="20"/>
          <w:color w:val="auto"/>
        </w:rPr>
      </w:pPr>
    </w:p>
    <w:p>
      <w:pPr>
        <w:ind w:left="1120" w:right="919" w:firstLine="320"/>
        <w:spacing w:after="0" w:line="252" w:lineRule="auto"/>
        <w:rPr>
          <w:sz w:val="20"/>
          <w:szCs w:val="20"/>
          <w:color w:val="auto"/>
        </w:rPr>
      </w:pPr>
      <w:r>
        <w:rPr>
          <w:rFonts w:ascii="Arial" w:cs="Arial" w:eastAsia="Arial" w:hAnsi="Arial"/>
          <w:sz w:val="16"/>
          <w:szCs w:val="16"/>
          <w:color w:val="auto"/>
        </w:rPr>
        <w:t xml:space="preserve">Our Board of Directors has established an Audit Committee, Remuneration Committee, and Nomination and Corporate Governance Committee, each of which operates under written terms of reference that have been approved by our Board and that are available in the “Corporate Governance” section of our investor relations website at </w:t>
      </w:r>
      <w:r>
        <w:rPr>
          <w:rFonts w:ascii="Arial" w:cs="Arial" w:eastAsia="Arial" w:hAnsi="Arial"/>
          <w:sz w:val="16"/>
          <w:szCs w:val="16"/>
          <w:i w:val="1"/>
          <w:iCs w:val="1"/>
          <w:color w:val="auto"/>
        </w:rPr>
        <w:t>www.veronapharma.com/investors</w:t>
      </w:r>
      <w:r>
        <w:rPr>
          <w:rFonts w:ascii="Arial" w:cs="Arial" w:eastAsia="Arial" w:hAnsi="Arial"/>
          <w:sz w:val="16"/>
          <w:szCs w:val="16"/>
          <w:color w:val="auto"/>
        </w:rPr>
        <w:t>. All of the members of each of these committees are independent as defined under the Nasdaq rules. Our Board of Directors has determined that David Ebsworth, Ph.D, Andrew Sinclair, Ph.D., and Vikas Sinha,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105" w:lineRule="exact"/>
        <w:rPr>
          <w:sz w:val="20"/>
          <w:szCs w:val="20"/>
          <w:color w:val="auto"/>
        </w:rPr>
      </w:pPr>
    </w:p>
    <w:p>
      <w:pPr>
        <w:ind w:left="1120" w:right="1559" w:firstLine="320"/>
        <w:spacing w:after="0" w:line="276" w:lineRule="auto"/>
        <w:rPr>
          <w:sz w:val="20"/>
          <w:szCs w:val="20"/>
          <w:color w:val="auto"/>
        </w:rPr>
      </w:pPr>
      <w:r>
        <w:rPr>
          <w:rFonts w:ascii="Arial" w:cs="Arial" w:eastAsia="Arial" w:hAnsi="Arial"/>
          <w:sz w:val="16"/>
          <w:szCs w:val="16"/>
          <w:color w:val="auto"/>
        </w:rPr>
        <w:t>The members of each of the Audit, Remuneration and Nomination and Corporate Governance Committees and the committee Chairs are set forth in the following chart.</w:t>
      </w:r>
    </w:p>
    <w:p>
      <w:pPr>
        <w:spacing w:after="0" w:line="11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2"/>
          </w:tcPr>
          <w:p>
            <w:pPr>
              <w:jc w:val="center"/>
              <w:ind w:left="76"/>
              <w:spacing w:after="0"/>
              <w:rPr>
                <w:sz w:val="20"/>
                <w:szCs w:val="20"/>
                <w:color w:val="auto"/>
              </w:rPr>
            </w:pPr>
            <w:r>
              <w:rPr>
                <w:rFonts w:ascii="Arial" w:cs="Arial" w:eastAsia="Arial" w:hAnsi="Arial"/>
                <w:sz w:val="13"/>
                <w:szCs w:val="13"/>
                <w:b w:val="1"/>
                <w:bCs w:val="1"/>
                <w:color w:val="auto"/>
                <w:w w:val="87"/>
              </w:rPr>
              <w:t>Nomination and</w:t>
            </w:r>
          </w:p>
        </w:tc>
      </w:tr>
      <w:tr>
        <w:trPr>
          <w:trHeight w:val="144"/>
        </w:trPr>
        <w:tc>
          <w:tcPr>
            <w:tcW w:w="4500" w:type="dxa"/>
            <w:vAlign w:val="bottom"/>
          </w:tcPr>
          <w:p>
            <w:pPr>
              <w:spacing w:after="0"/>
              <w:rPr>
                <w:sz w:val="12"/>
                <w:szCs w:val="12"/>
                <w:color w:val="auto"/>
              </w:rPr>
            </w:pPr>
          </w:p>
        </w:tc>
        <w:tc>
          <w:tcPr>
            <w:tcW w:w="760" w:type="dxa"/>
            <w:vAlign w:val="bottom"/>
            <w:gridSpan w:val="2"/>
          </w:tcPr>
          <w:p>
            <w:pPr>
              <w:jc w:val="center"/>
              <w:ind w:left="76"/>
              <w:spacing w:after="0" w:line="144" w:lineRule="exact"/>
              <w:rPr>
                <w:sz w:val="20"/>
                <w:szCs w:val="20"/>
                <w:color w:val="auto"/>
              </w:rPr>
            </w:pPr>
            <w:r>
              <w:rPr>
                <w:rFonts w:ascii="Arial" w:cs="Arial" w:eastAsia="Arial" w:hAnsi="Arial"/>
                <w:sz w:val="13"/>
                <w:szCs w:val="13"/>
                <w:b w:val="1"/>
                <w:bCs w:val="1"/>
                <w:color w:val="auto"/>
                <w:w w:val="90"/>
              </w:rPr>
              <w:t>Audit and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Corporate</w:t>
            </w:r>
          </w:p>
        </w:tc>
      </w:tr>
      <w:tr>
        <w:trPr>
          <w:trHeight w:val="166"/>
        </w:trPr>
        <w:tc>
          <w:tcPr>
            <w:tcW w:w="45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4"/>
              </w:rPr>
              <w:t>Risk</w:t>
            </w:r>
          </w:p>
        </w:tc>
        <w:tc>
          <w:tcPr>
            <w:tcW w:w="96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6"/>
              </w:rPr>
              <w:t>Remuneration</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5"/>
              </w:rPr>
              <w:t>Governance</w:t>
            </w:r>
          </w:p>
        </w:tc>
      </w:tr>
      <w:tr>
        <w:trPr>
          <w:trHeight w:val="22"/>
        </w:trPr>
        <w:tc>
          <w:tcPr>
            <w:tcW w:w="4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0"/>
        </w:trPr>
        <w:tc>
          <w:tcPr>
            <w:tcW w:w="4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Ken Cunningham, M.D.</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4500" w:type="dxa"/>
            <w:vAlign w:val="bottom"/>
          </w:tcPr>
          <w:p>
            <w:pPr>
              <w:jc w:val="center"/>
              <w:spacing w:after="0"/>
              <w:rPr>
                <w:sz w:val="20"/>
                <w:szCs w:val="20"/>
                <w:color w:val="auto"/>
              </w:rPr>
            </w:pPr>
            <w:r>
              <w:rPr>
                <w:rFonts w:ascii="Arial" w:cs="Arial" w:eastAsia="Arial" w:hAnsi="Arial"/>
                <w:sz w:val="16"/>
                <w:szCs w:val="16"/>
                <w:color w:val="auto"/>
                <w:w w:val="92"/>
              </w:rPr>
              <w:t>Lisa Deschamps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228"/>
        </w:trPr>
        <w:tc>
          <w:tcPr>
            <w:tcW w:w="4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David Ebsworth, Ph.D.</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Chair</w:t>
            </w:r>
          </w:p>
        </w:tc>
      </w:tr>
      <w:tr>
        <w:trPr>
          <w:trHeight w:val="228"/>
        </w:trPr>
        <w:tc>
          <w:tcPr>
            <w:tcW w:w="4500" w:type="dxa"/>
            <w:vAlign w:val="bottom"/>
          </w:tcPr>
          <w:p>
            <w:pPr>
              <w:jc w:val="center"/>
              <w:spacing w:after="0"/>
              <w:rPr>
                <w:sz w:val="20"/>
                <w:szCs w:val="20"/>
                <w:color w:val="auto"/>
              </w:rPr>
            </w:pPr>
            <w:r>
              <w:rPr>
                <w:rFonts w:ascii="Arial" w:cs="Arial" w:eastAsia="Arial" w:hAnsi="Arial"/>
                <w:sz w:val="16"/>
                <w:szCs w:val="16"/>
                <w:color w:val="auto"/>
                <w:w w:val="95"/>
              </w:rPr>
              <w:t>Rishi Gupta</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rPr>
              <w:t>X</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0"/>
        </w:trPr>
        <w:tc>
          <w:tcPr>
            <w:tcW w:w="4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Mahendra Shah, Ph.D.</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240"/>
        </w:trPr>
        <w:tc>
          <w:tcPr>
            <w:tcW w:w="4500" w:type="dxa"/>
            <w:vAlign w:val="bottom"/>
          </w:tcPr>
          <w:p>
            <w:pPr>
              <w:jc w:val="center"/>
              <w:spacing w:after="0"/>
              <w:rPr>
                <w:sz w:val="20"/>
                <w:szCs w:val="20"/>
                <w:color w:val="auto"/>
              </w:rPr>
            </w:pPr>
            <w:r>
              <w:rPr>
                <w:rFonts w:ascii="Arial" w:cs="Arial" w:eastAsia="Arial" w:hAnsi="Arial"/>
                <w:sz w:val="16"/>
                <w:szCs w:val="16"/>
                <w:color w:val="auto"/>
                <w:w w:val="97"/>
              </w:rPr>
              <w:t>Andrew Sinclair, Ph.D.</w:t>
            </w:r>
          </w:p>
        </w:tc>
        <w:tc>
          <w:tcPr>
            <w:tcW w:w="2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rPr>
              <w:t>X</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0"/>
        </w:trPr>
        <w:tc>
          <w:tcPr>
            <w:tcW w:w="4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Vikas Sinha</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Chair</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-1042035</wp:posOffset>
            </wp:positionV>
            <wp:extent cx="1219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-1042035</wp:posOffset>
            </wp:positionV>
            <wp:extent cx="1219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-1042035</wp:posOffset>
            </wp:positionV>
            <wp:extent cx="1219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AUDIT AND RISK COMMITTEE</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Audit Committee’s responsibilities include, among other things:</w:t>
      </w:r>
    </w:p>
    <w:p>
      <w:pPr>
        <w:spacing w:after="0" w:line="116" w:lineRule="exact"/>
        <w:rPr>
          <w:sz w:val="20"/>
          <w:szCs w:val="20"/>
          <w:color w:val="auto"/>
        </w:rPr>
      </w:pPr>
    </w:p>
    <w:p>
      <w:pPr>
        <w:ind w:left="1600" w:right="939" w:hanging="160"/>
        <w:spacing w:after="0" w:line="263" w:lineRule="auto"/>
        <w:tabs>
          <w:tab w:leader="none" w:pos="1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monitoring the integrity of the financial statements of the Company, including its annual and interim reports, preliminary results’ announcements and any other formal announcement relating to its financial performance;</w:t>
      </w:r>
    </w:p>
    <w:p>
      <w:pPr>
        <w:spacing w:after="0" w:line="66" w:lineRule="exact"/>
        <w:rPr>
          <w:rFonts w:ascii="Arial" w:cs="Arial" w:eastAsia="Arial" w:hAnsi="Arial"/>
          <w:sz w:val="16"/>
          <w:szCs w:val="16"/>
          <w:color w:val="auto"/>
        </w:rPr>
      </w:pPr>
    </w:p>
    <w:p>
      <w:pPr>
        <w:ind w:left="1600" w:hanging="160"/>
        <w:spacing w:after="0"/>
        <w:tabs>
          <w:tab w:leader="none" w:pos="1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significant financial reporting issues and judgments that they contain;</w:t>
      </w:r>
    </w:p>
    <w:p>
      <w:pPr>
        <w:spacing w:after="0" w:line="103" w:lineRule="exact"/>
        <w:rPr>
          <w:rFonts w:ascii="Arial" w:cs="Arial" w:eastAsia="Arial" w:hAnsi="Arial"/>
          <w:sz w:val="16"/>
          <w:szCs w:val="16"/>
          <w:color w:val="auto"/>
        </w:rPr>
      </w:pPr>
    </w:p>
    <w:p>
      <w:pPr>
        <w:ind w:left="1600" w:right="1119" w:hanging="160"/>
        <w:spacing w:after="0" w:line="259" w:lineRule="auto"/>
        <w:tabs>
          <w:tab w:leader="none" w:pos="1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w:t>
      </w: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4" w:name="page35"/>
    <w:bookmarkEnd w:id="34"/>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0" w:right="1139"/>
        <w:spacing w:after="0" w:line="261" w:lineRule="auto"/>
        <w:rPr>
          <w:sz w:val="20"/>
          <w:szCs w:val="20"/>
          <w:color w:val="auto"/>
        </w:rPr>
      </w:pPr>
      <w:r>
        <w:rPr>
          <w:rFonts w:ascii="Arial" w:cs="Arial" w:eastAsia="Arial" w:hAnsi="Arial"/>
          <w:sz w:val="16"/>
          <w:szCs w:val="16"/>
          <w:color w:val="auto"/>
        </w:rPr>
        <w:t>of operation” and the matters required to be discussed by applicable Public Company Accounting Oversight Board (the “PCAOB”) standards and SEC rules;</w:t>
      </w:r>
    </w:p>
    <w:p>
      <w:pPr>
        <w:spacing w:after="0" w:line="55" w:lineRule="exact"/>
        <w:rPr>
          <w:sz w:val="20"/>
          <w:szCs w:val="20"/>
          <w:color w:val="auto"/>
        </w:rPr>
      </w:pPr>
    </w:p>
    <w:p>
      <w:pPr>
        <w:ind w:left="1600" w:right="1459" w:hanging="160"/>
        <w:spacing w:after="0" w:line="311"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considering whether it will recommend to the Board of Directors that the Company’s audited financial statements be included in the Company’s Annual Report on Form 10-K;</w:t>
      </w:r>
    </w:p>
    <w:p>
      <w:pPr>
        <w:spacing w:after="0" w:line="20" w:lineRule="exact"/>
        <w:rPr>
          <w:rFonts w:ascii="Arial" w:cs="Arial" w:eastAsia="Arial" w:hAnsi="Arial"/>
          <w:sz w:val="15"/>
          <w:szCs w:val="15"/>
          <w:color w:val="auto"/>
        </w:rPr>
      </w:pPr>
    </w:p>
    <w:p>
      <w:pPr>
        <w:ind w:left="1600" w:right="1159" w:hanging="160"/>
        <w:spacing w:after="0" w:line="276" w:lineRule="auto"/>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preparing an annual committee report for inclusion where necessary in the proxy statement of the Company relating to its annual general meeting of shareholders;</w:t>
      </w:r>
    </w:p>
    <w:p>
      <w:pPr>
        <w:spacing w:after="0" w:line="56" w:lineRule="exact"/>
        <w:rPr>
          <w:rFonts w:ascii="Arial" w:cs="Arial" w:eastAsia="Arial" w:hAnsi="Arial"/>
          <w:sz w:val="16"/>
          <w:szCs w:val="16"/>
          <w:color w:val="auto"/>
        </w:rPr>
      </w:pPr>
    </w:p>
    <w:p>
      <w:pPr>
        <w:ind w:left="1600" w:hanging="160"/>
        <w:spacing w:after="0"/>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overseeing the appointment, re-appointment, and removal of the Company’s external auditor;</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and approving the annual audit plan;</w:t>
      </w:r>
    </w:p>
    <w:p>
      <w:pPr>
        <w:spacing w:after="0" w:line="103" w:lineRule="exact"/>
        <w:rPr>
          <w:rFonts w:ascii="Arial" w:cs="Arial" w:eastAsia="Arial" w:hAnsi="Arial"/>
          <w:sz w:val="16"/>
          <w:szCs w:val="16"/>
          <w:color w:val="auto"/>
        </w:rPr>
      </w:pPr>
    </w:p>
    <w:p>
      <w:pPr>
        <w:ind w:left="1600" w:right="1299" w:hanging="160"/>
        <w:spacing w:after="0" w:line="276" w:lineRule="auto"/>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coordinating the Board of Directors’ oversight of the Company’s internal control over financial reporting and disclosure controls and procedures;</w:t>
      </w:r>
    </w:p>
    <w:p>
      <w:pPr>
        <w:spacing w:after="0" w:line="56" w:lineRule="exact"/>
        <w:rPr>
          <w:rFonts w:ascii="Arial" w:cs="Arial" w:eastAsia="Arial" w:hAnsi="Arial"/>
          <w:sz w:val="16"/>
          <w:szCs w:val="16"/>
          <w:color w:val="auto"/>
        </w:rPr>
      </w:pPr>
    </w:p>
    <w:p>
      <w:pPr>
        <w:ind w:left="1600" w:hanging="160"/>
        <w:spacing w:after="0"/>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discussing the Company’s policies with respect to risk assessment and risk management;</w:t>
      </w:r>
    </w:p>
    <w:p>
      <w:pPr>
        <w:spacing w:after="0" w:line="103" w:lineRule="exact"/>
        <w:rPr>
          <w:rFonts w:ascii="Arial" w:cs="Arial" w:eastAsia="Arial" w:hAnsi="Arial"/>
          <w:sz w:val="16"/>
          <w:szCs w:val="16"/>
          <w:color w:val="auto"/>
        </w:rPr>
      </w:pPr>
    </w:p>
    <w:p>
      <w:pPr>
        <w:ind w:left="1600" w:right="919" w:hanging="160"/>
        <w:spacing w:after="0" w:line="311" w:lineRule="auto"/>
        <w:tabs>
          <w:tab w:leader="none" w:pos="1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establishing the Company’s arrangements for the receipt, retention and treatment of complaints received by the Company regarding accounting, internal accounting controls or auditing matters; and</w:t>
      </w:r>
    </w:p>
    <w:p>
      <w:pPr>
        <w:spacing w:after="0" w:line="32" w:lineRule="exact"/>
        <w:rPr>
          <w:rFonts w:ascii="Arial" w:cs="Arial" w:eastAsia="Arial" w:hAnsi="Arial"/>
          <w:sz w:val="15"/>
          <w:szCs w:val="15"/>
          <w:color w:val="auto"/>
        </w:rPr>
      </w:pPr>
    </w:p>
    <w:p>
      <w:pPr>
        <w:ind w:left="1600" w:right="1079" w:hanging="160"/>
        <w:spacing w:after="0" w:line="276" w:lineRule="auto"/>
        <w:tabs>
          <w:tab w:leader="none" w:pos="1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reviewing the Company’s policies and procedures for reviewing and approving or ratifying related person transactions.</w:t>
      </w:r>
    </w:p>
    <w:p>
      <w:pPr>
        <w:spacing w:after="0" w:line="80" w:lineRule="exact"/>
        <w:rPr>
          <w:sz w:val="20"/>
          <w:szCs w:val="20"/>
          <w:color w:val="auto"/>
        </w:rPr>
      </w:pPr>
    </w:p>
    <w:p>
      <w:pPr>
        <w:ind w:left="1120" w:right="959" w:firstLine="320"/>
        <w:spacing w:after="0" w:line="256" w:lineRule="auto"/>
        <w:rPr>
          <w:sz w:val="20"/>
          <w:szCs w:val="20"/>
          <w:color w:val="auto"/>
        </w:rPr>
      </w:pPr>
      <w:r>
        <w:rPr>
          <w:rFonts w:ascii="Arial" w:cs="Arial" w:eastAsia="Arial" w:hAnsi="Arial"/>
          <w:sz w:val="16"/>
          <w:szCs w:val="16"/>
          <w:color w:val="auto"/>
        </w:rPr>
        <w:t>The current members of the Audit Committee are David Ebsworth, Ph.D., Andrew Sinclair, Ph.D., and Vikas Sinha. Mr. Sinha serves as the Chairperson of the Audit Committee. The members of our Audit Committee meet the requirements for financial literacy under the applicable rules of the SEC and Nasdaq. Our Board of Directors has determined that Vikas Sinha is an “audit committee financial expert” as defined by Item 407(d)(5)(ii) of Regulation S-K.</w:t>
      </w:r>
    </w:p>
    <w:p>
      <w:pPr>
        <w:spacing w:after="0" w:line="110" w:lineRule="exact"/>
        <w:rPr>
          <w:sz w:val="20"/>
          <w:szCs w:val="20"/>
          <w:color w:val="auto"/>
        </w:rPr>
      </w:pPr>
    </w:p>
    <w:p>
      <w:pPr>
        <w:ind w:left="1120" w:right="899" w:firstLine="320"/>
        <w:spacing w:after="0" w:line="259" w:lineRule="auto"/>
        <w:rPr>
          <w:sz w:val="20"/>
          <w:szCs w:val="20"/>
          <w:color w:val="auto"/>
        </w:rPr>
      </w:pPr>
      <w:r>
        <w:rPr>
          <w:rFonts w:ascii="Arial" w:cs="Arial" w:eastAsia="Arial" w:hAnsi="Arial"/>
          <w:sz w:val="16"/>
          <w:szCs w:val="16"/>
          <w:color w:val="auto"/>
        </w:rPr>
        <w:t>The Audit Committee meets as often as one or more members of the Audit Committee deem necessary, but in any event, meets at least four times per year. The Audit Committee meets at least once per year with our independent accountant, without our management being present. The Audit Committee met five times in 2020.</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REMUNERATION COMMITTEE</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Remuneration Committee’s responsibilities include, among other things:</w:t>
      </w:r>
    </w:p>
    <w:p>
      <w:pPr>
        <w:spacing w:after="0" w:line="104" w:lineRule="exact"/>
        <w:rPr>
          <w:sz w:val="20"/>
          <w:szCs w:val="20"/>
          <w:color w:val="auto"/>
        </w:rPr>
      </w:pPr>
    </w:p>
    <w:p>
      <w:pPr>
        <w:ind w:left="1600" w:right="939" w:hanging="160"/>
        <w:spacing w:after="0" w:line="263"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determining and agreeing with the Board of Directors the framework for the remuneration of the Company’s chief executive, chairman, the executive directors, the company secretary and such other members of the Company’s management as it is designated to consider;</w:t>
      </w:r>
    </w:p>
    <w:p>
      <w:pPr>
        <w:spacing w:after="0" w:line="66" w:lineRule="exact"/>
        <w:rPr>
          <w:rFonts w:ascii="Arial" w:cs="Arial" w:eastAsia="Arial" w:hAnsi="Arial"/>
          <w:sz w:val="16"/>
          <w:szCs w:val="16"/>
          <w:color w:val="auto"/>
        </w:rPr>
      </w:pPr>
    </w:p>
    <w:p>
      <w:pPr>
        <w:ind w:left="1600" w:right="979" w:hanging="160"/>
        <w:spacing w:after="0" w:line="276"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approving all service contracts between the Company and its directors or between the Company and any subsidiary and its directors;</w:t>
      </w:r>
    </w:p>
    <w:p>
      <w:pPr>
        <w:spacing w:after="0" w:line="56" w:lineRule="exact"/>
        <w:rPr>
          <w:rFonts w:ascii="Arial" w:cs="Arial" w:eastAsia="Arial" w:hAnsi="Arial"/>
          <w:sz w:val="16"/>
          <w:szCs w:val="16"/>
          <w:color w:val="auto"/>
        </w:rPr>
      </w:pPr>
    </w:p>
    <w:p>
      <w:pPr>
        <w:ind w:left="1600" w:right="939" w:hanging="160"/>
        <w:spacing w:after="0" w:line="276"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determining the policy for, and scope of, pension arrangements for each executive director and other senior executives;</w:t>
      </w:r>
    </w:p>
    <w:p>
      <w:pPr>
        <w:spacing w:after="0" w:line="56" w:lineRule="exact"/>
        <w:rPr>
          <w:rFonts w:ascii="Arial" w:cs="Arial" w:eastAsia="Arial" w:hAnsi="Arial"/>
          <w:sz w:val="16"/>
          <w:szCs w:val="16"/>
          <w:color w:val="auto"/>
        </w:rPr>
      </w:pPr>
    </w:p>
    <w:p>
      <w:pPr>
        <w:ind w:left="1600" w:right="959" w:hanging="160"/>
        <w:spacing w:after="0" w:line="263"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66" w:lineRule="exact"/>
        <w:rPr>
          <w:rFonts w:ascii="Arial" w:cs="Arial" w:eastAsia="Arial" w:hAnsi="Arial"/>
          <w:sz w:val="16"/>
          <w:szCs w:val="16"/>
          <w:color w:val="auto"/>
        </w:rPr>
      </w:pPr>
    </w:p>
    <w:p>
      <w:pPr>
        <w:ind w:left="1600" w:right="1299" w:hanging="160"/>
        <w:spacing w:after="0" w:line="276"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making a report each year to the shareholders on behalf of the Board of Directors, which report should form part of, or be annexed to, the Company’s annual report and accounts;</w:t>
      </w:r>
    </w:p>
    <w:p>
      <w:pPr>
        <w:spacing w:after="0" w:line="56" w:lineRule="exact"/>
        <w:rPr>
          <w:rFonts w:ascii="Arial" w:cs="Arial" w:eastAsia="Arial" w:hAnsi="Arial"/>
          <w:sz w:val="16"/>
          <w:szCs w:val="16"/>
          <w:color w:val="auto"/>
        </w:rPr>
      </w:pPr>
    </w:p>
    <w:p>
      <w:pPr>
        <w:ind w:left="1600" w:right="1039" w:hanging="160"/>
        <w:spacing w:after="0" w:line="259"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68" w:lineRule="exact"/>
        <w:rPr>
          <w:rFonts w:ascii="Arial" w:cs="Arial" w:eastAsia="Arial" w:hAnsi="Arial"/>
          <w:sz w:val="16"/>
          <w:szCs w:val="16"/>
          <w:color w:val="auto"/>
        </w:rPr>
      </w:pPr>
    </w:p>
    <w:p>
      <w:pPr>
        <w:ind w:left="1600" w:right="1519" w:hanging="160"/>
        <w:spacing w:after="0" w:line="276" w:lineRule="auto"/>
        <w:tabs>
          <w:tab w:leader="none" w:pos="1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required, preparing the annual compensation committee report pursuant to the rules of the Exchange Act.</w:t>
      </w:r>
    </w:p>
    <w:p>
      <w:pPr>
        <w:spacing w:after="0" w:line="30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1" w:right="1440" w:bottom="1440" w:gutter="0" w:footer="0" w:header="0"/>
        </w:sectPr>
      </w:pPr>
    </w:p>
    <w:bookmarkStart w:id="35" w:name="page36"/>
    <w:bookmarkEnd w:id="35"/>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899" w:firstLine="320"/>
        <w:spacing w:after="0" w:line="254" w:lineRule="auto"/>
        <w:rPr>
          <w:sz w:val="20"/>
          <w:szCs w:val="20"/>
          <w:color w:val="auto"/>
        </w:rPr>
      </w:pPr>
      <w:r>
        <w:rPr>
          <w:rFonts w:ascii="Arial" w:cs="Arial" w:eastAsia="Arial" w:hAnsi="Arial"/>
          <w:sz w:val="15"/>
          <w:szCs w:val="15"/>
          <w:color w:val="auto"/>
        </w:rPr>
        <w:t>The Remuneration Committee has the authority to retain or obtain the advice of remuneration consultants, legal counsel and other advisors to assist in carrying out its responsibilities, including being 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90" w:lineRule="exact"/>
        <w:rPr>
          <w:sz w:val="20"/>
          <w:szCs w:val="20"/>
          <w:color w:val="auto"/>
        </w:rPr>
      </w:pPr>
    </w:p>
    <w:p>
      <w:pPr>
        <w:ind w:left="1120" w:right="899" w:firstLine="320"/>
        <w:spacing w:after="0" w:line="253" w:lineRule="auto"/>
        <w:rPr>
          <w:sz w:val="20"/>
          <w:szCs w:val="20"/>
          <w:color w:val="auto"/>
        </w:rPr>
      </w:pPr>
      <w:r>
        <w:rPr>
          <w:rFonts w:ascii="Arial" w:cs="Arial" w:eastAsia="Arial" w:hAnsi="Arial"/>
          <w:sz w:val="15"/>
          <w:szCs w:val="15"/>
          <w:color w:val="auto"/>
        </w:rPr>
        <w:t>During 2020, the Remuneration Committee engaged AoN Consulting, Inc. (“AoN”). The Remuneration Committee reviewed compensation assessments provided by AoN comparing our compensation to that of a group of peer companies within our industry and met with AoN to discuss compensation of our executive officers and to receive input and advice. The Remuneration Committee reviewed legal matters related to the form of compensation of our executive officers and the employment contracts associated with these officers, and our past and current executive directors, receiving their input and advice. The Remuneration Committee has considered the adviser independence factors required under SEC rules as they relate to (i) additional services, (ii) total fees as a percentage of total revenue, (iii) conflict of interest policies, (iv) business or personal relationships with members of the Remuneration Committee, (v) stock ownership by compensation advisors, and (vi) business or personal relationships with executives of the company and does not believe AoN’s work in 2020 raised a conflict of interest. For discussion of the role of compensation consultants in determining executive and non-employee director compensation, please refer to “Executive Compensation” and “Director Compensation” below.</w:t>
      </w:r>
    </w:p>
    <w:p>
      <w:pPr>
        <w:spacing w:after="0" w:line="94" w:lineRule="exact"/>
        <w:rPr>
          <w:sz w:val="20"/>
          <w:szCs w:val="20"/>
          <w:color w:val="auto"/>
        </w:rPr>
      </w:pPr>
    </w:p>
    <w:p>
      <w:pPr>
        <w:ind w:left="1120" w:right="1079" w:firstLine="320"/>
        <w:spacing w:after="0" w:line="294" w:lineRule="auto"/>
        <w:rPr>
          <w:sz w:val="20"/>
          <w:szCs w:val="20"/>
          <w:color w:val="auto"/>
        </w:rPr>
      </w:pPr>
      <w:r>
        <w:rPr>
          <w:rFonts w:ascii="Arial" w:cs="Arial" w:eastAsia="Arial" w:hAnsi="Arial"/>
          <w:sz w:val="15"/>
          <w:szCs w:val="15"/>
          <w:color w:val="auto"/>
        </w:rPr>
        <w:t>The current members of our Remuneration Committee are Ken Cunningham, M.D., David Ebsworth, Ph.D. and Rishi Gupta. Dr. Cunningham serves as the Chairperson of the Remuneration Committee.</w:t>
      </w:r>
    </w:p>
    <w:p>
      <w:pPr>
        <w:spacing w:after="0" w:line="6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Remuneration Committee met five times during 2020.</w:t>
      </w:r>
    </w:p>
    <w:p>
      <w:pPr>
        <w:spacing w:after="0" w:line="17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NOMINATION AND CORPORATE GOVERNANCE COMMITTEE</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Nomination and Corporate Governance Committee’s responsibilities include, among other things:</w:t>
      </w:r>
    </w:p>
    <w:p>
      <w:pPr>
        <w:spacing w:after="0" w:line="91" w:lineRule="exact"/>
        <w:rPr>
          <w:sz w:val="20"/>
          <w:szCs w:val="20"/>
          <w:color w:val="auto"/>
        </w:rPr>
      </w:pPr>
    </w:p>
    <w:p>
      <w:pPr>
        <w:ind w:left="1600" w:right="879" w:hanging="160"/>
        <w:spacing w:after="0" w:line="263" w:lineRule="auto"/>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evaluating the structure, size and composition (including the skills, knowledge and experience) of the Board of Directors and make recommendations to the Board of Directors with regard to any adjustments that are deemed necessary;</w:t>
      </w:r>
    </w:p>
    <w:p>
      <w:pPr>
        <w:spacing w:after="0" w:line="30" w:lineRule="exact"/>
        <w:rPr>
          <w:rFonts w:ascii="Arial" w:cs="Arial" w:eastAsia="Arial" w:hAnsi="Arial"/>
          <w:sz w:val="16"/>
          <w:szCs w:val="16"/>
          <w:color w:val="auto"/>
        </w:rPr>
      </w:pPr>
    </w:p>
    <w:p>
      <w:pPr>
        <w:ind w:left="1600" w:right="1319" w:hanging="160"/>
        <w:spacing w:after="0" w:line="276" w:lineRule="auto"/>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identifying and nominating, for the approval of the Board of Directors, candidates to fill Board vacancies as and when they arise;</w:t>
      </w:r>
    </w:p>
    <w:p>
      <w:pPr>
        <w:spacing w:after="0" w:line="20" w:lineRule="exact"/>
        <w:rPr>
          <w:rFonts w:ascii="Arial" w:cs="Arial" w:eastAsia="Arial" w:hAnsi="Arial"/>
          <w:sz w:val="16"/>
          <w:szCs w:val="16"/>
          <w:color w:val="auto"/>
        </w:rPr>
      </w:pPr>
    </w:p>
    <w:p>
      <w:pPr>
        <w:ind w:left="1600" w:right="1159" w:hanging="160"/>
        <w:spacing w:after="0" w:line="276" w:lineRule="auto"/>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putting in place plans for the orderly succession of appointments to the Board of Directors and to senior management;</w:t>
      </w:r>
    </w:p>
    <w:p>
      <w:pPr>
        <w:spacing w:after="0" w:line="20" w:lineRule="exact"/>
        <w:rPr>
          <w:rFonts w:ascii="Arial" w:cs="Arial" w:eastAsia="Arial" w:hAnsi="Arial"/>
          <w:sz w:val="16"/>
          <w:szCs w:val="16"/>
          <w:color w:val="auto"/>
        </w:rPr>
      </w:pPr>
    </w:p>
    <w:p>
      <w:pPr>
        <w:ind w:left="1600" w:right="1259" w:hanging="160"/>
        <w:spacing w:after="0" w:line="263" w:lineRule="auto"/>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making recommendations to the Board of Directors on the membership of the Audit and Risk, Remuneration and Nomination and Corporate Governance Committees, in consultation with the chairs of those committees; and</w:t>
      </w:r>
    </w:p>
    <w:p>
      <w:pPr>
        <w:spacing w:after="0" w:line="30" w:lineRule="exact"/>
        <w:rPr>
          <w:rFonts w:ascii="Arial" w:cs="Arial" w:eastAsia="Arial" w:hAnsi="Arial"/>
          <w:sz w:val="16"/>
          <w:szCs w:val="16"/>
          <w:color w:val="auto"/>
        </w:rPr>
      </w:pPr>
    </w:p>
    <w:p>
      <w:pPr>
        <w:ind w:left="1600" w:right="1399" w:hanging="160"/>
        <w:spacing w:after="0" w:line="276" w:lineRule="auto"/>
        <w:tabs>
          <w:tab w:leader="none" w:pos="1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overseeing a periodic self-evaluation of the Board of Directors to determine whether it and its committees are functioning effectively.</w:t>
      </w:r>
    </w:p>
    <w:p>
      <w:pPr>
        <w:spacing w:after="0" w:line="68" w:lineRule="exact"/>
        <w:rPr>
          <w:sz w:val="20"/>
          <w:szCs w:val="20"/>
          <w:color w:val="auto"/>
        </w:rPr>
      </w:pPr>
    </w:p>
    <w:p>
      <w:pPr>
        <w:jc w:val="both"/>
        <w:ind w:left="1120" w:right="1059" w:firstLine="320"/>
        <w:spacing w:after="0" w:line="247" w:lineRule="auto"/>
        <w:rPr>
          <w:sz w:val="20"/>
          <w:szCs w:val="20"/>
          <w:color w:val="auto"/>
        </w:rPr>
      </w:pPr>
      <w:r>
        <w:rPr>
          <w:rFonts w:ascii="Arial" w:cs="Arial" w:eastAsia="Arial" w:hAnsi="Arial"/>
          <w:sz w:val="16"/>
          <w:szCs w:val="16"/>
          <w:color w:val="auto"/>
        </w:rPr>
        <w:t>The current members of our Nomination and Corporate Governance Committee are Lisa Deschamps, David Ebsworth, Ph.D., Mahendra Shah, Ph.D. Dr. Ebsworth serves as the Chairperson of the Nomination and Corporate Governance Committee.</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members of the Nomination and Corporate Governance Committee on two times during 2020.</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Executive and Director Compensation</w:t>
      </w:r>
    </w:p>
    <w:p>
      <w:pPr>
        <w:spacing w:after="0" w:line="130" w:lineRule="exact"/>
        <w:rPr>
          <w:sz w:val="20"/>
          <w:szCs w:val="20"/>
          <w:color w:val="auto"/>
        </w:rPr>
      </w:pPr>
    </w:p>
    <w:p>
      <w:pPr>
        <w:ind w:left="1120" w:right="959" w:firstLine="320"/>
        <w:spacing w:after="0" w:line="247"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“2020 Summary Compensation Table” below. In 2020, our “named executive officers” and their positions were as follows:</w:t>
      </w:r>
    </w:p>
    <w:p>
      <w:pPr>
        <w:spacing w:after="0" w:line="31" w:lineRule="exact"/>
        <w:rPr>
          <w:sz w:val="20"/>
          <w:szCs w:val="20"/>
          <w:color w:val="auto"/>
        </w:rPr>
      </w:pPr>
    </w:p>
    <w:p>
      <w:pPr>
        <w:ind w:left="4660" w:right="3059" w:hanging="3220"/>
        <w:spacing w:after="0" w:line="730" w:lineRule="auto"/>
        <w:tabs>
          <w:tab w:leader="none" w:pos="15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David Zaccardelli, Pharm.D., President and Chief Executive Officer;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06171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36" w:name="page37"/>
    <w:bookmarkEnd w:id="36"/>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0" w:hanging="160"/>
        <w:spacing w:after="0"/>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Mark Hahn, Chief Financial Officer;</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Kathleen Rickard, M.D., Chief Medical Officer; and</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Jan-Anders Karlsson, Ph.D, our former Chief Executive Officer. Effective February 2, 2020,</w:t>
      </w:r>
    </w:p>
    <w:p>
      <w:pPr>
        <w:spacing w:after="0" w:line="20"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6"/>
          <w:szCs w:val="16"/>
          <w:color w:val="auto"/>
        </w:rPr>
        <w:t>Dr. Karlsson ceased to serve as our Chief Executive Officer and was succeeded by Dr. Zaccardelli.</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2020 SUMMARY COMPENSATION TABLE</w:t>
      </w:r>
    </w:p>
    <w:p>
      <w:pPr>
        <w:spacing w:after="0" w:line="128" w:lineRule="exact"/>
        <w:rPr>
          <w:sz w:val="20"/>
          <w:szCs w:val="20"/>
          <w:color w:val="auto"/>
        </w:rPr>
      </w:pPr>
    </w:p>
    <w:p>
      <w:pPr>
        <w:ind w:left="1120" w:right="1399" w:firstLine="320"/>
        <w:spacing w:after="0" w:line="276" w:lineRule="auto"/>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 ended December 31, 2020.</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Option</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Non-Equity</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4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86"/>
              </w:rPr>
              <w:t>Incentive Plan</w:t>
            </w:r>
          </w:p>
        </w:tc>
        <w:tc>
          <w:tcPr>
            <w:tcW w:w="1160" w:type="dxa"/>
            <w:vAlign w:val="bottom"/>
            <w:gridSpan w:val="2"/>
          </w:tcPr>
          <w:p>
            <w:pPr>
              <w:jc w:val="center"/>
              <w:ind w:right="220"/>
              <w:spacing w:after="0" w:line="128" w:lineRule="exact"/>
              <w:rPr>
                <w:sz w:val="20"/>
                <w:szCs w:val="20"/>
                <w:color w:val="auto"/>
              </w:rPr>
            </w:pPr>
            <w:r>
              <w:rPr>
                <w:rFonts w:ascii="Arial" w:cs="Arial" w:eastAsia="Arial" w:hAnsi="Arial"/>
                <w:sz w:val="13"/>
                <w:szCs w:val="13"/>
                <w:b w:val="1"/>
                <w:bCs w:val="1"/>
                <w:color w:val="auto"/>
                <w:w w:val="90"/>
              </w:rPr>
              <w:t>All Other</w:t>
            </w:r>
          </w:p>
        </w:tc>
        <w:tc>
          <w:tcPr>
            <w:tcW w:w="720" w:type="dxa"/>
            <w:vAlign w:val="bottom"/>
            <w:vMerge w:val="restart"/>
          </w:tcPr>
          <w:p>
            <w:pPr>
              <w:jc w:val="right"/>
              <w:ind w:right="102"/>
              <w:spacing w:after="0"/>
              <w:rPr>
                <w:sz w:val="20"/>
                <w:szCs w:val="20"/>
                <w:color w:val="auto"/>
              </w:rPr>
            </w:pPr>
            <w:r>
              <w:rPr>
                <w:rFonts w:ascii="Arial" w:cs="Arial" w:eastAsia="Arial" w:hAnsi="Arial"/>
                <w:sz w:val="13"/>
                <w:szCs w:val="13"/>
                <w:b w:val="1"/>
                <w:bCs w:val="1"/>
                <w:color w:val="auto"/>
              </w:rPr>
              <w:t>Total</w:t>
            </w:r>
            <w:r>
              <w:rPr>
                <w:rFonts w:ascii="Arial" w:cs="Arial" w:eastAsia="Arial" w:hAnsi="Arial"/>
                <w:sz w:val="19"/>
                <w:szCs w:val="19"/>
                <w:b w:val="1"/>
                <w:bCs w:val="1"/>
                <w:color w:val="auto"/>
                <w:vertAlign w:val="superscript"/>
              </w:rPr>
              <w:t>(9)</w:t>
            </w:r>
          </w:p>
        </w:tc>
        <w:tc>
          <w:tcPr>
            <w:tcW w:w="0" w:type="dxa"/>
            <w:vAlign w:val="bottom"/>
          </w:tcPr>
          <w:p>
            <w:pPr>
              <w:spacing w:after="0"/>
              <w:rPr>
                <w:sz w:val="1"/>
                <w:szCs w:val="1"/>
                <w:color w:val="auto"/>
              </w:rPr>
            </w:pPr>
          </w:p>
        </w:tc>
      </w:tr>
      <w:tr>
        <w:trPr>
          <w:trHeight w:val="204"/>
        </w:trPr>
        <w:tc>
          <w:tcPr>
            <w:tcW w:w="1720" w:type="dxa"/>
            <w:vAlign w:val="bottom"/>
            <w:gridSpan w:val="2"/>
          </w:tcPr>
          <w:p>
            <w:pPr>
              <w:spacing w:after="0"/>
              <w:rPr>
                <w:sz w:val="20"/>
                <w:szCs w:val="20"/>
                <w:color w:val="auto"/>
              </w:rPr>
            </w:pPr>
            <w:r>
              <w:rPr>
                <w:rFonts w:ascii="Arial" w:cs="Arial" w:eastAsia="Arial" w:hAnsi="Arial"/>
                <w:sz w:val="13"/>
                <w:szCs w:val="13"/>
                <w:b w:val="1"/>
                <w:bCs w:val="1"/>
                <w:color w:val="auto"/>
                <w:w w:val="96"/>
              </w:rPr>
              <w:t>Name and Principal Position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ind w:left="40"/>
              <w:spacing w:after="0"/>
              <w:rPr>
                <w:sz w:val="20"/>
                <w:szCs w:val="20"/>
                <w:color w:val="auto"/>
              </w:rPr>
            </w:pPr>
            <w:r>
              <w:rPr>
                <w:rFonts w:ascii="Arial" w:cs="Arial" w:eastAsia="Arial" w:hAnsi="Arial"/>
                <w:sz w:val="13"/>
                <w:szCs w:val="13"/>
                <w:b w:val="1"/>
                <w:bCs w:val="1"/>
                <w:color w:val="auto"/>
              </w:rPr>
              <w:t>Year    Salary ($)</w:t>
            </w:r>
          </w:p>
        </w:tc>
        <w:tc>
          <w:tcPr>
            <w:tcW w:w="1620" w:type="dxa"/>
            <w:vAlign w:val="bottom"/>
            <w:gridSpan w:val="4"/>
          </w:tcPr>
          <w:p>
            <w:pPr>
              <w:jc w:val="right"/>
              <w:ind w:right="200"/>
              <w:spacing w:after="0" w:line="204" w:lineRule="exact"/>
              <w:rPr>
                <w:sz w:val="20"/>
                <w:szCs w:val="20"/>
                <w:color w:val="auto"/>
              </w:rPr>
            </w:pPr>
            <w:r>
              <w:rPr>
                <w:rFonts w:ascii="Arial" w:cs="Arial" w:eastAsia="Arial" w:hAnsi="Arial"/>
                <w:sz w:val="13"/>
                <w:szCs w:val="13"/>
                <w:b w:val="1"/>
                <w:bCs w:val="1"/>
                <w:color w:val="auto"/>
                <w:w w:val="91"/>
              </w:rPr>
              <w:t>Bonus ($)   Awards ($)</w:t>
            </w:r>
            <w:r>
              <w:rPr>
                <w:rFonts w:ascii="Arial" w:cs="Arial" w:eastAsia="Arial" w:hAnsi="Arial"/>
                <w:sz w:val="19"/>
                <w:szCs w:val="19"/>
                <w:b w:val="1"/>
                <w:bCs w:val="1"/>
                <w:color w:val="auto"/>
                <w:w w:val="91"/>
                <w:vertAlign w:val="superscript"/>
              </w:rPr>
              <w:t>(1)</w:t>
            </w:r>
          </w:p>
        </w:tc>
        <w:tc>
          <w:tcPr>
            <w:tcW w:w="900" w:type="dxa"/>
            <w:vAlign w:val="bottom"/>
            <w:gridSpan w:val="2"/>
          </w:tcPr>
          <w:p>
            <w:pPr>
              <w:jc w:val="center"/>
              <w:ind w:right="180"/>
              <w:spacing w:after="0" w:line="204" w:lineRule="exact"/>
              <w:rPr>
                <w:sz w:val="20"/>
                <w:szCs w:val="20"/>
                <w:color w:val="auto"/>
              </w:rPr>
            </w:pPr>
            <w:r>
              <w:rPr>
                <w:rFonts w:ascii="Arial" w:cs="Arial" w:eastAsia="Arial" w:hAnsi="Arial"/>
                <w:sz w:val="13"/>
                <w:szCs w:val="13"/>
                <w:b w:val="1"/>
                <w:bCs w:val="1"/>
                <w:color w:val="auto"/>
                <w:w w:val="82"/>
              </w:rPr>
              <w:t>Awards ($)</w:t>
            </w:r>
            <w:r>
              <w:rPr>
                <w:rFonts w:ascii="Arial" w:cs="Arial" w:eastAsia="Arial" w:hAnsi="Arial"/>
                <w:sz w:val="19"/>
                <w:szCs w:val="19"/>
                <w:b w:val="1"/>
                <w:bCs w:val="1"/>
                <w:color w:val="auto"/>
                <w:w w:val="82"/>
                <w:vertAlign w:val="superscript"/>
              </w:rPr>
              <w:t>(1)</w:t>
            </w: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Compensation ($)</w:t>
            </w: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Compensation ($)</w:t>
            </w: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20" w:type="dxa"/>
            <w:vAlign w:val="bottom"/>
            <w:gridSpan w:val="2"/>
            <w:shd w:val="clear" w:color="auto" w:fill="CCEEFF"/>
          </w:tcPr>
          <w:p>
            <w:pPr>
              <w:spacing w:after="0" w:line="208" w:lineRule="exact"/>
              <w:rPr>
                <w:sz w:val="20"/>
                <w:szCs w:val="20"/>
                <w:color w:val="auto"/>
              </w:rPr>
            </w:pPr>
            <w:r>
              <w:rPr>
                <w:rFonts w:ascii="Arial" w:cs="Arial" w:eastAsia="Arial" w:hAnsi="Arial"/>
                <w:sz w:val="16"/>
                <w:szCs w:val="16"/>
                <w:color w:val="auto"/>
              </w:rPr>
              <w:t>David Zaccardelli</w:t>
            </w:r>
            <w:r>
              <w:rPr>
                <w:rFonts w:ascii="Arial" w:cs="Arial" w:eastAsia="Arial" w:hAnsi="Arial"/>
                <w:sz w:val="23"/>
                <w:szCs w:val="23"/>
                <w:color w:val="auto"/>
                <w:vertAlign w:val="superscript"/>
              </w:rPr>
              <w:t>(2)</w:t>
            </w:r>
          </w:p>
        </w:tc>
        <w:tc>
          <w:tcPr>
            <w:tcW w:w="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2020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229,167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17,620,462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412,500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08" w:lineRule="exact"/>
              <w:rPr>
                <w:sz w:val="20"/>
                <w:szCs w:val="20"/>
                <w:color w:val="auto"/>
              </w:rPr>
            </w:pPr>
            <w:r>
              <w:rPr>
                <w:rFonts w:ascii="Arial" w:cs="Arial" w:eastAsia="Arial" w:hAnsi="Arial"/>
                <w:sz w:val="16"/>
                <w:szCs w:val="16"/>
                <w:color w:val="auto"/>
              </w:rPr>
              <w:t>39,110</w:t>
            </w:r>
            <w:r>
              <w:rPr>
                <w:rFonts w:ascii="Arial" w:cs="Arial" w:eastAsia="Arial" w:hAnsi="Arial"/>
                <w:sz w:val="23"/>
                <w:szCs w:val="23"/>
                <w:color w:val="auto"/>
                <w:vertAlign w:val="superscript"/>
              </w:rPr>
              <w:t>(5)</w:t>
            </w:r>
          </w:p>
        </w:tc>
        <w:tc>
          <w:tcPr>
            <w:tcW w:w="2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18,301,239</w:t>
            </w:r>
          </w:p>
        </w:tc>
        <w:tc>
          <w:tcPr>
            <w:tcW w:w="0" w:type="dxa"/>
            <w:vAlign w:val="bottom"/>
          </w:tcPr>
          <w:p>
            <w:pPr>
              <w:spacing w:after="0"/>
              <w:rPr>
                <w:sz w:val="1"/>
                <w:szCs w:val="1"/>
                <w:color w:val="auto"/>
              </w:rPr>
            </w:pPr>
          </w:p>
        </w:tc>
      </w:tr>
      <w:tr>
        <w:trPr>
          <w:trHeight w:val="192"/>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and  Chief</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Executive Officer</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0" w:type="dxa"/>
            <w:vAlign w:val="bottom"/>
          </w:tcPr>
          <w:p>
            <w:pPr>
              <w:spacing w:after="0" w:line="215" w:lineRule="exact"/>
              <w:rPr>
                <w:sz w:val="20"/>
                <w:szCs w:val="20"/>
                <w:color w:val="auto"/>
              </w:rPr>
            </w:pPr>
            <w:r>
              <w:rPr>
                <w:rFonts w:ascii="Arial" w:cs="Arial" w:eastAsia="Arial" w:hAnsi="Arial"/>
                <w:sz w:val="16"/>
                <w:szCs w:val="16"/>
                <w:color w:val="auto"/>
                <w:w w:val="92"/>
              </w:rPr>
              <w:t>Mark Hahn</w:t>
            </w:r>
            <w:r>
              <w:rPr>
                <w:rFonts w:ascii="Arial" w:cs="Arial" w:eastAsia="Arial" w:hAnsi="Arial"/>
                <w:sz w:val="23"/>
                <w:szCs w:val="23"/>
                <w:color w:val="auto"/>
                <w:w w:val="92"/>
                <w:vertAlign w:val="superscript"/>
              </w:rPr>
              <w:t>(3)</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229,167</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17,915,584</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5"/>
              <w:spacing w:after="0"/>
              <w:rPr>
                <w:sz w:val="20"/>
                <w:szCs w:val="20"/>
                <w:color w:val="auto"/>
              </w:rPr>
            </w:pPr>
            <w:r>
              <w:rPr>
                <w:rFonts w:ascii="Arial" w:cs="Arial" w:eastAsia="Arial" w:hAnsi="Arial"/>
                <w:sz w:val="16"/>
                <w:szCs w:val="16"/>
                <w:color w:val="auto"/>
              </w:rPr>
              <w:t>275,000</w:t>
            </w:r>
          </w:p>
        </w:tc>
        <w:tc>
          <w:tcPr>
            <w:tcW w:w="1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Arial" w:cs="Arial" w:eastAsia="Arial" w:hAnsi="Arial"/>
                <w:sz w:val="16"/>
                <w:szCs w:val="16"/>
                <w:color w:val="auto"/>
              </w:rPr>
              <w:t>35,047</w:t>
            </w:r>
            <w:r>
              <w:rPr>
                <w:rFonts w:ascii="Arial" w:cs="Arial" w:eastAsia="Arial" w:hAnsi="Arial"/>
                <w:sz w:val="23"/>
                <w:szCs w:val="23"/>
                <w:color w:val="auto"/>
                <w:vertAlign w:val="superscript"/>
              </w:rPr>
              <w:t>(6)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18,454,798</w:t>
            </w:r>
          </w:p>
        </w:tc>
        <w:tc>
          <w:tcPr>
            <w:tcW w:w="0" w:type="dxa"/>
            <w:vAlign w:val="bottom"/>
          </w:tcPr>
          <w:p>
            <w:pPr>
              <w:spacing w:after="0"/>
              <w:rPr>
                <w:sz w:val="1"/>
                <w:szCs w:val="1"/>
                <w:color w:val="auto"/>
              </w:rPr>
            </w:pPr>
          </w:p>
        </w:tc>
      </w:tr>
      <w:tr>
        <w:trPr>
          <w:trHeight w:val="192"/>
        </w:trPr>
        <w:tc>
          <w:tcPr>
            <w:tcW w:w="920" w:type="dxa"/>
            <w:vAlign w:val="bottom"/>
          </w:tcPr>
          <w:p>
            <w:pPr>
              <w:ind w:left="160"/>
              <w:spacing w:after="0"/>
              <w:rPr>
                <w:sz w:val="20"/>
                <w:szCs w:val="20"/>
                <w:color w:val="auto"/>
              </w:rPr>
            </w:pPr>
            <w:r>
              <w:rPr>
                <w:rFonts w:ascii="Arial" w:cs="Arial" w:eastAsia="Arial" w:hAnsi="Arial"/>
                <w:sz w:val="16"/>
                <w:szCs w:val="16"/>
                <w:color w:val="auto"/>
              </w:rPr>
              <w:t>Chief</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Financial</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20" w:type="dxa"/>
            <w:vAlign w:val="bottom"/>
          </w:tcPr>
          <w:p>
            <w:pPr>
              <w:ind w:left="160"/>
              <w:spacing w:after="0"/>
              <w:rPr>
                <w:sz w:val="20"/>
                <w:szCs w:val="20"/>
                <w:color w:val="auto"/>
              </w:rPr>
            </w:pPr>
            <w:r>
              <w:rPr>
                <w:rFonts w:ascii="Arial" w:cs="Arial" w:eastAsia="Arial" w:hAnsi="Arial"/>
                <w:sz w:val="16"/>
                <w:szCs w:val="16"/>
                <w:color w:val="auto"/>
              </w:rPr>
              <w:t>Officer</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Kathleen Rickard</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2020</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401,700</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line="240" w:lineRule="exact"/>
              <w:rPr>
                <w:sz w:val="20"/>
                <w:szCs w:val="20"/>
                <w:color w:val="auto"/>
              </w:rPr>
            </w:pPr>
            <w:r>
              <w:rPr>
                <w:rFonts w:ascii="Arial" w:cs="Arial" w:eastAsia="Arial" w:hAnsi="Arial"/>
                <w:sz w:val="16"/>
                <w:szCs w:val="16"/>
                <w:color w:val="auto"/>
                <w:w w:val="86"/>
              </w:rPr>
              <w:t>125,000</w:t>
            </w:r>
            <w:r>
              <w:rPr>
                <w:rFonts w:ascii="Arial" w:cs="Arial" w:eastAsia="Arial" w:hAnsi="Arial"/>
                <w:sz w:val="23"/>
                <w:szCs w:val="23"/>
                <w:color w:val="auto"/>
                <w:w w:val="86"/>
                <w:vertAlign w:val="superscript"/>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3,201,340</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42,013</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176,748</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40" w:lineRule="exact"/>
              <w:rPr>
                <w:sz w:val="20"/>
                <w:szCs w:val="20"/>
                <w:color w:val="auto"/>
              </w:rPr>
            </w:pPr>
            <w:r>
              <w:rPr>
                <w:rFonts w:ascii="Arial" w:cs="Arial" w:eastAsia="Arial" w:hAnsi="Arial"/>
                <w:sz w:val="16"/>
                <w:szCs w:val="16"/>
                <w:color w:val="auto"/>
              </w:rPr>
              <w:t>19,314</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3,966,115</w:t>
            </w:r>
          </w:p>
        </w:tc>
        <w:tc>
          <w:tcPr>
            <w:tcW w:w="0" w:type="dxa"/>
            <w:vAlign w:val="bottom"/>
          </w:tcPr>
          <w:p>
            <w:pPr>
              <w:spacing w:after="0"/>
              <w:rPr>
                <w:sz w:val="1"/>
                <w:szCs w:val="1"/>
                <w:color w:val="auto"/>
              </w:rPr>
            </w:pPr>
          </w:p>
        </w:tc>
      </w:tr>
      <w:tr>
        <w:trPr>
          <w:trHeight w:val="240"/>
        </w:trPr>
        <w:tc>
          <w:tcPr>
            <w:tcW w:w="18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Chief Medical Officer</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2019</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357,500</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89,905</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258,585</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121,550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9,633</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962,173</w:t>
            </w:r>
          </w:p>
        </w:tc>
        <w:tc>
          <w:tcPr>
            <w:tcW w:w="0" w:type="dxa"/>
            <w:vAlign w:val="bottom"/>
          </w:tcPr>
          <w:p>
            <w:pPr>
              <w:spacing w:after="0"/>
              <w:rPr>
                <w:sz w:val="1"/>
                <w:szCs w:val="1"/>
                <w:color w:val="auto"/>
              </w:rPr>
            </w:pPr>
          </w:p>
        </w:tc>
      </w:tr>
      <w:tr>
        <w:trPr>
          <w:trHeight w:val="239"/>
        </w:trPr>
        <w:tc>
          <w:tcPr>
            <w:tcW w:w="1800" w:type="dxa"/>
            <w:vAlign w:val="bottom"/>
            <w:gridSpan w:val="3"/>
          </w:tcPr>
          <w:p>
            <w:pPr>
              <w:spacing w:after="0" w:line="240" w:lineRule="exact"/>
              <w:rPr>
                <w:sz w:val="20"/>
                <w:szCs w:val="20"/>
                <w:color w:val="auto"/>
              </w:rPr>
            </w:pPr>
            <w:r>
              <w:rPr>
                <w:rFonts w:ascii="Arial" w:cs="Arial" w:eastAsia="Arial" w:hAnsi="Arial"/>
                <w:sz w:val="16"/>
                <w:szCs w:val="16"/>
                <w:color w:val="auto"/>
              </w:rPr>
              <w:t>Jan-Anders Karlsson</w:t>
            </w:r>
            <w:r>
              <w:rPr>
                <w:rFonts w:ascii="Arial" w:cs="Arial" w:eastAsia="Arial" w:hAnsi="Arial"/>
                <w:sz w:val="23"/>
                <w:szCs w:val="23"/>
                <w:color w:val="auto"/>
                <w:vertAlign w:val="superscript"/>
              </w:rPr>
              <w:t>(2)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82,662</w:t>
            </w:r>
          </w:p>
        </w:tc>
        <w:tc>
          <w:tcPr>
            <w:tcW w:w="1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line="240" w:lineRule="exact"/>
              <w:rPr>
                <w:sz w:val="20"/>
                <w:szCs w:val="20"/>
                <w:color w:val="auto"/>
              </w:rPr>
            </w:pPr>
            <w:r>
              <w:rPr>
                <w:rFonts w:ascii="Arial" w:cs="Arial" w:eastAsia="Arial" w:hAnsi="Arial"/>
                <w:sz w:val="16"/>
                <w:szCs w:val="16"/>
                <w:color w:val="auto"/>
              </w:rPr>
              <w:t>1,392,124</w:t>
            </w:r>
            <w:r>
              <w:rPr>
                <w:rFonts w:ascii="Arial" w:cs="Arial" w:eastAsia="Arial" w:hAnsi="Arial"/>
                <w:sz w:val="23"/>
                <w:szCs w:val="23"/>
                <w:color w:val="auto"/>
                <w:vertAlign w:val="superscript"/>
              </w:rPr>
              <w:t>(8)</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1,474,786</w:t>
            </w:r>
          </w:p>
        </w:tc>
        <w:tc>
          <w:tcPr>
            <w:tcW w:w="0" w:type="dxa"/>
            <w:vAlign w:val="bottom"/>
          </w:tcPr>
          <w:p>
            <w:pPr>
              <w:spacing w:after="0"/>
              <w:rPr>
                <w:sz w:val="1"/>
                <w:szCs w:val="1"/>
                <w:color w:val="auto"/>
              </w:rPr>
            </w:pPr>
          </w:p>
        </w:tc>
      </w:tr>
      <w:tr>
        <w:trPr>
          <w:trHeight w:val="206"/>
        </w:trPr>
        <w:tc>
          <w:tcPr>
            <w:tcW w:w="920" w:type="dxa"/>
            <w:vAlign w:val="bottom"/>
          </w:tcPr>
          <w:p>
            <w:pPr>
              <w:ind w:left="160"/>
              <w:spacing w:after="0"/>
              <w:rPr>
                <w:sz w:val="20"/>
                <w:szCs w:val="20"/>
                <w:color w:val="auto"/>
              </w:rPr>
            </w:pPr>
            <w:r>
              <w:rPr>
                <w:rFonts w:ascii="Arial" w:cs="Arial" w:eastAsia="Arial" w:hAnsi="Arial"/>
                <w:sz w:val="16"/>
                <w:szCs w:val="16"/>
                <w:color w:val="auto"/>
              </w:rPr>
              <w:t>Former</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Chief</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437,828</w:t>
            </w:r>
          </w:p>
        </w:tc>
        <w:tc>
          <w:tcPr>
            <w:tcW w:w="1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199,607</w:t>
            </w:r>
          </w:p>
        </w:tc>
        <w:tc>
          <w:tcPr>
            <w:tcW w:w="18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color w:val="auto"/>
              </w:rPr>
              <w:t>640,777</w:t>
            </w:r>
          </w:p>
        </w:tc>
        <w:tc>
          <w:tcPr>
            <w:tcW w:w="200" w:type="dxa"/>
            <w:vAlign w:val="bottom"/>
          </w:tcPr>
          <w:p>
            <w:pPr>
              <w:spacing w:after="0"/>
              <w:rPr>
                <w:sz w:val="17"/>
                <w:szCs w:val="17"/>
                <w:color w:val="auto"/>
              </w:rPr>
            </w:pPr>
          </w:p>
        </w:tc>
        <w:tc>
          <w:tcPr>
            <w:tcW w:w="960" w:type="dxa"/>
            <w:vAlign w:val="bottom"/>
          </w:tcPr>
          <w:p>
            <w:pPr>
              <w:jc w:val="right"/>
              <w:ind w:right="145"/>
              <w:spacing w:after="0"/>
              <w:rPr>
                <w:sz w:val="20"/>
                <w:szCs w:val="20"/>
                <w:color w:val="auto"/>
              </w:rPr>
            </w:pPr>
            <w:r>
              <w:rPr>
                <w:rFonts w:ascii="Arial" w:cs="Arial" w:eastAsia="Arial" w:hAnsi="Arial"/>
                <w:sz w:val="16"/>
                <w:szCs w:val="16"/>
                <w:color w:val="auto"/>
              </w:rPr>
              <w:t>231,173</w:t>
            </w:r>
          </w:p>
        </w:tc>
        <w:tc>
          <w:tcPr>
            <w:tcW w:w="180" w:type="dxa"/>
            <w:vAlign w:val="bottom"/>
          </w:tcPr>
          <w:p>
            <w:pPr>
              <w:spacing w:after="0"/>
              <w:rPr>
                <w:sz w:val="17"/>
                <w:szCs w:val="17"/>
                <w:color w:val="auto"/>
              </w:rPr>
            </w:pPr>
          </w:p>
        </w:tc>
        <w:tc>
          <w:tcPr>
            <w:tcW w:w="960" w:type="dxa"/>
            <w:vAlign w:val="bottom"/>
          </w:tcPr>
          <w:p>
            <w:pPr>
              <w:jc w:val="right"/>
              <w:ind w:right="84"/>
              <w:spacing w:after="0"/>
              <w:rPr>
                <w:sz w:val="20"/>
                <w:szCs w:val="20"/>
                <w:color w:val="auto"/>
              </w:rPr>
            </w:pPr>
            <w:r>
              <w:rPr>
                <w:rFonts w:ascii="Arial" w:cs="Arial" w:eastAsia="Arial" w:hAnsi="Arial"/>
                <w:sz w:val="16"/>
                <w:szCs w:val="16"/>
                <w:color w:val="auto"/>
              </w:rPr>
              <w:t>30,315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1,539,700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-1370330</wp:posOffset>
            </wp:positionV>
            <wp:extent cx="1219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4452620</wp:posOffset>
            </wp:positionH>
            <wp:positionV relativeFrom="paragraph">
              <wp:posOffset>-1370330</wp:posOffset>
            </wp:positionV>
            <wp:extent cx="1219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3721735</wp:posOffset>
            </wp:positionH>
            <wp:positionV relativeFrom="paragraph">
              <wp:posOffset>-1370330</wp:posOffset>
            </wp:positionV>
            <wp:extent cx="1219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-1370330</wp:posOffset>
            </wp:positionV>
            <wp:extent cx="1143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300" cy="762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-1370330</wp:posOffset>
            </wp:positionV>
            <wp:extent cx="1066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-1370330</wp:posOffset>
            </wp:positionV>
            <wp:extent cx="1066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1689100</wp:posOffset>
            </wp:positionH>
            <wp:positionV relativeFrom="paragraph">
              <wp:posOffset>-1370330</wp:posOffset>
            </wp:positionV>
            <wp:extent cx="1066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6680" cy="762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-1370330</wp:posOffset>
            </wp:positionV>
            <wp:extent cx="1066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6680" cy="76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6"/>
          <w:szCs w:val="16"/>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186690</wp:posOffset>
            </wp:positionV>
            <wp:extent cx="10960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393" w:lineRule="exact"/>
        <w:rPr>
          <w:sz w:val="20"/>
          <w:szCs w:val="20"/>
          <w:color w:val="auto"/>
        </w:rPr>
      </w:pPr>
    </w:p>
    <w:p>
      <w:pPr>
        <w:ind w:left="1440" w:right="939" w:hanging="320"/>
        <w:spacing w:after="0" w:line="256"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reflect the full grant-date fair value of stock awards and option awards granted during 2020 computed in accordance with ASC Topic 718, rather than the amounts paid to or realized by the named individual. For a description of the assumptions used in valuing these awards, see Note 11 to our audited consolidated financial statements included in our Annual Report on Form 10-K for the fiscal year ended December 31, 2020.</w:t>
      </w:r>
    </w:p>
    <w:p>
      <w:pPr>
        <w:spacing w:after="0" w:line="25" w:lineRule="exact"/>
        <w:rPr>
          <w:rFonts w:ascii="Arial" w:cs="Arial" w:eastAsia="Arial" w:hAnsi="Arial"/>
          <w:sz w:val="16"/>
          <w:szCs w:val="16"/>
          <w:color w:val="auto"/>
        </w:rPr>
      </w:pPr>
    </w:p>
    <w:p>
      <w:pPr>
        <w:ind w:left="1440" w:right="1219" w:hanging="320"/>
        <w:spacing w:after="0" w:line="276"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Dr. Zaccardelli succeeded Dr. Karlsson as our Chief Executive Officer, effective February 1, 2020. Dr. Karlsson’s employment with us terminated on February 28, 2020.</w:t>
      </w:r>
    </w:p>
    <w:p>
      <w:pPr>
        <w:spacing w:after="0" w:line="20" w:lineRule="exact"/>
        <w:rPr>
          <w:rFonts w:ascii="Arial" w:cs="Arial" w:eastAsia="Arial" w:hAnsi="Arial"/>
          <w:sz w:val="16"/>
          <w:szCs w:val="16"/>
          <w:color w:val="auto"/>
        </w:rPr>
      </w:pPr>
    </w:p>
    <w:p>
      <w:pPr>
        <w:ind w:left="1440" w:right="1039" w:hanging="320"/>
        <w:spacing w:after="0" w:line="276"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Hahn commenced employment with us on February 1, 2020 and commenced serving as our Chief Financial Officer, effective March 1, 2020.</w:t>
      </w:r>
    </w:p>
    <w:p>
      <w:pPr>
        <w:spacing w:after="0" w:line="8" w:lineRule="exact"/>
        <w:rPr>
          <w:rFonts w:ascii="Arial" w:cs="Arial" w:eastAsia="Arial" w:hAnsi="Arial"/>
          <w:sz w:val="16"/>
          <w:szCs w:val="16"/>
          <w:color w:val="auto"/>
        </w:rPr>
      </w:pPr>
    </w:p>
    <w:p>
      <w:pPr>
        <w:jc w:val="both"/>
        <w:ind w:left="1440" w:right="919" w:hanging="320"/>
        <w:spacing w:after="0" w:line="263"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Consisted of a cash retention bonus that was payable pursuant to Dr. Rickard’s employment agreement. Refer to the section entitled “— Executive Compensation Arrangements — Kathleen Rickard, MD” for a description of this payment.</w:t>
      </w:r>
    </w:p>
    <w:p>
      <w:pPr>
        <w:spacing w:after="0" w:line="30" w:lineRule="exact"/>
        <w:rPr>
          <w:rFonts w:ascii="Arial" w:cs="Arial" w:eastAsia="Arial" w:hAnsi="Arial"/>
          <w:sz w:val="16"/>
          <w:szCs w:val="16"/>
          <w:color w:val="auto"/>
        </w:rPr>
      </w:pPr>
    </w:p>
    <w:p>
      <w:pPr>
        <w:ind w:left="1440" w:right="979" w:hanging="320"/>
        <w:spacing w:after="0" w:line="263"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Consisted of a cash payout in lieu of unused holidays ($14,423), payments made in respect of healthcare costs ($17,443), payments made in respect of life, dental and vision care costs ($1,244) and pension contributions ($6,000).</w:t>
      </w:r>
    </w:p>
    <w:p>
      <w:pPr>
        <w:spacing w:after="0" w:line="30" w:lineRule="exact"/>
        <w:rPr>
          <w:rFonts w:ascii="Arial" w:cs="Arial" w:eastAsia="Arial" w:hAnsi="Arial"/>
          <w:sz w:val="16"/>
          <w:szCs w:val="16"/>
          <w:color w:val="auto"/>
        </w:rPr>
      </w:pPr>
    </w:p>
    <w:p>
      <w:pPr>
        <w:ind w:left="1440" w:right="919" w:hanging="320"/>
        <w:spacing w:after="0" w:line="263" w:lineRule="auto"/>
        <w:tabs>
          <w:tab w:leader="none" w:pos="1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Consisted of a cash payout in lieu of unused holidays ($9,615), payments made in respect of healthcare costs ($22,467), payments made in respect of life, dental and vision care costs ($1,132) and pension contributions ($1,833).</w:t>
      </w:r>
    </w:p>
    <w:p>
      <w:pPr>
        <w:spacing w:after="0" w:line="18" w:lineRule="exact"/>
        <w:rPr>
          <w:rFonts w:ascii="Arial" w:cs="Arial" w:eastAsia="Arial" w:hAnsi="Arial"/>
          <w:sz w:val="16"/>
          <w:szCs w:val="16"/>
          <w:color w:val="auto"/>
        </w:rPr>
      </w:pPr>
    </w:p>
    <w:p>
      <w:pPr>
        <w:ind w:left="1440" w:right="919" w:hanging="320"/>
        <w:spacing w:after="0" w:line="308" w:lineRule="auto"/>
        <w:tabs>
          <w:tab w:leader="none" w:pos="1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Consisted of a cash payout in lieu of unused holidays ($7,725), payments made in respect of healthcare costs ($11,494), payments made in respect of life and dental and vision care costs ($95).</w:t>
      </w:r>
    </w:p>
    <w:p>
      <w:pPr>
        <w:ind w:left="1440" w:right="919" w:hanging="320"/>
        <w:spacing w:after="0" w:line="281" w:lineRule="auto"/>
        <w:tabs>
          <w:tab w:leader="none" w:pos="14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Consisted of a cash payout in lieu of unused holidays ($7,630), payments made in respect of healthcare costs ($3,706) and cash severance payments in accordance with Dr. Karlsson’s separation agreement (as described below in the section entitled “— Executive Compensation Arrangements — Jan-Anders Karlsson, Ph.D.”) ($1,364,849) and pension contributions ($15,939).</w:t>
      </w:r>
    </w:p>
    <w:p>
      <w:pPr>
        <w:spacing w:after="0" w:line="7" w:lineRule="exact"/>
        <w:rPr>
          <w:rFonts w:ascii="Arial" w:cs="Arial" w:eastAsia="Arial" w:hAnsi="Arial"/>
          <w:sz w:val="15"/>
          <w:szCs w:val="15"/>
          <w:color w:val="auto"/>
        </w:rPr>
      </w:pPr>
    </w:p>
    <w:p>
      <w:pPr>
        <w:jc w:val="both"/>
        <w:ind w:left="1440" w:right="1079" w:hanging="320"/>
        <w:spacing w:after="0" w:line="350" w:lineRule="auto"/>
        <w:tabs>
          <w:tab w:leader="none" w:pos="1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shown in this table are expressed in U.S. dollars. Amounts for 2020 paid in pounds sterling have been converted to U.S. dollars based on the exchange rate ($1.366312 to 1 pound sterling) as of</w:t>
      </w:r>
    </w:p>
    <w:p>
      <w:pPr>
        <w:spacing w:after="0" w:line="26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06171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37" w:name="page38"/>
    <w:bookmarkEnd w:id="37"/>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40" w:right="1219"/>
        <w:spacing w:after="0" w:line="294" w:lineRule="auto"/>
        <w:rPr>
          <w:sz w:val="20"/>
          <w:szCs w:val="20"/>
          <w:color w:val="auto"/>
        </w:rPr>
      </w:pPr>
      <w:r>
        <w:rPr>
          <w:rFonts w:ascii="Arial" w:cs="Arial" w:eastAsia="Arial" w:hAnsi="Arial"/>
          <w:sz w:val="15"/>
          <w:szCs w:val="15"/>
          <w:color w:val="auto"/>
        </w:rPr>
        <w:t>December 31, 2020. Amounts for 2019 paid in pounds sterling have been converted to U.S. dollars based on the exchange rate ($1.326752 to 1 pound sterling) as of December 31, 2019.</w:t>
      </w:r>
    </w:p>
    <w:p>
      <w:pPr>
        <w:spacing w:after="0" w:line="129"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Narrative to Summary Compensation Table</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2020 Annual Base Salaries</w:t>
      </w:r>
    </w:p>
    <w:p>
      <w:pPr>
        <w:spacing w:after="0" w:line="128" w:lineRule="exact"/>
        <w:rPr>
          <w:sz w:val="20"/>
          <w:szCs w:val="20"/>
          <w:color w:val="auto"/>
        </w:rPr>
      </w:pPr>
    </w:p>
    <w:p>
      <w:pPr>
        <w:ind w:left="1120" w:right="899" w:firstLine="320"/>
        <w:spacing w:after="0" w:line="247" w:lineRule="auto"/>
        <w:rPr>
          <w:sz w:val="20"/>
          <w:szCs w:val="20"/>
          <w:color w:val="auto"/>
        </w:rPr>
      </w:pPr>
      <w:r>
        <w:rPr>
          <w:rFonts w:ascii="Arial" w:cs="Arial" w:eastAsia="Arial" w:hAnsi="Arial"/>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03" w:lineRule="exact"/>
        <w:rPr>
          <w:sz w:val="20"/>
          <w:szCs w:val="20"/>
          <w:color w:val="auto"/>
        </w:rPr>
      </w:pPr>
    </w:p>
    <w:p>
      <w:pPr>
        <w:ind w:left="1120" w:right="919" w:firstLine="320"/>
        <w:spacing w:after="0" w:line="264" w:lineRule="auto"/>
        <w:rPr>
          <w:sz w:val="20"/>
          <w:szCs w:val="20"/>
          <w:color w:val="auto"/>
        </w:rPr>
      </w:pPr>
      <w:r>
        <w:rPr>
          <w:rFonts w:ascii="Arial" w:cs="Arial" w:eastAsia="Arial" w:hAnsi="Arial"/>
          <w:sz w:val="15"/>
          <w:szCs w:val="15"/>
          <w:color w:val="auto"/>
        </w:rPr>
        <w:t>Our remuneration committee periodically reviews named executive officer base salaries in consultation with management to determine whether any adjustments are necessary or appropriate. The following table shows the annual cash base salaries of our named executive officer for 2019 and 2020. Except as otherwise noted, all annual base salary increases were effective January 1 of the given year.</w:t>
      </w:r>
    </w:p>
    <w:p>
      <w:pPr>
        <w:spacing w:after="0" w:line="103"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2019 Cash Annual</w:t>
            </w:r>
          </w:p>
        </w:tc>
        <w:tc>
          <w:tcPr>
            <w:tcW w:w="1000" w:type="dxa"/>
            <w:vAlign w:val="bottom"/>
          </w:tcPr>
          <w:p>
            <w:pPr>
              <w:spacing w:after="0"/>
              <w:rPr>
                <w:sz w:val="20"/>
                <w:szCs w:val="20"/>
                <w:color w:val="auto"/>
              </w:rPr>
            </w:pPr>
            <w:r>
              <w:rPr>
                <w:rFonts w:ascii="Arial" w:cs="Arial" w:eastAsia="Arial" w:hAnsi="Arial"/>
                <w:sz w:val="13"/>
                <w:szCs w:val="13"/>
                <w:b w:val="1"/>
                <w:bCs w:val="1"/>
                <w:color w:val="auto"/>
                <w:w w:val="87"/>
              </w:rPr>
              <w:t>2020 Cash Annual</w:t>
            </w:r>
          </w:p>
        </w:tc>
      </w:tr>
      <w:tr>
        <w:trPr>
          <w:trHeight w:val="166"/>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Base Salary ($)</w:t>
            </w:r>
          </w:p>
        </w:tc>
        <w:tc>
          <w:tcPr>
            <w:tcW w:w="1000" w:type="dxa"/>
            <w:vAlign w:val="bottom"/>
          </w:tcPr>
          <w:p>
            <w:pPr>
              <w:ind w:left="120"/>
              <w:spacing w:after="0"/>
              <w:rPr>
                <w:sz w:val="20"/>
                <w:szCs w:val="20"/>
                <w:color w:val="auto"/>
              </w:rPr>
            </w:pPr>
            <w:r>
              <w:rPr>
                <w:rFonts w:ascii="Arial" w:cs="Arial" w:eastAsia="Arial" w:hAnsi="Arial"/>
                <w:sz w:val="13"/>
                <w:szCs w:val="13"/>
                <w:b w:val="1"/>
                <w:bCs w:val="1"/>
                <w:color w:val="auto"/>
                <w:w w:val="92"/>
              </w:rPr>
              <w:t>Base Salary ($)</w:t>
            </w: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2"/>
        </w:trPr>
        <w:tc>
          <w:tcPr>
            <w:tcW w:w="4460" w:type="dxa"/>
            <w:vAlign w:val="bottom"/>
            <w:gridSpan w:val="2"/>
            <w:shd w:val="clear" w:color="auto" w:fill="CCEEFF"/>
          </w:tcPr>
          <w:p>
            <w:pPr>
              <w:spacing w:after="0" w:line="232" w:lineRule="exact"/>
              <w:rPr>
                <w:sz w:val="20"/>
                <w:szCs w:val="20"/>
                <w:color w:val="auto"/>
              </w:rPr>
            </w:pPr>
            <w:r>
              <w:rPr>
                <w:rFonts w:ascii="Arial" w:cs="Arial" w:eastAsia="Arial" w:hAnsi="Arial"/>
                <w:sz w:val="16"/>
                <w:szCs w:val="16"/>
                <w:color w:val="auto"/>
              </w:rPr>
              <w:t>David Zaccardelli</w:t>
            </w:r>
            <w:r>
              <w:rPr>
                <w:rFonts w:ascii="Arial" w:cs="Arial" w:eastAsia="Arial" w:hAnsi="Arial"/>
                <w:sz w:val="23"/>
                <w:szCs w:val="23"/>
                <w:color w:val="auto"/>
                <w:vertAlign w:val="superscript"/>
              </w:rPr>
              <w:t>(1)</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40"/>
              <w:spacing w:after="0" w:line="232" w:lineRule="exact"/>
              <w:rPr>
                <w:sz w:val="20"/>
                <w:szCs w:val="20"/>
                <w:color w:val="auto"/>
              </w:rPr>
            </w:pPr>
            <w:r>
              <w:rPr>
                <w:rFonts w:ascii="Arial" w:cs="Arial" w:eastAsia="Arial" w:hAnsi="Arial"/>
                <w:sz w:val="16"/>
                <w:szCs w:val="16"/>
                <w:color w:val="auto"/>
                <w:w w:val="96"/>
              </w:rPr>
              <w:t>250,000</w:t>
            </w:r>
            <w:r>
              <w:rPr>
                <w:rFonts w:ascii="Arial" w:cs="Arial" w:eastAsia="Arial" w:hAnsi="Arial"/>
                <w:sz w:val="23"/>
                <w:szCs w:val="23"/>
                <w:color w:val="auto"/>
                <w:w w:val="96"/>
                <w:vertAlign w:val="superscript"/>
              </w:rPr>
              <w:t>(3)</w:t>
            </w:r>
          </w:p>
        </w:tc>
      </w:tr>
      <w:tr>
        <w:trPr>
          <w:trHeight w:val="240"/>
        </w:trPr>
        <w:tc>
          <w:tcPr>
            <w:tcW w:w="4460" w:type="dxa"/>
            <w:vAlign w:val="bottom"/>
            <w:gridSpan w:val="2"/>
          </w:tcPr>
          <w:p>
            <w:pPr>
              <w:spacing w:after="0" w:line="240" w:lineRule="exact"/>
              <w:rPr>
                <w:sz w:val="20"/>
                <w:szCs w:val="20"/>
                <w:color w:val="auto"/>
              </w:rPr>
            </w:pPr>
            <w:r>
              <w:rPr>
                <w:rFonts w:ascii="Arial" w:cs="Arial" w:eastAsia="Arial" w:hAnsi="Arial"/>
                <w:sz w:val="16"/>
                <w:szCs w:val="16"/>
                <w:color w:val="auto"/>
              </w:rPr>
              <w:t>Mark Hahn</w:t>
            </w:r>
            <w:r>
              <w:rPr>
                <w:rFonts w:ascii="Arial" w:cs="Arial" w:eastAsia="Arial" w:hAnsi="Arial"/>
                <w:sz w:val="23"/>
                <w:szCs w:val="23"/>
                <w:color w:val="auto"/>
                <w:vertAlign w:val="superscript"/>
              </w:rPr>
              <w:t>(2)</w:t>
            </w:r>
          </w:p>
        </w:tc>
        <w:tc>
          <w:tcPr>
            <w:tcW w:w="11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tcPr>
          <w:p>
            <w:pPr>
              <w:ind w:left="240"/>
              <w:spacing w:after="0" w:line="240" w:lineRule="exact"/>
              <w:rPr>
                <w:sz w:val="20"/>
                <w:szCs w:val="20"/>
                <w:color w:val="auto"/>
              </w:rPr>
            </w:pPr>
            <w:r>
              <w:rPr>
                <w:rFonts w:ascii="Arial" w:cs="Arial" w:eastAsia="Arial" w:hAnsi="Arial"/>
                <w:sz w:val="16"/>
                <w:szCs w:val="16"/>
                <w:color w:val="auto"/>
                <w:w w:val="96"/>
              </w:rPr>
              <w:t>250,000</w:t>
            </w:r>
            <w:r>
              <w:rPr>
                <w:rFonts w:ascii="Arial" w:cs="Arial" w:eastAsia="Arial" w:hAnsi="Arial"/>
                <w:sz w:val="23"/>
                <w:szCs w:val="23"/>
                <w:color w:val="auto"/>
                <w:w w:val="96"/>
                <w:vertAlign w:val="superscript"/>
              </w:rPr>
              <w:t>(3)</w:t>
            </w:r>
          </w:p>
        </w:tc>
      </w:tr>
      <w:tr>
        <w:trPr>
          <w:trHeight w:val="228"/>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Kathleen Rickard</w:t>
            </w:r>
          </w:p>
        </w:tc>
        <w:tc>
          <w:tcPr>
            <w:tcW w:w="100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390,000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401,700</w:t>
            </w:r>
          </w:p>
        </w:tc>
      </w:tr>
      <w:tr>
        <w:trPr>
          <w:trHeight w:val="316"/>
        </w:trPr>
        <w:tc>
          <w:tcPr>
            <w:tcW w:w="4460" w:type="dxa"/>
            <w:vAlign w:val="bottom"/>
            <w:gridSpan w:val="2"/>
          </w:tcPr>
          <w:p>
            <w:pPr>
              <w:spacing w:after="0"/>
              <w:rPr>
                <w:sz w:val="20"/>
                <w:szCs w:val="20"/>
                <w:color w:val="auto"/>
              </w:rPr>
            </w:pPr>
            <w:r>
              <w:rPr>
                <w:rFonts w:ascii="Arial" w:cs="Arial" w:eastAsia="Arial" w:hAnsi="Arial"/>
                <w:sz w:val="16"/>
                <w:szCs w:val="16"/>
                <w:color w:val="auto"/>
              </w:rPr>
              <w:t>Jan-Anders Karlsson</w:t>
            </w:r>
            <w:r>
              <w:rPr>
                <w:rFonts w:ascii="Arial" w:cs="Arial" w:eastAsia="Arial" w:hAnsi="Arial"/>
                <w:sz w:val="23"/>
                <w:szCs w:val="23"/>
                <w:color w:val="auto"/>
                <w:vertAlign w:val="superscript"/>
              </w:rPr>
              <w:t>(1)(4)</w:t>
            </w:r>
          </w:p>
        </w:tc>
        <w:tc>
          <w:tcPr>
            <w:tcW w:w="1000" w:type="dxa"/>
            <w:vAlign w:val="bottom"/>
          </w:tcPr>
          <w:p>
            <w:pPr>
              <w:jc w:val="right"/>
              <w:ind w:right="165"/>
              <w:spacing w:after="0"/>
              <w:rPr>
                <w:sz w:val="20"/>
                <w:szCs w:val="20"/>
                <w:color w:val="auto"/>
              </w:rPr>
            </w:pPr>
            <w:r>
              <w:rPr>
                <w:rFonts w:ascii="Arial" w:cs="Arial" w:eastAsia="Arial" w:hAnsi="Arial"/>
                <w:sz w:val="16"/>
                <w:szCs w:val="16"/>
                <w:color w:val="auto"/>
              </w:rPr>
              <w:t>437,828</w:t>
            </w:r>
          </w:p>
        </w:tc>
        <w:tc>
          <w:tcPr>
            <w:tcW w:w="18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6"/>
                <w:szCs w:val="16"/>
                <w:color w:val="auto"/>
              </w:rPr>
              <w:t>495,971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-656590</wp:posOffset>
            </wp:positionV>
            <wp:extent cx="12192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-656590</wp:posOffset>
            </wp:positionV>
            <wp:extent cx="12192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80645</wp:posOffset>
            </wp:positionV>
            <wp:extent cx="10960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39" w:lineRule="exact"/>
        <w:rPr>
          <w:sz w:val="20"/>
          <w:szCs w:val="20"/>
          <w:color w:val="auto"/>
        </w:rPr>
      </w:pPr>
    </w:p>
    <w:p>
      <w:pPr>
        <w:ind w:left="1440" w:right="1219" w:hanging="320"/>
        <w:spacing w:after="0" w:line="276" w:lineRule="auto"/>
        <w:tabs>
          <w:tab w:leader="none" w:pos="1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Zaccardelli succeeded Dr. Karlsson as our Chief Executive Officer, effective February 1, 2020. Dr. Karlsson’s employment with us terminated on February 28, 2020.</w:t>
      </w:r>
    </w:p>
    <w:p>
      <w:pPr>
        <w:spacing w:after="0" w:line="20" w:lineRule="exact"/>
        <w:rPr>
          <w:rFonts w:ascii="Arial" w:cs="Arial" w:eastAsia="Arial" w:hAnsi="Arial"/>
          <w:sz w:val="16"/>
          <w:szCs w:val="16"/>
          <w:color w:val="auto"/>
        </w:rPr>
      </w:pPr>
    </w:p>
    <w:p>
      <w:pPr>
        <w:ind w:left="1440" w:right="1039" w:hanging="320"/>
        <w:spacing w:after="0" w:line="276" w:lineRule="auto"/>
        <w:tabs>
          <w:tab w:leader="none" w:pos="1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Hahn commenced employment with us on February 1, 2020 and commenced serving as our Chief Financial Officer, effective March 1, 2020.</w:t>
      </w:r>
    </w:p>
    <w:p>
      <w:pPr>
        <w:spacing w:after="0" w:line="20" w:lineRule="exact"/>
        <w:rPr>
          <w:rFonts w:ascii="Arial" w:cs="Arial" w:eastAsia="Arial" w:hAnsi="Arial"/>
          <w:sz w:val="16"/>
          <w:szCs w:val="16"/>
          <w:color w:val="auto"/>
        </w:rPr>
      </w:pPr>
    </w:p>
    <w:p>
      <w:pPr>
        <w:ind w:left="1440" w:right="1019" w:hanging="320"/>
        <w:spacing w:after="0" w:line="255" w:lineRule="auto"/>
        <w:tabs>
          <w:tab w:leader="none" w:pos="1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further described below in the section entitled “— Executive Compensation Arrangements,” Dr. Zaccardelli’s and Mr. Hahn’s annual base salaries are payable in part in cash and in part in restricted stock units pursuant to their employment agreements. The amounts shown in this table represent the portion of the executive’s annual base salary that was payable in cash for 2020. The portion of Dr. Zaccardelli and Mr. Hahn’s annual base salary that was payable in restricted stock units is described below in the section entitled “— Equity Compensation.”</w:t>
      </w:r>
    </w:p>
    <w:p>
      <w:pPr>
        <w:spacing w:after="0" w:line="49" w:lineRule="exact"/>
        <w:rPr>
          <w:rFonts w:ascii="Arial" w:cs="Arial" w:eastAsia="Arial" w:hAnsi="Arial"/>
          <w:sz w:val="16"/>
          <w:szCs w:val="16"/>
          <w:color w:val="auto"/>
        </w:rPr>
      </w:pPr>
    </w:p>
    <w:p>
      <w:pPr>
        <w:ind w:left="1440" w:right="899" w:hanging="320"/>
        <w:spacing w:after="0" w:line="259" w:lineRule="auto"/>
        <w:tabs>
          <w:tab w:leader="none" w:pos="1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for 2020 paid in pounds sterling have been converted to U.S. dollars based on the exchange rate ($1.366312 to 1 pound sterling) as of December 31, 2020. Amounts for 2019 paid in pounds sterling have been converted to U.S. dollars based on the exchange rate ($1.326752 to 1 pound sterling) as of December 31, 2019.</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2020 Bonuses</w:t>
      </w:r>
    </w:p>
    <w:p>
      <w:pPr>
        <w:spacing w:after="0" w:line="128" w:lineRule="exact"/>
        <w:rPr>
          <w:sz w:val="20"/>
          <w:szCs w:val="20"/>
          <w:color w:val="auto"/>
        </w:rPr>
      </w:pPr>
    </w:p>
    <w:p>
      <w:pPr>
        <w:ind w:left="1120" w:right="919" w:firstLine="320"/>
        <w:spacing w:after="0" w:line="270" w:lineRule="auto"/>
        <w:rPr>
          <w:sz w:val="20"/>
          <w:szCs w:val="20"/>
          <w:color w:val="auto"/>
        </w:rPr>
      </w:pPr>
      <w:r>
        <w:rPr>
          <w:rFonts w:ascii="Arial" w:cs="Arial" w:eastAsia="Arial" w:hAnsi="Arial"/>
          <w:sz w:val="15"/>
          <w:szCs w:val="15"/>
          <w:color w:val="auto"/>
        </w:rPr>
        <w:t>In addition to base salaries, our named executive officers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after the end of the relevant financial year. Dr. Zaccardelli is eligible to receive an annual bonus targeted at 50% of his base salary and a maximum bonus of up to 200% of his base salary. Mr. Hahn is eligible to receive an annual bonus targeted at 50% of his base salary, while Dr. Rickard is eligible to receive an annual bonus targeted at 40% of her base salary. For 2020, our corporate bonus objectives were based on operational and financial milestones, which consisted of successful interactions with U.S. regulators regarding Phase 2 clinical trials, the initiation of Phase 3 clinical trials, a successful capital raise, design of appropriate clinical trials and Company operation at or below an approved budget; however, our remuneration committee did not assign any particular weights to any particular objectives, nor did it have separate goals for any particular executive.</w:t>
      </w:r>
    </w:p>
    <w:p>
      <w:pPr>
        <w:spacing w:after="0" w:line="105" w:lineRule="exact"/>
        <w:rPr>
          <w:sz w:val="20"/>
          <w:szCs w:val="20"/>
          <w:color w:val="auto"/>
        </w:rPr>
      </w:pPr>
    </w:p>
    <w:p>
      <w:pPr>
        <w:ind w:left="1120" w:right="959" w:firstLine="320"/>
        <w:spacing w:after="0" w:line="311" w:lineRule="auto"/>
        <w:rPr>
          <w:sz w:val="20"/>
          <w:szCs w:val="20"/>
          <w:color w:val="auto"/>
        </w:rPr>
      </w:pPr>
      <w:r>
        <w:rPr>
          <w:rFonts w:ascii="Arial" w:cs="Arial" w:eastAsia="Arial" w:hAnsi="Arial"/>
          <w:sz w:val="15"/>
          <w:szCs w:val="15"/>
          <w:color w:val="auto"/>
        </w:rPr>
        <w:t>Based on their evaluation of company performance, remuneration committee approved annual bonuses that represented 110%, 110% and 110% of the target annual bonus for Dr. Zaccardelli, Mr. Hahn, and</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38" w:name="page39"/>
    <w:bookmarkEnd w:id="38"/>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879"/>
        <w:spacing w:after="0" w:line="241" w:lineRule="auto"/>
        <w:rPr>
          <w:sz w:val="20"/>
          <w:szCs w:val="20"/>
          <w:color w:val="auto"/>
        </w:rPr>
      </w:pPr>
      <w:r>
        <w:rPr>
          <w:rFonts w:ascii="Arial" w:cs="Arial" w:eastAsia="Arial" w:hAnsi="Arial"/>
          <w:sz w:val="16"/>
          <w:szCs w:val="16"/>
          <w:color w:val="auto"/>
        </w:rPr>
        <w:t>Dr. Rickard, respectively. The bonuses awarded to Dr. Zaccardelli and Mr. Hahn were pro- rated in respect of their partial year of employment. Dr. Karlsson was not eligible to receive an annual bonus for 2020 because he was no longer employed. The actual annual cash bonuses awarded to each named executive officer for 2020 performance are set forth above in the Summary Compensation Table in the column entitled “Non-Equity Incentive Plan Compensation.”</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Equity Compensation</w:t>
      </w:r>
    </w:p>
    <w:p>
      <w:pPr>
        <w:spacing w:after="0" w:line="128" w:lineRule="exact"/>
        <w:rPr>
          <w:sz w:val="20"/>
          <w:szCs w:val="20"/>
          <w:color w:val="auto"/>
        </w:rPr>
      </w:pPr>
    </w:p>
    <w:p>
      <w:pPr>
        <w:ind w:left="1120" w:right="919" w:firstLine="320"/>
        <w:spacing w:after="0" w:line="239" w:lineRule="auto"/>
        <w:rPr>
          <w:sz w:val="20"/>
          <w:szCs w:val="20"/>
          <w:color w:val="auto"/>
        </w:rPr>
      </w:pPr>
      <w:r>
        <w:rPr>
          <w:rFonts w:ascii="Arial" w:cs="Arial" w:eastAsia="Arial" w:hAnsi="Arial"/>
          <w:sz w:val="16"/>
          <w:szCs w:val="16"/>
          <w:color w:val="auto"/>
        </w:rPr>
        <w:t>Each of our named executive officers have been granted stock options and restricted stock units. The stock options and restricted stock units typically vest over a period of four years; however, from time to time, our Board of Directors or the remuneration committee may also construct alternate vesting schedules as it determines are appropriate to motivate particular employees. Stock options and restricted stock units granted to our employees may be subject to accelerated vesting in certain circumstances, as described in the section titled “Employment and Separation Agreements.”</w:t>
      </w:r>
    </w:p>
    <w:p>
      <w:pPr>
        <w:spacing w:after="0" w:line="111" w:lineRule="exact"/>
        <w:rPr>
          <w:sz w:val="20"/>
          <w:szCs w:val="20"/>
          <w:color w:val="auto"/>
        </w:rPr>
      </w:pPr>
    </w:p>
    <w:p>
      <w:pPr>
        <w:ind w:left="1120" w:right="939" w:firstLine="320"/>
        <w:spacing w:after="0" w:line="255" w:lineRule="auto"/>
        <w:rPr>
          <w:sz w:val="20"/>
          <w:szCs w:val="20"/>
          <w:color w:val="auto"/>
        </w:rPr>
      </w:pPr>
      <w:r>
        <w:rPr>
          <w:rFonts w:ascii="Arial" w:cs="Arial" w:eastAsia="Arial" w:hAnsi="Arial"/>
          <w:sz w:val="16"/>
          <w:szCs w:val="16"/>
          <w:color w:val="auto"/>
        </w:rPr>
        <w:t>The following table sets forth the restricted stock units and stock options granted to our named executive officers during 2020 as the long-term incentive component of our compensation program. These restricted stock units and stock options were granted under our 2017 Incentive Award Plan, as it may be amended and/or restated from time to time, which we refer to as the 2017 Incentive Plan. Each stock option has an exercise price per share and/or ADS equal to the fair market value of our ordinary shares and/or ADSs on the date of grant, as determined by the Board of Directors.</w:t>
      </w:r>
    </w:p>
    <w:p>
      <w:pPr>
        <w:spacing w:after="0" w:line="105"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2020 Restricted Stock</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w w:val="82"/>
              </w:rPr>
              <w:t>2020 Stock Options</w:t>
            </w:r>
          </w:p>
        </w:tc>
      </w:tr>
      <w:tr>
        <w:trPr>
          <w:trHeight w:val="215"/>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85"/>
              <w:spacing w:after="0" w:line="215" w:lineRule="exact"/>
              <w:rPr>
                <w:sz w:val="20"/>
                <w:szCs w:val="20"/>
                <w:color w:val="auto"/>
              </w:rPr>
            </w:pPr>
            <w:r>
              <w:rPr>
                <w:rFonts w:ascii="Arial" w:cs="Arial" w:eastAsia="Arial" w:hAnsi="Arial"/>
                <w:sz w:val="13"/>
                <w:szCs w:val="13"/>
                <w:b w:val="1"/>
                <w:bCs w:val="1"/>
                <w:color w:val="auto"/>
                <w:w w:val="98"/>
              </w:rPr>
              <w:t>Units Granted</w:t>
            </w:r>
            <w:r>
              <w:rPr>
                <w:rFonts w:ascii="Arial" w:cs="Arial" w:eastAsia="Arial" w:hAnsi="Arial"/>
                <w:sz w:val="19"/>
                <w:szCs w:val="19"/>
                <w:b w:val="1"/>
                <w:bCs w:val="1"/>
                <w:color w:val="auto"/>
                <w:w w:val="98"/>
                <w:vertAlign w:val="superscript"/>
              </w:rPr>
              <w:t>(1)</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85"/>
              <w:spacing w:after="0" w:line="215" w:lineRule="exact"/>
              <w:rPr>
                <w:sz w:val="20"/>
                <w:szCs w:val="20"/>
                <w:color w:val="auto"/>
              </w:rPr>
            </w:pPr>
            <w:r>
              <w:rPr>
                <w:rFonts w:ascii="Arial" w:cs="Arial" w:eastAsia="Arial" w:hAnsi="Arial"/>
                <w:sz w:val="13"/>
                <w:szCs w:val="13"/>
                <w:b w:val="1"/>
                <w:bCs w:val="1"/>
                <w:color w:val="auto"/>
              </w:rPr>
              <w:t>Granted</w:t>
            </w:r>
            <w:r>
              <w:rPr>
                <w:rFonts w:ascii="Arial" w:cs="Arial" w:eastAsia="Arial" w:hAnsi="Arial"/>
                <w:sz w:val="19"/>
                <w:szCs w:val="19"/>
                <w:b w:val="1"/>
                <w:bCs w:val="1"/>
                <w:color w:val="auto"/>
                <w:vertAlign w:val="superscript"/>
              </w:rPr>
              <w:t>(1)</w:t>
            </w:r>
          </w:p>
        </w:tc>
      </w:tr>
      <w:tr>
        <w:trPr>
          <w:trHeight w:val="220"/>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Zaccardelli</w:t>
            </w:r>
          </w:p>
        </w:tc>
        <w:tc>
          <w:tcPr>
            <w:tcW w:w="1180" w:type="dxa"/>
            <w:vAlign w:val="bottom"/>
            <w:shd w:val="clear" w:color="auto" w:fill="CCEEFF"/>
          </w:tcPr>
          <w:p>
            <w:pPr>
              <w:jc w:val="right"/>
              <w:ind w:right="45"/>
              <w:spacing w:after="0" w:line="220" w:lineRule="exact"/>
              <w:rPr>
                <w:sz w:val="20"/>
                <w:szCs w:val="20"/>
                <w:color w:val="auto"/>
              </w:rPr>
            </w:pPr>
            <w:r>
              <w:rPr>
                <w:rFonts w:ascii="Arial" w:cs="Arial" w:eastAsia="Arial" w:hAnsi="Arial"/>
                <w:sz w:val="16"/>
                <w:szCs w:val="16"/>
                <w:color w:val="auto"/>
              </w:rPr>
              <w:t>2,400,935</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r>
      <w:tr>
        <w:trPr>
          <w:trHeight w:val="228"/>
        </w:trPr>
        <w:tc>
          <w:tcPr>
            <w:tcW w:w="4200" w:type="dxa"/>
            <w:vAlign w:val="bottom"/>
            <w:gridSpan w:val="2"/>
          </w:tcPr>
          <w:p>
            <w:pPr>
              <w:spacing w:after="0"/>
              <w:rPr>
                <w:sz w:val="20"/>
                <w:szCs w:val="20"/>
                <w:color w:val="auto"/>
              </w:rPr>
            </w:pPr>
            <w:r>
              <w:rPr>
                <w:rFonts w:ascii="Arial" w:cs="Arial" w:eastAsia="Arial" w:hAnsi="Arial"/>
                <w:sz w:val="16"/>
                <w:szCs w:val="16"/>
                <w:color w:val="auto"/>
              </w:rPr>
              <w:t>Mark Hahn</w:t>
            </w:r>
          </w:p>
        </w:tc>
        <w:tc>
          <w:tcPr>
            <w:tcW w:w="1180" w:type="dxa"/>
            <w:vAlign w:val="bottom"/>
          </w:tcPr>
          <w:p>
            <w:pPr>
              <w:jc w:val="right"/>
              <w:ind w:right="45"/>
              <w:spacing w:after="0" w:line="228" w:lineRule="exact"/>
              <w:rPr>
                <w:sz w:val="20"/>
                <w:szCs w:val="20"/>
                <w:color w:val="auto"/>
              </w:rPr>
            </w:pPr>
            <w:r>
              <w:rPr>
                <w:rFonts w:ascii="Arial" w:cs="Arial" w:eastAsia="Arial" w:hAnsi="Arial"/>
                <w:sz w:val="16"/>
                <w:szCs w:val="16"/>
                <w:color w:val="auto"/>
              </w:rPr>
              <w:t>2,356,385</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060" w:type="dxa"/>
            <w:vAlign w:val="bottom"/>
          </w:tcPr>
          <w:p>
            <w:pPr>
              <w:jc w:val="right"/>
              <w:ind w:right="245"/>
              <w:spacing w:after="0"/>
              <w:rPr>
                <w:sz w:val="20"/>
                <w:szCs w:val="20"/>
                <w:color w:val="auto"/>
              </w:rPr>
            </w:pPr>
            <w:r>
              <w:rPr>
                <w:rFonts w:ascii="Arial" w:cs="Arial" w:eastAsia="Arial" w:hAnsi="Arial"/>
                <w:sz w:val="16"/>
                <w:szCs w:val="16"/>
                <w:color w:val="auto"/>
              </w:rPr>
              <w:t>—</w:t>
            </w:r>
          </w:p>
        </w:tc>
      </w:tr>
      <w:tr>
        <w:trPr>
          <w:trHeight w:val="228"/>
        </w:trPr>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Kathleen Rickard</w:t>
            </w:r>
          </w:p>
        </w:tc>
        <w:tc>
          <w:tcPr>
            <w:tcW w:w="11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383,394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12,500</w:t>
            </w:r>
          </w:p>
        </w:tc>
      </w:tr>
      <w:tr>
        <w:trPr>
          <w:trHeight w:val="228"/>
        </w:trPr>
        <w:tc>
          <w:tcPr>
            <w:tcW w:w="4200" w:type="dxa"/>
            <w:vAlign w:val="bottom"/>
            <w:gridSpan w:val="2"/>
          </w:tcPr>
          <w:p>
            <w:pPr>
              <w:spacing w:after="0"/>
              <w:rPr>
                <w:sz w:val="20"/>
                <w:szCs w:val="20"/>
                <w:color w:val="auto"/>
              </w:rPr>
            </w:pPr>
            <w:r>
              <w:rPr>
                <w:rFonts w:ascii="Arial" w:cs="Arial" w:eastAsia="Arial" w:hAnsi="Arial"/>
                <w:sz w:val="16"/>
                <w:szCs w:val="16"/>
                <w:color w:val="auto"/>
              </w:rPr>
              <w:t>Jan-Anders Karlsson</w:t>
            </w:r>
          </w:p>
        </w:tc>
        <w:tc>
          <w:tcPr>
            <w:tcW w:w="13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5"/>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-585470</wp:posOffset>
            </wp:positionV>
            <wp:extent cx="12192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3462655</wp:posOffset>
            </wp:positionH>
            <wp:positionV relativeFrom="paragraph">
              <wp:posOffset>-585470</wp:posOffset>
            </wp:positionV>
            <wp:extent cx="1219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129540</wp:posOffset>
            </wp:positionV>
            <wp:extent cx="10960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315" w:lineRule="exact"/>
        <w:rPr>
          <w:sz w:val="20"/>
          <w:szCs w:val="20"/>
          <w:color w:val="auto"/>
        </w:rPr>
      </w:pPr>
    </w:p>
    <w:p>
      <w:pPr>
        <w:ind w:left="1440" w:right="1119" w:hanging="320"/>
        <w:spacing w:after="0" w:line="276" w:lineRule="auto"/>
        <w:tabs>
          <w:tab w:leader="none" w:pos="1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shown in this table are expressed in terms of the number of ADSs that are covered by each such award. Each ADS represents 8 ordinary shares of the Company.</w:t>
      </w:r>
    </w:p>
    <w:p>
      <w:pPr>
        <w:spacing w:after="0" w:line="20" w:lineRule="exact"/>
        <w:rPr>
          <w:rFonts w:ascii="Arial" w:cs="Arial" w:eastAsia="Arial" w:hAnsi="Arial"/>
          <w:sz w:val="16"/>
          <w:szCs w:val="16"/>
          <w:color w:val="auto"/>
        </w:rPr>
      </w:pPr>
    </w:p>
    <w:p>
      <w:pPr>
        <w:ind w:left="1440" w:right="1059" w:hanging="320"/>
        <w:spacing w:after="0" w:line="255" w:lineRule="auto"/>
        <w:tabs>
          <w:tab w:leader="none" w:pos="1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further described below in the section entitled “— Executive Compensation Arrangements,” Dr. Zaccardelli’s annual base salary is payable in part in cash and in part in restricted stock units pursuant to his employment agreement. The amounts shown in this table include 89,100 restricted stock units, which represents the portion of his 2020 annual base salary that was payable in restricted stock units. The portion of Dr. Zaccardelli’s annual base salary that was payable in cash is described above in the section entitled “— 2020 Annual Base Salaries.”</w:t>
      </w:r>
    </w:p>
    <w:p>
      <w:pPr>
        <w:spacing w:after="0" w:line="49" w:lineRule="exact"/>
        <w:rPr>
          <w:rFonts w:ascii="Arial" w:cs="Arial" w:eastAsia="Arial" w:hAnsi="Arial"/>
          <w:sz w:val="16"/>
          <w:szCs w:val="16"/>
          <w:color w:val="auto"/>
        </w:rPr>
      </w:pPr>
    </w:p>
    <w:p>
      <w:pPr>
        <w:ind w:left="1440" w:hanging="320"/>
        <w:spacing w:after="0"/>
        <w:tabs>
          <w:tab w:leader="none" w:pos="1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further described below in the section entitled “— Executive Compensation Arrangements,”</w:t>
      </w:r>
    </w:p>
    <w:p>
      <w:pPr>
        <w:spacing w:after="0" w:line="20" w:lineRule="exact"/>
        <w:rPr>
          <w:rFonts w:ascii="Arial" w:cs="Arial" w:eastAsia="Arial" w:hAnsi="Arial"/>
          <w:sz w:val="16"/>
          <w:szCs w:val="16"/>
          <w:color w:val="auto"/>
        </w:rPr>
      </w:pPr>
    </w:p>
    <w:p>
      <w:pPr>
        <w:ind w:left="1440" w:right="919"/>
        <w:spacing w:after="0" w:line="252" w:lineRule="auto"/>
        <w:rPr>
          <w:rFonts w:ascii="Arial" w:cs="Arial" w:eastAsia="Arial" w:hAnsi="Arial"/>
          <w:sz w:val="16"/>
          <w:szCs w:val="16"/>
          <w:color w:val="auto"/>
        </w:rPr>
      </w:pPr>
      <w:r>
        <w:rPr>
          <w:rFonts w:ascii="Arial" w:cs="Arial" w:eastAsia="Arial" w:hAnsi="Arial"/>
          <w:sz w:val="16"/>
          <w:szCs w:val="16"/>
          <w:color w:val="auto"/>
        </w:rPr>
        <w:t>Mr. Hahn’s annual base salary is payable in part in cash and in part in restricted stock units pursuant to his employment agreement. The amounts shown in this table include 44,549 restricted stock units, which represents the portion of his 2020 annual base salary that was payable in restricted stock units. The portion of Mr. Hahn’s annual base salary that was payable in cash is described above in the section entitled “— 2020 Annual Base Salaries.”</w:t>
      </w:r>
    </w:p>
    <w:p>
      <w:pPr>
        <w:spacing w:after="0" w:line="172"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Other Elements of Compensation</w:t>
      </w:r>
    </w:p>
    <w:p>
      <w:pPr>
        <w:spacing w:after="0" w:line="19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Retirement Plans</w:t>
      </w:r>
    </w:p>
    <w:p>
      <w:pPr>
        <w:spacing w:after="0" w:line="132" w:lineRule="exact"/>
        <w:rPr>
          <w:sz w:val="20"/>
          <w:szCs w:val="20"/>
          <w:color w:val="auto"/>
        </w:rPr>
      </w:pPr>
    </w:p>
    <w:p>
      <w:pPr>
        <w:ind w:left="1120" w:right="979" w:firstLine="320"/>
        <w:spacing w:after="0" w:line="253" w:lineRule="auto"/>
        <w:rPr>
          <w:sz w:val="20"/>
          <w:szCs w:val="20"/>
          <w:color w:val="auto"/>
        </w:rPr>
      </w:pPr>
      <w:r>
        <w:rPr>
          <w:rFonts w:ascii="Arial" w:cs="Arial" w:eastAsia="Arial" w:hAnsi="Arial"/>
          <w:sz w:val="16"/>
          <w:szCs w:val="16"/>
          <w:color w:val="auto"/>
        </w:rPr>
        <w:t>We currently maintain a 401(k) retirement savings plan for our U.S.-based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participants in the 401(k) plan up to 4% of the employee’s annual compensation (which, for 2020, was subject to a maximum of $6,000 per employee). Matching contributions made during 2020 vest over a six year period.</w:t>
      </w:r>
    </w:p>
    <w:p>
      <w:pPr>
        <w:spacing w:after="0" w:line="34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39" w:name="page40"/>
    <w:bookmarkEnd w:id="39"/>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39"/>
        <w:spacing w:after="0" w:line="281" w:lineRule="auto"/>
        <w:rPr>
          <w:sz w:val="20"/>
          <w:szCs w:val="20"/>
          <w:color w:val="auto"/>
        </w:rPr>
      </w:pPr>
      <w:r>
        <w:rPr>
          <w:rFonts w:ascii="Arial" w:cs="Arial" w:eastAsia="Arial" w:hAnsi="Arial"/>
          <w:sz w:val="15"/>
          <w:szCs w:val="15"/>
          <w:color w:val="auto"/>
        </w:rPr>
        <w:t>We also operate a defined contribution pension scheme which is available to all UK employees. We believe that providing vehicles for tax-deferred retirement savings , and making matching contributions, adds to the overall desirability of our executive compensation package and further incentivizes our employees, including our named executive officers, in accordance with our compensation policies.</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Employee Benefits and Perquisites</w:t>
      </w:r>
    </w:p>
    <w:p>
      <w:pPr>
        <w:spacing w:after="0" w:line="132" w:lineRule="exact"/>
        <w:rPr>
          <w:sz w:val="20"/>
          <w:szCs w:val="20"/>
          <w:color w:val="auto"/>
        </w:rPr>
      </w:pPr>
    </w:p>
    <w:p>
      <w:pPr>
        <w:ind w:left="1120" w:right="1199" w:firstLine="320"/>
        <w:spacing w:after="0" w:line="276" w:lineRule="auto"/>
        <w:rPr>
          <w:sz w:val="20"/>
          <w:szCs w:val="20"/>
          <w:color w:val="auto"/>
        </w:rPr>
      </w:pPr>
      <w:r>
        <w:rPr>
          <w:rFonts w:ascii="Arial" w:cs="Arial" w:eastAsia="Arial" w:hAnsi="Arial"/>
          <w:sz w:val="16"/>
          <w:szCs w:val="16"/>
          <w:color w:val="auto"/>
        </w:rPr>
        <w:t>We offer the opportunity to participate in various health and welfare programs to our U.S. full-time employees, including our named executive officers. These programs include:</w:t>
      </w:r>
    </w:p>
    <w:p>
      <w:pPr>
        <w:spacing w:after="0" w:line="56" w:lineRule="exact"/>
        <w:rPr>
          <w:sz w:val="20"/>
          <w:szCs w:val="20"/>
          <w:color w:val="auto"/>
        </w:rPr>
      </w:pPr>
    </w:p>
    <w:p>
      <w:pPr>
        <w:ind w:left="1600" w:hanging="160"/>
        <w:spacing w:after="0"/>
        <w:tabs>
          <w:tab w:leader="none" w:pos="1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medical, dental and vision benefits;</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short-term and long-term disability insurance; and</w:t>
      </w:r>
    </w:p>
    <w:p>
      <w:pPr>
        <w:spacing w:after="0" w:line="103" w:lineRule="exact"/>
        <w:rPr>
          <w:rFonts w:ascii="Arial" w:cs="Arial" w:eastAsia="Arial" w:hAnsi="Arial"/>
          <w:sz w:val="16"/>
          <w:szCs w:val="16"/>
          <w:color w:val="auto"/>
        </w:rPr>
      </w:pPr>
    </w:p>
    <w:p>
      <w:pPr>
        <w:ind w:left="1600" w:hanging="160"/>
        <w:spacing w:after="0"/>
        <w:tabs>
          <w:tab w:leader="none" w:pos="1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life insurance.</w:t>
      </w:r>
    </w:p>
    <w:p>
      <w:pPr>
        <w:spacing w:after="0" w:line="140" w:lineRule="exact"/>
        <w:rPr>
          <w:sz w:val="20"/>
          <w:szCs w:val="20"/>
          <w:color w:val="auto"/>
        </w:rPr>
      </w:pPr>
    </w:p>
    <w:p>
      <w:pPr>
        <w:ind w:left="1120" w:right="1259" w:firstLine="320"/>
        <w:spacing w:after="0" w:line="276" w:lineRule="auto"/>
        <w:rPr>
          <w:sz w:val="20"/>
          <w:szCs w:val="20"/>
          <w:color w:val="auto"/>
        </w:rPr>
      </w:pPr>
      <w:r>
        <w:rPr>
          <w:rFonts w:ascii="Arial" w:cs="Arial" w:eastAsia="Arial" w:hAnsi="Arial"/>
          <w:sz w:val="16"/>
          <w:szCs w:val="16"/>
          <w:color w:val="auto"/>
        </w:rPr>
        <w:t>We believe the perquisites described above are necessary and appropriate to provide a competitive compensation package to our named executive officers.</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OUTSTANDING EQUITY AWARDS AT 2020 FISCAL YEAR-END</w:t>
      </w:r>
    </w:p>
    <w:p>
      <w:pPr>
        <w:spacing w:after="0" w:line="140" w:lineRule="exact"/>
        <w:rPr>
          <w:sz w:val="20"/>
          <w:szCs w:val="20"/>
          <w:color w:val="auto"/>
        </w:rPr>
      </w:pPr>
    </w:p>
    <w:p>
      <w:pPr>
        <w:ind w:left="1120" w:right="919" w:firstLine="320"/>
        <w:spacing w:after="0" w:line="256" w:lineRule="auto"/>
        <w:rPr>
          <w:sz w:val="20"/>
          <w:szCs w:val="20"/>
          <w:color w:val="auto"/>
        </w:rPr>
      </w:pPr>
      <w:r>
        <w:rPr>
          <w:rFonts w:ascii="Arial" w:cs="Arial" w:eastAsia="Arial" w:hAnsi="Arial"/>
          <w:sz w:val="16"/>
          <w:szCs w:val="16"/>
          <w:color w:val="auto"/>
        </w:rPr>
        <w:t>The following table summarizes the number of company securities underlying outstanding equity incentive plan awards for each named executive officer as of December 31, 2020. Awards cover ordinary shares and/or ADSs; however, amounts shown below are expressed in terms of the number of ADSs that are covered by each such award. The exercise prices per share are expressed in U.S. dollars based on the exchange rate on the date of grant.</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Equity</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Equity</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Incentive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Incentive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Plan</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Plan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Awards:</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Payout</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5"/>
              </w:rPr>
              <w:t>Awards: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Market</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Number of</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Number of</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Number of</w:t>
            </w:r>
          </w:p>
        </w:tc>
        <w:tc>
          <w:tcPr>
            <w:tcW w:w="7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Value of</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Unearned</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3"/>
              </w:rPr>
              <w:t>Securities</w:t>
            </w: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Securities</w:t>
            </w:r>
          </w:p>
        </w:tc>
        <w:tc>
          <w:tcPr>
            <w:tcW w:w="7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0"/>
              </w:rPr>
              <w:t>Securities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3"/>
              </w:rPr>
              <w:t>Shares or</w:t>
            </w:r>
          </w:p>
        </w:tc>
        <w:tc>
          <w:tcPr>
            <w:tcW w:w="7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3"/>
              </w:rPr>
              <w:t>Shares or</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Shares,</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Underlying</w:t>
            </w: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Underlying</w:t>
            </w: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Underlying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Units of</w:t>
            </w:r>
          </w:p>
        </w:tc>
        <w:tc>
          <w:tcPr>
            <w:tcW w:w="7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Units of</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Units or</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Unexercised</w:t>
            </w:r>
          </w:p>
        </w:tc>
        <w:tc>
          <w:tcPr>
            <w:tcW w:w="8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2"/>
              </w:rPr>
              <w:t>Unexercised</w:t>
            </w: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Unexercised</w:t>
            </w:r>
          </w:p>
        </w:tc>
        <w:tc>
          <w:tcPr>
            <w:tcW w:w="5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Option</w:t>
            </w:r>
          </w:p>
        </w:tc>
        <w:tc>
          <w:tcPr>
            <w:tcW w:w="7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Option</w:t>
            </w: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Stock That</w:t>
            </w:r>
          </w:p>
        </w:tc>
        <w:tc>
          <w:tcPr>
            <w:tcW w:w="7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Stock That</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Other Rights</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Other Rights</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Options (#)</w:t>
            </w: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4"/>
              </w:rPr>
              <w:t>Options (#)</w:t>
            </w: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6"/>
              </w:rPr>
              <w:t>Unearned</w:t>
            </w:r>
          </w:p>
        </w:tc>
        <w:tc>
          <w:tcPr>
            <w:tcW w:w="5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2"/>
              </w:rPr>
              <w:t>Exercise</w:t>
            </w:r>
          </w:p>
        </w:tc>
        <w:tc>
          <w:tcPr>
            <w:tcW w:w="7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Expiration</w:t>
            </w:r>
          </w:p>
        </w:tc>
        <w:tc>
          <w:tcPr>
            <w:tcW w:w="7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Have Not</w:t>
            </w:r>
          </w:p>
        </w:tc>
        <w:tc>
          <w:tcPr>
            <w:tcW w:w="7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Have Not</w:t>
            </w:r>
          </w:p>
        </w:tc>
        <w:tc>
          <w:tcPr>
            <w:tcW w:w="8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That Have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That Have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Grant Date</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Exercisable</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Unexercisable</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Price ($)</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Vested (#)</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Vested ($)</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Not Vested (#)</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Not Vested ($)</w:t>
            </w:r>
          </w:p>
        </w:tc>
        <w:tc>
          <w:tcPr>
            <w:tcW w:w="0" w:type="dxa"/>
            <w:vAlign w:val="bottom"/>
          </w:tcPr>
          <w:p>
            <w:pPr>
              <w:spacing w:after="0"/>
              <w:rPr>
                <w:sz w:val="1"/>
                <w:szCs w:val="1"/>
                <w:color w:val="auto"/>
              </w:rPr>
            </w:pPr>
          </w:p>
        </w:tc>
      </w:tr>
      <w:tr>
        <w:trPr>
          <w:trHeight w:val="149"/>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David</w:t>
            </w: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3/3/2020</w:t>
            </w:r>
            <w:r>
              <w:rPr>
                <w:rFonts w:ascii="Arial" w:cs="Arial" w:eastAsia="Arial" w:hAnsi="Arial"/>
                <w:sz w:val="19"/>
                <w:szCs w:val="19"/>
                <w:color w:val="auto"/>
                <w:vertAlign w:val="superscript"/>
              </w:rPr>
              <w:t>(1)</w:t>
            </w: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Zaccardelli</w:t>
            </w:r>
          </w:p>
        </w:tc>
        <w:tc>
          <w:tcPr>
            <w:tcW w:w="7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22,275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line="180" w:lineRule="exact"/>
              <w:rPr>
                <w:sz w:val="20"/>
                <w:szCs w:val="20"/>
                <w:color w:val="auto"/>
              </w:rPr>
            </w:pPr>
            <w:r>
              <w:rPr>
                <w:rFonts w:ascii="Arial" w:cs="Arial" w:eastAsia="Arial" w:hAnsi="Arial"/>
                <w:sz w:val="13"/>
                <w:szCs w:val="13"/>
                <w:color w:val="auto"/>
              </w:rPr>
              <w:t>5/7/2020</w:t>
            </w:r>
            <w:r>
              <w:rPr>
                <w:rFonts w:ascii="Arial" w:cs="Arial" w:eastAsia="Arial" w:hAnsi="Arial"/>
                <w:sz w:val="19"/>
                <w:szCs w:val="19"/>
                <w:color w:val="auto"/>
                <w:vertAlign w:val="superscript"/>
              </w:rPr>
              <w:t>(2)</w:t>
            </w: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526,633</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3,686,431</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3"/>
                <w:szCs w:val="13"/>
                <w:color w:val="auto"/>
                <w:w w:val="95"/>
              </w:rPr>
              <w:t>8/20/2020</w:t>
            </w:r>
            <w:r>
              <w:rPr>
                <w:rFonts w:ascii="Arial" w:cs="Arial" w:eastAsia="Arial" w:hAnsi="Arial"/>
                <w:sz w:val="19"/>
                <w:szCs w:val="19"/>
                <w:color w:val="auto"/>
                <w:w w:val="95"/>
                <w:vertAlign w:val="superscript"/>
              </w:rPr>
              <w:t>(2)</w:t>
            </w: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1,785,203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12,496,421</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060" w:type="dxa"/>
            <w:vAlign w:val="bottom"/>
            <w:gridSpan w:val="2"/>
          </w:tcPr>
          <w:p>
            <w:pPr>
              <w:spacing w:after="0"/>
              <w:rPr>
                <w:sz w:val="20"/>
                <w:szCs w:val="20"/>
                <w:color w:val="auto"/>
              </w:rPr>
            </w:pPr>
            <w:r>
              <w:rPr>
                <w:rFonts w:ascii="Arial" w:cs="Arial" w:eastAsia="Arial" w:hAnsi="Arial"/>
                <w:sz w:val="13"/>
                <w:szCs w:val="13"/>
                <w:color w:val="auto"/>
              </w:rPr>
              <w:t>Mark Hahn</w:t>
            </w:r>
          </w:p>
        </w:tc>
        <w:tc>
          <w:tcPr>
            <w:tcW w:w="740" w:type="dxa"/>
            <w:vAlign w:val="bottom"/>
            <w:gridSpan w:val="2"/>
          </w:tcPr>
          <w:p>
            <w:pPr>
              <w:jc w:val="right"/>
              <w:ind w:right="20"/>
              <w:spacing w:after="0" w:line="180" w:lineRule="exact"/>
              <w:rPr>
                <w:sz w:val="20"/>
                <w:szCs w:val="20"/>
                <w:color w:val="auto"/>
              </w:rPr>
            </w:pPr>
            <w:r>
              <w:rPr>
                <w:rFonts w:ascii="Arial" w:cs="Arial" w:eastAsia="Arial" w:hAnsi="Arial"/>
                <w:sz w:val="13"/>
                <w:szCs w:val="13"/>
                <w:color w:val="auto"/>
              </w:rPr>
              <w:t>3/3/2020</w:t>
            </w:r>
            <w:r>
              <w:rPr>
                <w:rFonts w:ascii="Arial" w:cs="Arial" w:eastAsia="Arial" w:hAnsi="Arial"/>
                <w:sz w:val="19"/>
                <w:szCs w:val="19"/>
                <w:color w:val="auto"/>
                <w:vertAlign w:val="superscript"/>
              </w:rPr>
              <w:t>(1)</w:t>
            </w: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11,138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77,966</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3"/>
                <w:szCs w:val="13"/>
                <w:color w:val="auto"/>
              </w:rPr>
              <w:t>5/7/2020</w:t>
            </w:r>
            <w:r>
              <w:rPr>
                <w:rFonts w:ascii="Arial" w:cs="Arial" w:eastAsia="Arial" w:hAnsi="Arial"/>
                <w:sz w:val="19"/>
                <w:szCs w:val="19"/>
                <w:color w:val="auto"/>
                <w:vertAlign w:val="superscript"/>
              </w:rPr>
              <w:t>(2)</w:t>
            </w: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394,975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2,764,825</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line="180" w:lineRule="exact"/>
              <w:rPr>
                <w:sz w:val="20"/>
                <w:szCs w:val="20"/>
                <w:color w:val="auto"/>
              </w:rPr>
            </w:pPr>
            <w:r>
              <w:rPr>
                <w:rFonts w:ascii="Arial" w:cs="Arial" w:eastAsia="Arial" w:hAnsi="Arial"/>
                <w:sz w:val="13"/>
                <w:szCs w:val="13"/>
                <w:color w:val="auto"/>
                <w:w w:val="95"/>
              </w:rPr>
              <w:t>8/20/2020</w:t>
            </w:r>
            <w:r>
              <w:rPr>
                <w:rFonts w:ascii="Arial" w:cs="Arial" w:eastAsia="Arial" w:hAnsi="Arial"/>
                <w:sz w:val="19"/>
                <w:szCs w:val="19"/>
                <w:color w:val="auto"/>
                <w:w w:val="95"/>
                <w:vertAlign w:val="superscript"/>
              </w:rPr>
              <w:t>(2)</w:t>
            </w: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1,916,861</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6"/>
              </w:rPr>
              <w:t>13,418,027</w:t>
            </w:r>
          </w:p>
        </w:tc>
        <w:tc>
          <w:tcPr>
            <w:tcW w:w="100" w:type="dxa"/>
            <w:vAlign w:val="bottom"/>
          </w:tcPr>
          <w:p>
            <w:pPr>
              <w:spacing w:after="0"/>
              <w:rPr>
                <w:sz w:val="15"/>
                <w:szCs w:val="15"/>
                <w:color w:val="auto"/>
              </w:rPr>
            </w:pP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Kathleen</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20,416</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w w:val="99"/>
              </w:rPr>
              <w:t>15,000</w:t>
            </w:r>
            <w:r>
              <w:rPr>
                <w:rFonts w:ascii="Arial" w:cs="Arial" w:eastAsia="Arial" w:hAnsi="Arial"/>
                <w:sz w:val="19"/>
                <w:szCs w:val="19"/>
                <w:color w:val="auto"/>
                <w:w w:val="99"/>
                <w:vertAlign w:val="superscript"/>
              </w:rPr>
              <w:t>(10)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Rickard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4/1/2019</w:t>
            </w: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49,584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3/29/2029</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105,000</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
              <w:spacing w:after="0" w:line="180" w:lineRule="exact"/>
              <w:rPr>
                <w:sz w:val="20"/>
                <w:szCs w:val="20"/>
                <w:color w:val="auto"/>
              </w:rPr>
            </w:pPr>
            <w:r>
              <w:rPr>
                <w:rFonts w:ascii="Arial" w:cs="Arial" w:eastAsia="Arial" w:hAnsi="Arial"/>
                <w:sz w:val="13"/>
                <w:szCs w:val="13"/>
                <w:color w:val="auto"/>
              </w:rPr>
              <w:t>3/3/2020</w:t>
            </w:r>
            <w:r>
              <w:rPr>
                <w:rFonts w:ascii="Arial" w:cs="Arial" w:eastAsia="Arial" w:hAnsi="Arial"/>
                <w:sz w:val="19"/>
                <w:szCs w:val="19"/>
                <w:color w:val="auto"/>
                <w:vertAlign w:val="superscript"/>
              </w:rPr>
              <w:t>(4)</w:t>
            </w:r>
          </w:p>
        </w:tc>
        <w:tc>
          <w:tcPr>
            <w:tcW w:w="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6"/>
              <w:spacing w:after="0"/>
              <w:rPr>
                <w:sz w:val="20"/>
                <w:szCs w:val="20"/>
                <w:color w:val="auto"/>
              </w:rPr>
            </w:pPr>
            <w:r>
              <w:rPr>
                <w:rFonts w:ascii="Arial" w:cs="Arial" w:eastAsia="Arial" w:hAnsi="Arial"/>
                <w:sz w:val="13"/>
                <w:szCs w:val="13"/>
                <w:color w:val="auto"/>
              </w:rPr>
              <w:t>12,500</w:t>
            </w: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5.64</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3/3/2030</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line="180" w:lineRule="exact"/>
              <w:rPr>
                <w:sz w:val="20"/>
                <w:szCs w:val="20"/>
                <w:color w:val="auto"/>
              </w:rPr>
            </w:pPr>
            <w:r>
              <w:rPr>
                <w:rFonts w:ascii="Arial" w:cs="Arial" w:eastAsia="Arial" w:hAnsi="Arial"/>
                <w:sz w:val="13"/>
                <w:szCs w:val="13"/>
                <w:color w:val="auto"/>
                <w:w w:val="95"/>
              </w:rPr>
              <w:t>8/20/2020</w:t>
            </w:r>
            <w:r>
              <w:rPr>
                <w:rFonts w:ascii="Arial" w:cs="Arial" w:eastAsia="Arial" w:hAnsi="Arial"/>
                <w:sz w:val="19"/>
                <w:szCs w:val="19"/>
                <w:color w:val="auto"/>
                <w:w w:val="95"/>
                <w:vertAlign w:val="superscript"/>
              </w:rPr>
              <w:t>(5)</w:t>
            </w: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383,394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2,683,758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060" w:type="dxa"/>
            <w:vAlign w:val="bottom"/>
            <w:gridSpan w:val="2"/>
          </w:tcPr>
          <w:p>
            <w:pPr>
              <w:spacing w:after="0"/>
              <w:rPr>
                <w:sz w:val="20"/>
                <w:szCs w:val="20"/>
                <w:color w:val="auto"/>
              </w:rPr>
            </w:pPr>
            <w:r>
              <w:rPr>
                <w:rFonts w:ascii="Arial" w:cs="Arial" w:eastAsia="Arial" w:hAnsi="Arial"/>
                <w:sz w:val="13"/>
                <w:szCs w:val="13"/>
                <w:color w:val="auto"/>
              </w:rPr>
              <w:t>Jan-Anders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60" w:type="dxa"/>
            <w:vAlign w:val="bottom"/>
            <w:gridSpan w:val="2"/>
          </w:tcPr>
          <w:p>
            <w:pPr>
              <w:ind w:left="120"/>
              <w:spacing w:after="0"/>
              <w:rPr>
                <w:sz w:val="20"/>
                <w:szCs w:val="20"/>
                <w:color w:val="auto"/>
              </w:rPr>
            </w:pPr>
            <w:r>
              <w:rPr>
                <w:rFonts w:ascii="Arial" w:cs="Arial" w:eastAsia="Arial" w:hAnsi="Arial"/>
                <w:sz w:val="13"/>
                <w:szCs w:val="13"/>
                <w:color w:val="auto"/>
              </w:rPr>
              <w:t>Karlsson</w:t>
            </w:r>
          </w:p>
        </w:tc>
        <w:tc>
          <w:tcPr>
            <w:tcW w:w="640" w:type="dxa"/>
            <w:vAlign w:val="bottom"/>
          </w:tcPr>
          <w:p>
            <w:pPr>
              <w:jc w:val="right"/>
              <w:spacing w:after="0"/>
              <w:rPr>
                <w:sz w:val="20"/>
                <w:szCs w:val="20"/>
                <w:color w:val="auto"/>
              </w:rPr>
            </w:pPr>
            <w:r>
              <w:rPr>
                <w:rFonts w:ascii="Arial" w:cs="Arial" w:eastAsia="Arial" w:hAnsi="Arial"/>
                <w:sz w:val="13"/>
                <w:szCs w:val="13"/>
                <w:color w:val="auto"/>
              </w:rPr>
              <w:t>7/29/2013</w:t>
            </w:r>
          </w:p>
        </w:tc>
        <w:tc>
          <w:tcPr>
            <w:tcW w:w="100" w:type="dxa"/>
            <w:vAlign w:val="bottom"/>
          </w:tcPr>
          <w:p>
            <w:pPr>
              <w:spacing w:after="0"/>
              <w:rPr>
                <w:sz w:val="13"/>
                <w:szCs w:val="13"/>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rPr>
              <w:t>12,500</w:t>
            </w:r>
          </w:p>
        </w:tc>
        <w:tc>
          <w:tcPr>
            <w:tcW w:w="16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24.57</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7/29/2023</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5/15/2014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7,500</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23.51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5/15/2024</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1/29/2015</w:t>
            </w:r>
          </w:p>
        </w:tc>
        <w:tc>
          <w:tcPr>
            <w:tcW w:w="10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rPr>
              <w:t>37,500</w:t>
            </w:r>
          </w:p>
        </w:tc>
        <w:tc>
          <w:tcPr>
            <w:tcW w:w="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15.04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1/29/2025</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2/9/2016</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12,500</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23.16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2/9/2026</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8/3/2016</w:t>
            </w:r>
          </w:p>
        </w:tc>
        <w:tc>
          <w:tcPr>
            <w:tcW w:w="10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rPr>
              <w:t>62,500</w:t>
            </w:r>
          </w:p>
        </w:tc>
        <w:tc>
          <w:tcPr>
            <w:tcW w:w="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8/3/2026</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3"/>
                <w:szCs w:val="13"/>
                <w:color w:val="auto"/>
                <w:w w:val="95"/>
              </w:rPr>
              <w:t>4/26/2017</w:t>
            </w:r>
            <w:r>
              <w:rPr>
                <w:rFonts w:ascii="Arial" w:cs="Arial" w:eastAsia="Arial" w:hAnsi="Arial"/>
                <w:sz w:val="19"/>
                <w:szCs w:val="19"/>
                <w:color w:val="auto"/>
                <w:w w:val="95"/>
                <w:vertAlign w:val="superscript"/>
              </w:rPr>
              <w:t>(6)</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151,719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21,481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4/26/2027</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line="192" w:lineRule="exact"/>
              <w:rPr>
                <w:sz w:val="20"/>
                <w:szCs w:val="20"/>
                <w:color w:val="auto"/>
              </w:rPr>
            </w:pPr>
            <w:r>
              <w:rPr>
                <w:rFonts w:ascii="Arial" w:cs="Arial" w:eastAsia="Arial" w:hAnsi="Arial"/>
                <w:sz w:val="13"/>
                <w:szCs w:val="13"/>
                <w:color w:val="auto"/>
              </w:rPr>
              <w:t>3/8/2018</w:t>
            </w:r>
            <w:r>
              <w:rPr>
                <w:rFonts w:ascii="Arial" w:cs="Arial" w:eastAsia="Arial" w:hAnsi="Arial"/>
                <w:sz w:val="19"/>
                <w:szCs w:val="19"/>
                <w:color w:val="auto"/>
                <w:vertAlign w:val="superscript"/>
              </w:rPr>
              <w:t>(7)</w:t>
            </w: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rPr>
              <w:t>63,406</w:t>
            </w:r>
          </w:p>
        </w:tc>
        <w:tc>
          <w:tcPr>
            <w:tcW w:w="160" w:type="dxa"/>
            <w:vAlign w:val="bottom"/>
          </w:tcPr>
          <w:p>
            <w:pPr>
              <w:spacing w:after="0"/>
              <w:rPr>
                <w:sz w:val="16"/>
                <w:szCs w:val="16"/>
                <w:color w:val="auto"/>
              </w:rPr>
            </w:pPr>
          </w:p>
        </w:tc>
        <w:tc>
          <w:tcPr>
            <w:tcW w:w="780" w:type="dxa"/>
            <w:vAlign w:val="bottom"/>
          </w:tcPr>
          <w:p>
            <w:pPr>
              <w:jc w:val="right"/>
              <w:ind w:right="156"/>
              <w:spacing w:after="0"/>
              <w:rPr>
                <w:sz w:val="20"/>
                <w:szCs w:val="20"/>
                <w:color w:val="auto"/>
              </w:rPr>
            </w:pPr>
            <w:r>
              <w:rPr>
                <w:rFonts w:ascii="Arial" w:cs="Arial" w:eastAsia="Arial" w:hAnsi="Arial"/>
                <w:sz w:val="13"/>
                <w:szCs w:val="13"/>
                <w:color w:val="auto"/>
              </w:rPr>
              <w:t>45,189</w:t>
            </w:r>
          </w:p>
        </w:tc>
        <w:tc>
          <w:tcPr>
            <w:tcW w:w="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16.15</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3/8/2028</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2"/>
        </w:trPr>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line="192" w:lineRule="exact"/>
              <w:rPr>
                <w:sz w:val="20"/>
                <w:szCs w:val="20"/>
                <w:color w:val="auto"/>
              </w:rPr>
            </w:pPr>
            <w:r>
              <w:rPr>
                <w:rFonts w:ascii="Arial" w:cs="Arial" w:eastAsia="Arial" w:hAnsi="Arial"/>
                <w:sz w:val="13"/>
                <w:szCs w:val="13"/>
                <w:color w:val="auto"/>
              </w:rPr>
              <w:t>4/1/2019</w:t>
            </w:r>
            <w:r>
              <w:rPr>
                <w:rFonts w:ascii="Arial" w:cs="Arial" w:eastAsia="Arial" w:hAnsi="Arial"/>
                <w:sz w:val="19"/>
                <w:szCs w:val="19"/>
                <w:color w:val="auto"/>
                <w:vertAlign w:val="superscript"/>
              </w:rPr>
              <w:t>(8)</w:t>
            </w:r>
          </w:p>
        </w:tc>
        <w:tc>
          <w:tcPr>
            <w:tcW w:w="70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37,483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90,885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3/29/2029</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w w:val="86"/>
              </w:rPr>
              <w:t>11/26/2019</w:t>
            </w:r>
            <w:r>
              <w:rPr>
                <w:rFonts w:ascii="Arial" w:cs="Arial" w:eastAsia="Arial" w:hAnsi="Arial"/>
                <w:sz w:val="19"/>
                <w:szCs w:val="19"/>
                <w:color w:val="auto"/>
                <w:w w:val="86"/>
                <w:vertAlign w:val="superscript"/>
              </w:rPr>
              <w:t>(9)</w:t>
            </w: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rPr>
              <w:t>18,250</w:t>
            </w:r>
          </w:p>
        </w:tc>
        <w:tc>
          <w:tcPr>
            <w:tcW w:w="160" w:type="dxa"/>
            <w:vAlign w:val="bottom"/>
          </w:tcPr>
          <w:p>
            <w:pPr>
              <w:spacing w:after="0"/>
              <w:rPr>
                <w:sz w:val="22"/>
                <w:szCs w:val="22"/>
                <w:color w:val="auto"/>
              </w:rPr>
            </w:pPr>
          </w:p>
        </w:tc>
        <w:tc>
          <w:tcPr>
            <w:tcW w:w="780" w:type="dxa"/>
            <w:vAlign w:val="bottom"/>
          </w:tcPr>
          <w:p>
            <w:pPr>
              <w:jc w:val="right"/>
              <w:ind w:right="156"/>
              <w:spacing w:after="0"/>
              <w:rPr>
                <w:sz w:val="20"/>
                <w:szCs w:val="20"/>
                <w:color w:val="auto"/>
              </w:rPr>
            </w:pPr>
            <w:r>
              <w:rPr>
                <w:rFonts w:ascii="Arial" w:cs="Arial" w:eastAsia="Arial" w:hAnsi="Arial"/>
                <w:sz w:val="13"/>
                <w:szCs w:val="13"/>
                <w:color w:val="auto"/>
              </w:rPr>
              <w:t>44,250</w:t>
            </w:r>
          </w:p>
        </w:tc>
        <w:tc>
          <w:tcPr>
            <w:tcW w:w="80" w:type="dxa"/>
            <w:vAlign w:val="bottom"/>
          </w:tcPr>
          <w:p>
            <w:pPr>
              <w:spacing w:after="0"/>
              <w:rPr>
                <w:sz w:val="22"/>
                <w:szCs w:val="2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ind w:right="36"/>
              <w:spacing w:after="0"/>
              <w:rPr>
                <w:sz w:val="20"/>
                <w:szCs w:val="20"/>
                <w:color w:val="auto"/>
              </w:rPr>
            </w:pPr>
            <w:r>
              <w:rPr>
                <w:rFonts w:ascii="Arial" w:cs="Arial" w:eastAsia="Arial" w:hAnsi="Arial"/>
                <w:sz w:val="13"/>
                <w:szCs w:val="13"/>
                <w:color w:val="auto"/>
              </w:rPr>
              <w:t>4.57</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11/26/2029</w:t>
            </w:r>
          </w:p>
        </w:tc>
        <w:tc>
          <w:tcPr>
            <w:tcW w:w="10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5213350</wp:posOffset>
            </wp:positionH>
            <wp:positionV relativeFrom="paragraph">
              <wp:posOffset>-2427605</wp:posOffset>
            </wp:positionV>
            <wp:extent cx="609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-2427605</wp:posOffset>
            </wp:positionV>
            <wp:extent cx="609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-2427605</wp:posOffset>
            </wp:positionV>
            <wp:extent cx="609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-2427605</wp:posOffset>
            </wp:positionV>
            <wp:extent cx="609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3310890</wp:posOffset>
            </wp:positionH>
            <wp:positionV relativeFrom="paragraph">
              <wp:posOffset>-2427605</wp:posOffset>
            </wp:positionV>
            <wp:extent cx="609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-2427605</wp:posOffset>
            </wp:positionV>
            <wp:extent cx="609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-2427605</wp:posOffset>
            </wp:positionV>
            <wp:extent cx="609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960" cy="7620"/>
                    </a:xfrm>
                    <a:prstGeom prst="rect">
                      <a:avLst/>
                    </a:prstGeom>
                    <a:noFill/>
                  </pic:spPr>
                </pic:pic>
              </a:graphicData>
            </a:graphic>
          </wp:anchor>
        </w:drawing>
        <w:drawing>
          <wp:anchor simplePos="0" relativeHeight="251657728" behindDoc="1" locked="0" layoutInCell="0" allowOverlap="1">
            <wp:simplePos x="0" y="0"/>
            <wp:positionH relativeFrom="column">
              <wp:posOffset>1871980</wp:posOffset>
            </wp:positionH>
            <wp:positionV relativeFrom="paragraph">
              <wp:posOffset>-2427605</wp:posOffset>
            </wp:positionV>
            <wp:extent cx="990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9060" cy="7620"/>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-2427605</wp:posOffset>
            </wp:positionV>
            <wp:extent cx="914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1440" cy="762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-2427605</wp:posOffset>
            </wp:positionV>
            <wp:extent cx="914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440" cy="7620"/>
                    </a:xfrm>
                    <a:prstGeom prst="rect">
                      <a:avLst/>
                    </a:prstGeom>
                    <a:noFill/>
                  </pic:spPr>
                </pic:pic>
              </a:graphicData>
            </a:graphic>
          </wp:anchor>
        </w:drawing>
      </w:r>
    </w:p>
    <w:p>
      <w:pPr>
        <w:spacing w:after="0" w:line="24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0" w:name="page41"/>
    <w:bookmarkEnd w:id="40"/>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466090</wp:posOffset>
            </wp:positionV>
            <wp:extent cx="10960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right="399" w:hanging="319"/>
        <w:spacing w:after="0" w:line="259"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restricted stock units cover ADSs and vest on January 31, 2021, provided, that the restricted stock units may become vested in connection with certain corporate events, subject, in each case, to the holder’s continued employment with us through the applicable vesting date and potential accelerated vesting as described in the section titled “Executive Compensation Arrangements.”</w:t>
      </w:r>
    </w:p>
    <w:p>
      <w:pPr>
        <w:spacing w:after="0" w:line="32" w:lineRule="exact"/>
        <w:rPr>
          <w:rFonts w:ascii="Arial" w:cs="Arial" w:eastAsia="Arial" w:hAnsi="Arial"/>
          <w:sz w:val="16"/>
          <w:szCs w:val="16"/>
          <w:color w:val="auto"/>
        </w:rPr>
      </w:pPr>
    </w:p>
    <w:p>
      <w:pPr>
        <w:ind w:left="760" w:right="479" w:hanging="319"/>
        <w:spacing w:after="0" w:line="25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restricted stock units cover ADSs and vest as to 25% of the restricted stock units on February 1, 2021, and as to the remainder, in equal quarterly installments thereafter over the subsequent three years, provided, that the restricted stock units will immediately vest as of immediately prior to a change in control, subject, in each case, to the holder’s continued employment with us through the applicable vesting date and potential accelerated vesting as described in the section titled “Executive Compensation Arrangements.”</w:t>
      </w:r>
    </w:p>
    <w:p>
      <w:pPr>
        <w:spacing w:after="0" w:line="37" w:lineRule="exact"/>
        <w:rPr>
          <w:rFonts w:ascii="Arial" w:cs="Arial" w:eastAsia="Arial" w:hAnsi="Arial"/>
          <w:sz w:val="16"/>
          <w:szCs w:val="16"/>
          <w:color w:val="auto"/>
        </w:rPr>
      </w:pPr>
    </w:p>
    <w:p>
      <w:pPr>
        <w:ind w:left="760" w:hanging="319"/>
        <w:spacing w:after="0"/>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option covers ADSs and the unvested portion of option is scheduled to vest (x) as to 20,417 ADSs, on March 31, 2021,</w:t>
      </w:r>
    </w:p>
    <w:p>
      <w:pPr>
        <w:spacing w:after="0" w:line="31" w:lineRule="exact"/>
        <w:rPr>
          <w:rFonts w:ascii="Arial" w:cs="Arial" w:eastAsia="Arial" w:hAnsi="Arial"/>
          <w:sz w:val="15"/>
          <w:szCs w:val="15"/>
          <w:color w:val="auto"/>
        </w:rPr>
      </w:pPr>
    </w:p>
    <w:p>
      <w:pPr>
        <w:ind w:left="760" w:right="659"/>
        <w:spacing w:after="0" w:line="260" w:lineRule="auto"/>
        <w:rPr>
          <w:rFonts w:ascii="Arial" w:cs="Arial" w:eastAsia="Arial" w:hAnsi="Arial"/>
          <w:sz w:val="15"/>
          <w:szCs w:val="15"/>
          <w:color w:val="auto"/>
        </w:rPr>
      </w:pPr>
      <w:r>
        <w:rPr>
          <w:rFonts w:ascii="Arial" w:cs="Arial" w:eastAsia="Arial" w:hAnsi="Arial"/>
          <w:sz w:val="16"/>
          <w:szCs w:val="16"/>
          <w:color w:val="auto"/>
        </w:rPr>
        <w:t>(y) as to 20,417 ADSs, on March 31, 2022 and (z) as to 8,750 ADSs, on March 31, 2023, subject, in each case, to the holder’s continued employment with us through the applicable vesting date.</w:t>
      </w:r>
    </w:p>
    <w:p>
      <w:pPr>
        <w:spacing w:after="0" w:line="44" w:lineRule="exact"/>
        <w:rPr>
          <w:rFonts w:ascii="Arial" w:cs="Arial" w:eastAsia="Arial" w:hAnsi="Arial"/>
          <w:sz w:val="15"/>
          <w:szCs w:val="15"/>
          <w:color w:val="auto"/>
        </w:rPr>
      </w:pPr>
    </w:p>
    <w:p>
      <w:pPr>
        <w:ind w:left="760" w:right="259" w:hanging="319"/>
        <w:spacing w:after="0" w:line="26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option covers ADSs and vest as to 25% of options on March 3, 2021, and as to the remainder, in equal quarterly installments thereafter over the subsequent three years, subject, in each case, to the holder’s continued employment with us through the applicable vesting date.</w:t>
      </w:r>
    </w:p>
    <w:p>
      <w:pPr>
        <w:spacing w:after="0" w:line="30" w:lineRule="exact"/>
        <w:rPr>
          <w:rFonts w:ascii="Arial" w:cs="Arial" w:eastAsia="Arial" w:hAnsi="Arial"/>
          <w:sz w:val="16"/>
          <w:szCs w:val="16"/>
          <w:color w:val="auto"/>
        </w:rPr>
      </w:pPr>
    </w:p>
    <w:p>
      <w:pPr>
        <w:ind w:left="760" w:right="599" w:hanging="319"/>
        <w:spacing w:after="0" w:line="259"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restricted stock units cover ADSs and vest as to 25% of the restricted stock units on August 1, 2021, and as to the remainder, in equal quarterly installments thereafter over the subsequent three years, provided, that the restricted stock units will immediately vest as of immediately prior to a change in control, subject, in each case, to the holder’s continued employment with us through the applicable vesting date.</w:t>
      </w:r>
    </w:p>
    <w:p>
      <w:pPr>
        <w:spacing w:after="0" w:line="32" w:lineRule="exact"/>
        <w:rPr>
          <w:rFonts w:ascii="Arial" w:cs="Arial" w:eastAsia="Arial" w:hAnsi="Arial"/>
          <w:sz w:val="16"/>
          <w:szCs w:val="16"/>
          <w:color w:val="auto"/>
        </w:rPr>
      </w:pPr>
    </w:p>
    <w:p>
      <w:pPr>
        <w:ind w:left="760" w:right="279" w:hanging="319"/>
        <w:spacing w:after="0" w:line="26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unvested portion of the option is scheduled to vest on April 26, 2021. The award covers ordinary shares; however, information in this table are expressed in terms of the equivalent number of ADSs that are covered by each such award and the per-ADS exercise price.</w:t>
      </w:r>
    </w:p>
    <w:p>
      <w:pPr>
        <w:spacing w:after="0" w:line="42" w:lineRule="exact"/>
        <w:rPr>
          <w:rFonts w:ascii="Arial" w:cs="Arial" w:eastAsia="Arial" w:hAnsi="Arial"/>
          <w:sz w:val="16"/>
          <w:szCs w:val="16"/>
          <w:color w:val="auto"/>
        </w:rPr>
      </w:pPr>
    </w:p>
    <w:p>
      <w:pPr>
        <w:ind w:left="760" w:right="239" w:hanging="319"/>
        <w:spacing w:after="0" w:line="25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unvested portion of option was scheduled to vest (x) as to 31,703 ADSs, on March 8, 2021, and (y) as to 13,486 ADSs, on March 8, 2022. In accordance with the terms of the Dr. Karlsson’s separation agreement, described below in the section titled “Executive Compensation Arrangements,” this award was forfeited in February 2021. The award covered ordinary shares; however, information in this table are expressed in terms of the number of ADSs that are covered by each such award and the per-ADS exercise price.</w:t>
      </w:r>
    </w:p>
    <w:p>
      <w:pPr>
        <w:spacing w:after="0" w:line="37" w:lineRule="exact"/>
        <w:rPr>
          <w:rFonts w:ascii="Arial" w:cs="Arial" w:eastAsia="Arial" w:hAnsi="Arial"/>
          <w:sz w:val="16"/>
          <w:szCs w:val="16"/>
          <w:color w:val="auto"/>
        </w:rPr>
      </w:pPr>
    </w:p>
    <w:p>
      <w:pPr>
        <w:ind w:left="760" w:right="219" w:hanging="319"/>
        <w:spacing w:after="0" w:line="277" w:lineRule="auto"/>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unvested portion of option was scheduled to vest (x) as to 37,484 ADSs, on March 31, 2021, (y) as to 37,484 ADSs, on March 31, 2022 and (z) as to 15,917 ADSs, on March 31 2023. In accordance with the terms of the Dr. Karlsson’s separation agreement, described below in the section titled “Executive Compensation Arrangements,” this award was forfeited in February 2021 as to 53,401 ADSs. The award covers ordinary shares; however, information in this table are expressed in terms of the number of ADSs that are covered by each such award and the per-ADS exercise price.</w:t>
      </w:r>
    </w:p>
    <w:p>
      <w:pPr>
        <w:spacing w:after="0" w:line="23" w:lineRule="exact"/>
        <w:rPr>
          <w:rFonts w:ascii="Arial" w:cs="Arial" w:eastAsia="Arial" w:hAnsi="Arial"/>
          <w:sz w:val="15"/>
          <w:szCs w:val="15"/>
          <w:color w:val="auto"/>
        </w:rPr>
      </w:pPr>
    </w:p>
    <w:p>
      <w:pPr>
        <w:ind w:left="760" w:right="279" w:hanging="319"/>
        <w:spacing w:after="0" w:line="277" w:lineRule="auto"/>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unvested portion of option was scheduled to vest (x) as to 18,250 ADSs, on November 26, 2021, (y) as to 18,250 ADSs, on November 26, 2022 and (z) as to 7,750 ADSs, on November 26, 2023. In accordance with the terms of the Dr. Karlsson’s separation agreement, described below in the section titled “Executive Compensation Arrangements,” this award was forfeited in February 2021 as to 26,000 ADSs. The award covered ordinary shares; however, information in this table are expressed in terms of the number of ADSs that are covered by each such award and the per-ADS exercise price.</w:t>
      </w:r>
    </w:p>
    <w:p>
      <w:pPr>
        <w:spacing w:after="0" w:line="35" w:lineRule="exact"/>
        <w:rPr>
          <w:rFonts w:ascii="Arial" w:cs="Arial" w:eastAsia="Arial" w:hAnsi="Arial"/>
          <w:sz w:val="15"/>
          <w:szCs w:val="15"/>
          <w:color w:val="auto"/>
        </w:rPr>
      </w:pPr>
    </w:p>
    <w:p>
      <w:pPr>
        <w:ind w:left="760" w:right="259" w:hanging="319"/>
        <w:spacing w:after="0" w:line="273" w:lineRule="auto"/>
        <w:tabs>
          <w:tab w:leader="none" w:pos="7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restricted stock units cover ADSs and vest (x) as to 4,375 ADSs, on May 10, 2021, (y) as to 4,375 ADSs, on May 10, 2022, as to 4,375 ADSs, on May 10, 2023, provided that the restricted stock units will not vest until either (1) the first business day after the first period of 30 consecutive days after the applicable vesting date during which the trailing average closing price of an ordinary share of the Company equals or exceeds 2 pounds sterling (the “Market Condition”) or (2) the occurrence of a change in control, and (z) as to 1,875 ADSs, on May 10, 2023, subject, in each case, to the holder’s continued employment with us through the applicable vesting date. In the event the Market Condition is not attained, the restricted stock units will remain eligible to vest on the fifth anniversary of the grant date, subject, in each case, to the holder’s continued employment with us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1" w:name="page42"/>
    <w:bookmarkEnd w:id="41"/>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Executive Compensation Arrangements</w:t>
      </w:r>
    </w:p>
    <w:p>
      <w:pPr>
        <w:spacing w:after="0" w:line="128" w:lineRule="exact"/>
        <w:rPr>
          <w:sz w:val="20"/>
          <w:szCs w:val="20"/>
          <w:color w:val="auto"/>
        </w:rPr>
      </w:pPr>
    </w:p>
    <w:p>
      <w:pPr>
        <w:ind w:left="1120" w:right="1459" w:firstLine="320"/>
        <w:spacing w:after="0" w:line="261" w:lineRule="auto"/>
        <w:rPr>
          <w:sz w:val="20"/>
          <w:szCs w:val="20"/>
          <w:color w:val="auto"/>
        </w:rPr>
      </w:pPr>
      <w:r>
        <w:rPr>
          <w:rFonts w:ascii="Arial" w:cs="Arial" w:eastAsia="Arial" w:hAnsi="Arial"/>
          <w:sz w:val="16"/>
          <w:szCs w:val="16"/>
          <w:color w:val="auto"/>
        </w:rPr>
        <w:t>We have entered into employment and severance agreements with each of our named executive officers. Certain key terms of these agreements are described below.</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David S. Zaccardelli, Pharm.D.</w:t>
      </w:r>
    </w:p>
    <w:p>
      <w:pPr>
        <w:spacing w:after="0" w:line="140" w:lineRule="exact"/>
        <w:rPr>
          <w:sz w:val="20"/>
          <w:szCs w:val="20"/>
          <w:color w:val="auto"/>
        </w:rPr>
      </w:pPr>
    </w:p>
    <w:p>
      <w:pPr>
        <w:ind w:left="1120" w:right="899" w:firstLine="320"/>
        <w:spacing w:after="0" w:line="237" w:lineRule="auto"/>
        <w:rPr>
          <w:sz w:val="20"/>
          <w:szCs w:val="20"/>
          <w:color w:val="auto"/>
        </w:rPr>
      </w:pPr>
      <w:r>
        <w:rPr>
          <w:rFonts w:ascii="Arial" w:cs="Arial" w:eastAsia="Arial" w:hAnsi="Arial"/>
          <w:sz w:val="16"/>
          <w:szCs w:val="16"/>
          <w:color w:val="auto"/>
        </w:rPr>
        <w:t>We entered into an employment agreement with Dr. Zaccardelli pursuant to which he commenced employment with us on February 1, 2020. This agreement entitles Dr. Zaccardelli to receive an annual base salary of $750,000, which is payable in part in cash (which, for 2020, was $250,000) and in part in restricted stock units (which vest in equal quarterly installments during the calendar year in which the grant occurs, subject to continued employment) and a target annual bonus opportunity of 50% of his annual base salary. Pursuant to his employment agreement, Dr. Zaccardelli was also entitled to receive (i) an award of restricted stock units equal to 4% of our outstanding ordinary shares and (ii) an additional award of restricted stock units if the Company raised additional equity capital during fiscal year 2020 (which it did), which was intended to result in Dr. Zaccardelli’s equity awards (other than the portion of his base salary payable in restricted stock units) being equal to 4% of our outstanding ordinary shares on the applicable date of issuance. These awards of restricted stock units vest over a period of four years, subject to continued employment.</w:t>
      </w:r>
    </w:p>
    <w:p>
      <w:pPr>
        <w:spacing w:after="0" w:line="109" w:lineRule="exact"/>
        <w:rPr>
          <w:sz w:val="20"/>
          <w:szCs w:val="20"/>
          <w:color w:val="auto"/>
        </w:rPr>
      </w:pPr>
    </w:p>
    <w:p>
      <w:pPr>
        <w:ind w:left="1120" w:right="919" w:firstLine="320"/>
        <w:spacing w:after="0" w:line="253" w:lineRule="auto"/>
        <w:rPr>
          <w:sz w:val="20"/>
          <w:szCs w:val="20"/>
          <w:color w:val="auto"/>
        </w:rPr>
      </w:pPr>
      <w:r>
        <w:rPr>
          <w:rFonts w:ascii="Arial" w:cs="Arial" w:eastAsia="Arial" w:hAnsi="Arial"/>
          <w:sz w:val="15"/>
          <w:szCs w:val="15"/>
          <w:color w:val="auto"/>
        </w:rPr>
        <w:t>If Dr. Zaccardelli’s employment is terminated by us without “Cause” or by Dr. Zaccardelli for “Good Reason” (as each such term is defined in his employment agreement), then, subject to his signing and not revoking a general release of claims, he is entitled to receive (i) 18 months (or 12 months if the termination occurs after the second anniversary of Dr. Zaccardelli’s employment commencement date) of base salary continuation and continued payment of premiums for continued medical coverage under COBRA, (ii) an amount equal to 150% (or 100% if the termination occurs after the second anniversary of Dr. Zaccardelli’s employment commencement date) of Dr. Zaccardelli’s full annual discretionary bonus, calculated as though all applicable objectives have been achieved for the year of termination, (iii) payment of all accrued and unused paid time-off, and (iv) full accelerated vesting of any outstanding, unvested equity awards under our share and share option schemes (with any performance-vesting awards become vested based on target level attainment), provided that if such termination occurred prior to the first anniversary of Dr. Zaccardelli’s employment commencement date, the awards would have become vested as to the portion that would have otherwise vested on or prior to the first anniversary of Dr. Zaccardelli’s employment commencement date.</w:t>
      </w:r>
    </w:p>
    <w:p>
      <w:pPr>
        <w:spacing w:after="0" w:line="94" w:lineRule="exact"/>
        <w:rPr>
          <w:sz w:val="20"/>
          <w:szCs w:val="20"/>
          <w:color w:val="auto"/>
        </w:rPr>
      </w:pPr>
    </w:p>
    <w:p>
      <w:pPr>
        <w:ind w:left="1120" w:right="1439" w:firstLine="320"/>
        <w:spacing w:after="0" w:line="294" w:lineRule="auto"/>
        <w:rPr>
          <w:sz w:val="20"/>
          <w:szCs w:val="20"/>
          <w:color w:val="auto"/>
        </w:rPr>
      </w:pPr>
      <w:r>
        <w:rPr>
          <w:rFonts w:ascii="Arial" w:cs="Arial" w:eastAsia="Arial" w:hAnsi="Arial"/>
          <w:sz w:val="15"/>
          <w:szCs w:val="15"/>
          <w:color w:val="auto"/>
        </w:rPr>
        <w:t>Dr. Zaccardelli has also agreed to refrain from competing with us or soliciting our customers or prospective customers for a period of one year following his termination of employment.</w:t>
      </w:r>
    </w:p>
    <w:p>
      <w:pPr>
        <w:spacing w:after="0" w:line="129"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Mark W. Hahn</w:t>
      </w:r>
    </w:p>
    <w:p>
      <w:pPr>
        <w:spacing w:after="0" w:line="140" w:lineRule="exact"/>
        <w:rPr>
          <w:sz w:val="20"/>
          <w:szCs w:val="20"/>
          <w:color w:val="auto"/>
        </w:rPr>
      </w:pPr>
    </w:p>
    <w:p>
      <w:pPr>
        <w:ind w:left="1120" w:right="939" w:firstLine="320"/>
        <w:spacing w:after="0" w:line="237" w:lineRule="auto"/>
        <w:rPr>
          <w:sz w:val="20"/>
          <w:szCs w:val="20"/>
          <w:color w:val="auto"/>
        </w:rPr>
      </w:pPr>
      <w:r>
        <w:rPr>
          <w:rFonts w:ascii="Arial" w:cs="Arial" w:eastAsia="Arial" w:hAnsi="Arial"/>
          <w:sz w:val="16"/>
          <w:szCs w:val="16"/>
          <w:color w:val="auto"/>
        </w:rPr>
        <w:t>We entered into an employment agreement with Mr. Hahn pursuant to which he commenced employment with us on February 1, 2020 and has served as our Chief Financial Officer since March 1, 2020. This agreement entitles Mr. Hahn to receive an annual base salary of $500,000, which is payable in part in cash (which, for 2020, was $250,000) and in part in restricted stock units (which vest in equal quarterly installments during the calendar year in which the grant occurs, subject to continued employment) and a target annual bonus opportunity of 50% of his annual base salary. Pursuant to his employment agreement, Mr. Hahn was also entitled to receive (i) awards of restricted stock units equal to 4% of our outstanding ordinary shares and (ii) an additional award of restricted stock units if the Company raised additional equity capital during fiscal year 2020 (which it did), which was intended to result in Mr. Hahn’s equity awards (other than the portion of his base salary payable in restricted stock units) being equal to 4% of our outstanding ordinary shares on the applicable date of issuance. These awards vest over a period of four years, subject to continued employment.</w:t>
      </w:r>
    </w:p>
    <w:p>
      <w:pPr>
        <w:spacing w:after="0" w:line="109" w:lineRule="exact"/>
        <w:rPr>
          <w:sz w:val="20"/>
          <w:szCs w:val="20"/>
          <w:color w:val="auto"/>
        </w:rPr>
      </w:pPr>
    </w:p>
    <w:p>
      <w:pPr>
        <w:ind w:left="1120" w:right="959" w:firstLine="320"/>
        <w:spacing w:after="0" w:line="243" w:lineRule="auto"/>
        <w:rPr>
          <w:sz w:val="20"/>
          <w:szCs w:val="20"/>
          <w:color w:val="auto"/>
        </w:rPr>
      </w:pPr>
      <w:r>
        <w:rPr>
          <w:rFonts w:ascii="Arial" w:cs="Arial" w:eastAsia="Arial" w:hAnsi="Arial"/>
          <w:sz w:val="16"/>
          <w:szCs w:val="16"/>
          <w:color w:val="auto"/>
        </w:rPr>
        <w:t>If 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w:t>
      </w:r>
    </w:p>
    <w:p>
      <w:pPr>
        <w:spacing w:after="0" w:line="94" w:lineRule="exact"/>
        <w:rPr>
          <w:sz w:val="20"/>
          <w:szCs w:val="20"/>
          <w:color w:val="auto"/>
        </w:rPr>
      </w:pPr>
    </w:p>
    <w:p>
      <w:pPr>
        <w:ind w:left="1120" w:right="999" w:firstLine="320"/>
        <w:spacing w:after="0" w:line="261" w:lineRule="auto"/>
        <w:rPr>
          <w:sz w:val="20"/>
          <w:szCs w:val="20"/>
          <w:color w:val="auto"/>
        </w:rPr>
      </w:pPr>
      <w:r>
        <w:rPr>
          <w:rFonts w:ascii="Arial" w:cs="Arial" w:eastAsia="Arial" w:hAnsi="Arial"/>
          <w:sz w:val="16"/>
          <w:szCs w:val="16"/>
          <w:color w:val="auto"/>
        </w:rPr>
        <w:t>Mr. Hahn has also agreed to refrain from competing with us or soliciting our customers or prospective customers for a period of one year following his termination of employment.</w:t>
      </w:r>
    </w:p>
    <w:p>
      <w:pPr>
        <w:spacing w:after="0" w:line="31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2" w:name="page43"/>
    <w:bookmarkEnd w:id="42"/>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Kathleen Rickard, M.D.</w:t>
      </w:r>
    </w:p>
    <w:p>
      <w:pPr>
        <w:spacing w:after="0" w:line="128" w:lineRule="exact"/>
        <w:rPr>
          <w:sz w:val="20"/>
          <w:szCs w:val="20"/>
          <w:color w:val="auto"/>
        </w:rPr>
      </w:pPr>
    </w:p>
    <w:p>
      <w:pPr>
        <w:ind w:left="1120" w:right="899" w:firstLine="320"/>
        <w:spacing w:after="0" w:line="255" w:lineRule="auto"/>
        <w:rPr>
          <w:sz w:val="20"/>
          <w:szCs w:val="20"/>
          <w:color w:val="auto"/>
        </w:rPr>
      </w:pPr>
      <w:r>
        <w:rPr>
          <w:rFonts w:ascii="Arial" w:cs="Arial" w:eastAsia="Arial" w:hAnsi="Arial"/>
          <w:sz w:val="15"/>
          <w:szCs w:val="15"/>
          <w:color w:val="auto"/>
        </w:rPr>
        <w:t>We entered into an offer letter with Dr. Rickard on December 13, 2018, pursuant to which she agreed to serve as our Chief Medical Officer, effective February 1, 2019. This agreement entitles Dr. Rickard to receive an annual base salary (which, for 2020, was $401,700) and a target annual bonus opportunity of 40% of her annual base salary, with the amount of any such bonus based on performance criteria for our</w:t>
      </w:r>
    </w:p>
    <w:p>
      <w:pPr>
        <w:ind w:left="1120"/>
        <w:spacing w:after="0"/>
        <w:rPr>
          <w:sz w:val="20"/>
          <w:szCs w:val="20"/>
          <w:color w:val="auto"/>
        </w:rPr>
      </w:pPr>
      <w:r>
        <w:rPr>
          <w:rFonts w:ascii="Arial" w:cs="Arial" w:eastAsia="Arial" w:hAnsi="Arial"/>
          <w:sz w:val="15"/>
          <w:szCs w:val="15"/>
          <w:color w:val="auto"/>
        </w:rPr>
        <w:t>company and her individual performance, as determined by the Board of Directors in its sole discretion.</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Dr. Rickard was also entitled to receive a sign-on bonus of $50,000, payable on the date of the offer letter,</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and was entitled to receive a retention bonus of $250,000, with $125,000 payable on April 1, 2019 and</w:t>
      </w:r>
    </w:p>
    <w:p>
      <w:pPr>
        <w:ind w:left="1120"/>
        <w:spacing w:after="0"/>
        <w:rPr>
          <w:sz w:val="20"/>
          <w:szCs w:val="20"/>
          <w:color w:val="auto"/>
        </w:rPr>
      </w:pPr>
      <w:r>
        <w:rPr>
          <w:rFonts w:ascii="Arial" w:cs="Arial" w:eastAsia="Arial" w:hAnsi="Arial"/>
          <w:sz w:val="15"/>
          <w:szCs w:val="15"/>
          <w:color w:val="auto"/>
        </w:rPr>
        <w:t>$125,000 payable on April 1, 2020, subject to Dr. Rickard being employed at the applicable date of payment</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and with the condition that each retention bonus payment is repayable if she resigns or is terminated for</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“Cause” within 12 months of payment.</w:t>
      </w:r>
    </w:p>
    <w:p>
      <w:pPr>
        <w:spacing w:after="0" w:line="114" w:lineRule="exact"/>
        <w:rPr>
          <w:sz w:val="20"/>
          <w:szCs w:val="20"/>
          <w:color w:val="auto"/>
        </w:rPr>
      </w:pPr>
    </w:p>
    <w:p>
      <w:pPr>
        <w:ind w:left="1120" w:right="899" w:firstLine="320"/>
        <w:spacing w:after="0" w:line="255" w:lineRule="auto"/>
        <w:rPr>
          <w:sz w:val="20"/>
          <w:szCs w:val="20"/>
          <w:color w:val="auto"/>
        </w:rPr>
      </w:pPr>
      <w:r>
        <w:rPr>
          <w:rFonts w:ascii="Arial" w:cs="Arial" w:eastAsia="Arial" w:hAnsi="Arial"/>
          <w:sz w:val="16"/>
          <w:szCs w:val="16"/>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Jan-Anders Karlsson, Ph.D.</w:t>
      </w:r>
    </w:p>
    <w:p>
      <w:pPr>
        <w:spacing w:after="0" w:line="140" w:lineRule="exact"/>
        <w:rPr>
          <w:sz w:val="20"/>
          <w:szCs w:val="20"/>
          <w:color w:val="auto"/>
        </w:rPr>
      </w:pPr>
    </w:p>
    <w:p>
      <w:pPr>
        <w:ind w:left="1120" w:right="879" w:firstLine="320"/>
        <w:spacing w:after="0" w:line="271" w:lineRule="auto"/>
        <w:rPr>
          <w:sz w:val="20"/>
          <w:szCs w:val="20"/>
          <w:color w:val="auto"/>
        </w:rPr>
      </w:pPr>
      <w:r>
        <w:rPr>
          <w:rFonts w:ascii="Arial" w:cs="Arial" w:eastAsia="Arial" w:hAnsi="Arial"/>
          <w:sz w:val="15"/>
          <w:szCs w:val="15"/>
          <w:color w:val="auto"/>
        </w:rPr>
        <w:t>We and Dr. Karlsson entered into a separation agreement, or the Karlsson Separation Agreement, pursuant to which we and Dr. Karlsson agreed that he would no longer serve as chief executive officer, director or officer, effective as of February 2, 2020, and that his employment with us would terminate effective as of February 28, 2020, or the Separation Date. Dr. Karlsson agreed to help transition his duties to Dr. Zaccardelli. Pursuant to the Karlsson Separation Agreement, Dr. Karlsson agreed to execute a general release of claims, or the Karlsson Settlement Agreement, and he is entitled to receive cash severance payments in the aggregate amount of £982,160, payments for continued medical and life insurance benefits until the first anniversary of the Separation Date and continued pension contributions until the first anniversary of the Separation Date, subject to his compliance with the terms of the Karlsson Separation Agreement, the Karlsson Settlement Agreement and his employment agreement.</w:t>
      </w:r>
    </w:p>
    <w:p>
      <w:pPr>
        <w:spacing w:after="0" w:line="90" w:lineRule="exact"/>
        <w:rPr>
          <w:sz w:val="20"/>
          <w:szCs w:val="20"/>
          <w:color w:val="auto"/>
        </w:rPr>
      </w:pPr>
    </w:p>
    <w:p>
      <w:pPr>
        <w:ind w:left="1120" w:right="919" w:firstLine="320"/>
        <w:spacing w:after="0" w:line="274" w:lineRule="auto"/>
        <w:rPr>
          <w:sz w:val="20"/>
          <w:szCs w:val="20"/>
          <w:color w:val="auto"/>
        </w:rPr>
      </w:pPr>
      <w:r>
        <w:rPr>
          <w:rFonts w:ascii="Arial" w:cs="Arial" w:eastAsia="Arial" w:hAnsi="Arial"/>
          <w:sz w:val="15"/>
          <w:szCs w:val="15"/>
          <w:color w:val="auto"/>
        </w:rPr>
        <w:t>Pursuant to the Karlsson Separation Agreement, 81,084 RSUs covering ADSs became immediately vested. Additionally, the Karlsson Separation Agreement provided that any equity awards that Dr. Karlsson held as of his separation date that were not vested as of such date would continue to vest based on its original vesting schedule (without regard to Dr. Karlsson’s continued employment), provided that certain unvested awards would become forfeited on February 28, 2021 if a change in control event did not occur by then. Furthermore, the outstanding awards were subject to accelerated vesting upon a change in control, Dr. Karlsson’s death or a breach by the Company of the terms of the separation agreement.</w:t>
      </w:r>
    </w:p>
    <w:p>
      <w:pPr>
        <w:spacing w:after="0" w:line="9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2020 DIRECTOR COMPENSATION</w:t>
      </w:r>
    </w:p>
    <w:p>
      <w:pPr>
        <w:spacing w:after="0" w:line="140" w:lineRule="exact"/>
        <w:rPr>
          <w:sz w:val="20"/>
          <w:szCs w:val="20"/>
          <w:color w:val="auto"/>
        </w:rPr>
      </w:pPr>
    </w:p>
    <w:p>
      <w:pPr>
        <w:ind w:left="1120" w:right="919" w:firstLine="320"/>
        <w:spacing w:after="0" w:line="263" w:lineRule="auto"/>
        <w:rPr>
          <w:sz w:val="20"/>
          <w:szCs w:val="20"/>
          <w:color w:val="auto"/>
        </w:rPr>
      </w:pPr>
      <w:r>
        <w:rPr>
          <w:rFonts w:ascii="Arial" w:cs="Arial" w:eastAsia="Arial" w:hAnsi="Arial"/>
          <w:sz w:val="16"/>
          <w:szCs w:val="16"/>
          <w:color w:val="auto"/>
        </w:rPr>
        <w:t>We have entered into letters of appointment with each of our non-executive directors pursuant to which they are entitled to receive an annual fee for their services as a member of the board, and an additional fee for service on its committees. These fees are as follows:</w:t>
      </w:r>
    </w:p>
    <w:p>
      <w:pPr>
        <w:spacing w:after="0" w:line="66" w:lineRule="exact"/>
        <w:rPr>
          <w:sz w:val="20"/>
          <w:szCs w:val="20"/>
          <w:color w:val="auto"/>
        </w:rPr>
      </w:pPr>
    </w:p>
    <w:p>
      <w:pPr>
        <w:ind w:left="1600" w:hanging="160"/>
        <w:spacing w:after="0"/>
        <w:tabs>
          <w:tab w:leader="none" w:pos="1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non-employee director receives an annual cash retainer of £30,000;</w:t>
      </w:r>
    </w:p>
    <w:p>
      <w:pPr>
        <w:spacing w:after="0" w:line="103" w:lineRule="exact"/>
        <w:rPr>
          <w:rFonts w:ascii="Arial" w:cs="Arial" w:eastAsia="Arial" w:hAnsi="Arial"/>
          <w:sz w:val="16"/>
          <w:szCs w:val="16"/>
          <w:color w:val="auto"/>
        </w:rPr>
      </w:pPr>
    </w:p>
    <w:p>
      <w:pPr>
        <w:jc w:val="both"/>
        <w:ind w:left="1600" w:right="879" w:hanging="160"/>
        <w:spacing w:after="0" w:line="311" w:lineRule="auto"/>
        <w:tabs>
          <w:tab w:leader="none" w:pos="1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Chairman of the Board of Directors, each Chairman of a committee of the Board of Directors or a member of a committee of the Board of Directors, receives additional cash compensation as follows:</w:t>
      </w:r>
    </w:p>
    <w:p>
      <w:pPr>
        <w:spacing w:after="0" w:line="32" w:lineRule="exact"/>
        <w:rPr>
          <w:rFonts w:ascii="Arial" w:cs="Arial" w:eastAsia="Arial" w:hAnsi="Arial"/>
          <w:sz w:val="15"/>
          <w:szCs w:val="15"/>
          <w:color w:val="auto"/>
        </w:rPr>
      </w:pPr>
    </w:p>
    <w:p>
      <w:pPr>
        <w:ind w:left="1920" w:hanging="161"/>
        <w:spacing w:after="0"/>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Chairman of the Board of Directors receives an additional annual retainer of £78,000;</w:t>
      </w:r>
    </w:p>
    <w:p>
      <w:pPr>
        <w:spacing w:after="0" w:line="103" w:lineRule="exact"/>
        <w:rPr>
          <w:rFonts w:ascii="Arial" w:cs="Arial" w:eastAsia="Arial" w:hAnsi="Arial"/>
          <w:sz w:val="16"/>
          <w:szCs w:val="16"/>
          <w:color w:val="auto"/>
        </w:rPr>
      </w:pPr>
    </w:p>
    <w:p>
      <w:pPr>
        <w:ind w:left="1920" w:right="1459" w:hanging="161"/>
        <w:spacing w:after="0" w:line="276"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Chairman of the Audit and Risk Committee receives an additional annual retainer of £12,000;</w:t>
      </w:r>
    </w:p>
    <w:p>
      <w:pPr>
        <w:spacing w:after="0" w:line="56" w:lineRule="exact"/>
        <w:rPr>
          <w:rFonts w:ascii="Arial" w:cs="Arial" w:eastAsia="Arial" w:hAnsi="Arial"/>
          <w:sz w:val="16"/>
          <w:szCs w:val="16"/>
          <w:color w:val="auto"/>
        </w:rPr>
      </w:pPr>
    </w:p>
    <w:p>
      <w:pPr>
        <w:ind w:left="1920" w:hanging="161"/>
        <w:spacing w:after="0"/>
        <w:tabs>
          <w:tab w:leader="none" w:pos="19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the Chairman of the Remuneration Committee receives an additional annual retainer of £10,000;</w:t>
      </w:r>
    </w:p>
    <w:p>
      <w:pPr>
        <w:spacing w:after="0" w:line="36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3" w:name="page44"/>
    <w:bookmarkEnd w:id="43"/>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20" w:hanging="161"/>
        <w:spacing w:after="0"/>
        <w:tabs>
          <w:tab w:leader="none" w:pos="1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member of the Audit and Risk Committee receives an additional annual retainer of £5,000;</w:t>
      </w:r>
    </w:p>
    <w:p>
      <w:pPr>
        <w:spacing w:after="0" w:line="103" w:lineRule="exact"/>
        <w:rPr>
          <w:rFonts w:ascii="Arial" w:cs="Arial" w:eastAsia="Arial" w:hAnsi="Arial"/>
          <w:sz w:val="16"/>
          <w:szCs w:val="16"/>
          <w:color w:val="auto"/>
        </w:rPr>
      </w:pPr>
    </w:p>
    <w:p>
      <w:pPr>
        <w:ind w:left="1920" w:hanging="161"/>
        <w:spacing w:after="0"/>
        <w:tabs>
          <w:tab w:leader="none" w:pos="1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member of the Remuneration Committee receives an additional annual retainer of £4,000;</w:t>
      </w:r>
    </w:p>
    <w:p>
      <w:pPr>
        <w:spacing w:after="0" w:line="103" w:lineRule="exact"/>
        <w:rPr>
          <w:rFonts w:ascii="Arial" w:cs="Arial" w:eastAsia="Arial" w:hAnsi="Arial"/>
          <w:sz w:val="16"/>
          <w:szCs w:val="16"/>
          <w:color w:val="auto"/>
        </w:rPr>
      </w:pPr>
    </w:p>
    <w:p>
      <w:pPr>
        <w:ind w:left="1920" w:right="1540" w:hanging="161"/>
        <w:spacing w:after="0" w:line="276" w:lineRule="auto"/>
        <w:tabs>
          <w:tab w:leader="none" w:pos="1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member of the Nomination and Corporate Governance Committee receives an additional annual retainer of £3,000;</w:t>
      </w:r>
    </w:p>
    <w:p>
      <w:pPr>
        <w:spacing w:after="0" w:line="80" w:lineRule="exact"/>
        <w:rPr>
          <w:sz w:val="20"/>
          <w:szCs w:val="20"/>
          <w:color w:val="auto"/>
        </w:rPr>
      </w:pPr>
    </w:p>
    <w:p>
      <w:pPr>
        <w:ind w:left="1120" w:right="1340" w:firstLine="320"/>
        <w:spacing w:after="0" w:line="263" w:lineRule="auto"/>
        <w:rPr>
          <w:sz w:val="20"/>
          <w:szCs w:val="20"/>
          <w:color w:val="auto"/>
        </w:rPr>
      </w:pPr>
      <w:r>
        <w:rPr>
          <w:rFonts w:ascii="Arial" w:cs="Arial" w:eastAsia="Arial" w:hAnsi="Arial"/>
          <w:sz w:val="16"/>
          <w:szCs w:val="16"/>
          <w:color w:val="auto"/>
        </w:rPr>
        <w:t>The fees are paid monthly in arrears. These letters also provide for reimbursement of reasonable and documented expenses incurred in the performance of board duties, including reimbursement of business class air travel.</w:t>
      </w:r>
    </w:p>
    <w:p>
      <w:pPr>
        <w:spacing w:after="0" w:line="102" w:lineRule="exact"/>
        <w:rPr>
          <w:sz w:val="20"/>
          <w:szCs w:val="20"/>
          <w:color w:val="auto"/>
        </w:rPr>
      </w:pPr>
    </w:p>
    <w:p>
      <w:pPr>
        <w:ind w:left="1120" w:right="1200" w:firstLine="320"/>
        <w:spacing w:after="0" w:line="276" w:lineRule="auto"/>
        <w:rPr>
          <w:sz w:val="20"/>
          <w:szCs w:val="20"/>
          <w:color w:val="auto"/>
        </w:rPr>
      </w:pPr>
      <w:r>
        <w:rPr>
          <w:rFonts w:ascii="Arial" w:cs="Arial" w:eastAsia="Arial" w:hAnsi="Arial"/>
          <w:sz w:val="16"/>
          <w:szCs w:val="16"/>
          <w:color w:val="auto"/>
        </w:rPr>
        <w:t>The following table sets forth in summary form information concerning the compensation that we paid or awarded during the year ended December 31, 2020 to each of our non-employee directors.</w:t>
      </w:r>
    </w:p>
    <w:p>
      <w:pPr>
        <w:spacing w:after="0" w:line="152"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2020 Director Compensation Table</w:t>
      </w:r>
    </w:p>
    <w:p>
      <w:pPr>
        <w:spacing w:after="0" w:line="151"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Fees Earned</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w:t>
            </w:r>
          </w:p>
        </w:tc>
        <w:tc>
          <w:tcPr>
            <w:tcW w:w="540" w:type="dxa"/>
            <w:vAlign w:val="bottom"/>
          </w:tcPr>
          <w:p>
            <w:pPr>
              <w:spacing w:after="0"/>
              <w:rPr>
                <w:sz w:val="13"/>
                <w:szCs w:val="13"/>
                <w:color w:val="auto"/>
              </w:rPr>
            </w:pPr>
          </w:p>
        </w:tc>
      </w:tr>
      <w:tr>
        <w:trPr>
          <w:trHeight w:val="140"/>
        </w:trPr>
        <w:tc>
          <w:tcPr>
            <w:tcW w:w="3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7"/>
              </w:rPr>
              <w:t>or Paid in</w:t>
            </w:r>
          </w:p>
        </w:tc>
        <w:tc>
          <w:tcPr>
            <w:tcW w:w="7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5"/>
              </w:rPr>
              <w:t>Awards</w:t>
            </w:r>
          </w:p>
        </w:tc>
        <w:tc>
          <w:tcPr>
            <w:tcW w:w="7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5"/>
              </w:rPr>
              <w:t>Awards</w:t>
            </w:r>
          </w:p>
        </w:tc>
        <w:tc>
          <w:tcPr>
            <w:tcW w:w="540" w:type="dxa"/>
            <w:vAlign w:val="bottom"/>
          </w:tcPr>
          <w:p>
            <w:pPr>
              <w:spacing w:after="0"/>
              <w:rPr>
                <w:sz w:val="12"/>
                <w:szCs w:val="12"/>
                <w:color w:val="auto"/>
              </w:rPr>
            </w:pPr>
          </w:p>
        </w:tc>
      </w:tr>
      <w:tr>
        <w:trPr>
          <w:trHeight w:val="204"/>
        </w:trPr>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Cash ($)</w:t>
            </w: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23"/>
                <w:szCs w:val="23"/>
                <w:b w:val="1"/>
                <w:bCs w:val="1"/>
                <w:color w:val="auto"/>
                <w:w w:val="80"/>
                <w:vertAlign w:val="subscript"/>
              </w:rPr>
              <w:t>($)</w:t>
            </w:r>
            <w:r>
              <w:rPr>
                <w:rFonts w:ascii="Arial" w:cs="Arial" w:eastAsia="Arial" w:hAnsi="Arial"/>
                <w:sz w:val="9"/>
                <w:szCs w:val="9"/>
                <w:b w:val="1"/>
                <w:bCs w:val="1"/>
                <w:color w:val="auto"/>
                <w:w w:val="80"/>
              </w:rPr>
              <w:t>(1)</w:t>
            </w:r>
          </w:p>
        </w:tc>
        <w:tc>
          <w:tcPr>
            <w:tcW w:w="2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23"/>
                <w:szCs w:val="23"/>
                <w:b w:val="1"/>
                <w:bCs w:val="1"/>
                <w:color w:val="auto"/>
                <w:w w:val="87"/>
                <w:vertAlign w:val="subscript"/>
              </w:rPr>
              <w:t>($)</w:t>
            </w:r>
            <w:r>
              <w:rPr>
                <w:rFonts w:ascii="Arial" w:cs="Arial" w:eastAsia="Arial" w:hAnsi="Arial"/>
                <w:sz w:val="9"/>
                <w:szCs w:val="9"/>
                <w:b w:val="1"/>
                <w:bCs w:val="1"/>
                <w:color w:val="auto"/>
                <w:w w:val="87"/>
              </w:rPr>
              <w:t>(1)</w:t>
            </w:r>
          </w:p>
        </w:tc>
        <w:tc>
          <w:tcPr>
            <w:tcW w:w="2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Total ($)</w:t>
            </w:r>
          </w:p>
        </w:tc>
      </w:tr>
      <w:tr>
        <w:trPr>
          <w:trHeight w:val="220"/>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Cunningham</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54,652</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175,727</w:t>
            </w:r>
          </w:p>
        </w:tc>
      </w:tr>
      <w:tr>
        <w:trPr>
          <w:trHeight w:val="228"/>
        </w:trPr>
        <w:tc>
          <w:tcPr>
            <w:tcW w:w="3780" w:type="dxa"/>
            <w:vAlign w:val="bottom"/>
            <w:gridSpan w:val="2"/>
          </w:tcPr>
          <w:p>
            <w:pPr>
              <w:spacing w:after="0"/>
              <w:rPr>
                <w:sz w:val="20"/>
                <w:szCs w:val="20"/>
                <w:color w:val="auto"/>
              </w:rPr>
            </w:pPr>
            <w:r>
              <w:rPr>
                <w:rFonts w:ascii="Arial" w:cs="Arial" w:eastAsia="Arial" w:hAnsi="Arial"/>
                <w:sz w:val="16"/>
                <w:szCs w:val="16"/>
                <w:color w:val="auto"/>
              </w:rPr>
              <w:t>David Ebsworth</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153,016</w:t>
            </w:r>
          </w:p>
        </w:tc>
        <w:tc>
          <w:tcPr>
            <w:tcW w:w="180" w:type="dxa"/>
            <w:vAlign w:val="bottom"/>
          </w:tcPr>
          <w:p>
            <w:pPr>
              <w:spacing w:after="0"/>
              <w:rPr>
                <w:sz w:val="19"/>
                <w:szCs w:val="1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274,091</w:t>
            </w:r>
          </w:p>
        </w:tc>
      </w:tr>
      <w:tr>
        <w:trPr>
          <w:trHeight w:val="228"/>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Rishi Gupta</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43,413</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100,110</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143,523</w:t>
            </w:r>
          </w:p>
        </w:tc>
      </w:tr>
      <w:tr>
        <w:trPr>
          <w:trHeight w:val="228"/>
        </w:trPr>
        <w:tc>
          <w:tcPr>
            <w:tcW w:w="3780" w:type="dxa"/>
            <w:vAlign w:val="bottom"/>
            <w:gridSpan w:val="2"/>
          </w:tcPr>
          <w:p>
            <w:pPr>
              <w:spacing w:after="0"/>
              <w:rPr>
                <w:sz w:val="20"/>
                <w:szCs w:val="20"/>
                <w:color w:val="auto"/>
              </w:rPr>
            </w:pPr>
            <w:r>
              <w:rPr>
                <w:rFonts w:ascii="Arial" w:cs="Arial" w:eastAsia="Arial" w:hAnsi="Arial"/>
                <w:sz w:val="16"/>
                <w:szCs w:val="16"/>
                <w:color w:val="auto"/>
              </w:rPr>
              <w:t>Mahendra Shah</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42,808</w:t>
            </w:r>
          </w:p>
        </w:tc>
        <w:tc>
          <w:tcPr>
            <w:tcW w:w="180" w:type="dxa"/>
            <w:vAlign w:val="bottom"/>
          </w:tcPr>
          <w:p>
            <w:pPr>
              <w:spacing w:after="0"/>
              <w:rPr>
                <w:sz w:val="19"/>
                <w:szCs w:val="1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163,883</w:t>
            </w:r>
          </w:p>
        </w:tc>
      </w:tr>
      <w:tr>
        <w:trPr>
          <w:trHeight w:val="228"/>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Andrew Sinclair</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44,020</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6"/>
              </w:rPr>
              <w:t>100,110</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144,129</w:t>
            </w:r>
          </w:p>
        </w:tc>
      </w:tr>
      <w:tr>
        <w:trPr>
          <w:trHeight w:val="240"/>
        </w:trPr>
        <w:tc>
          <w:tcPr>
            <w:tcW w:w="3780" w:type="dxa"/>
            <w:vAlign w:val="bottom"/>
            <w:gridSpan w:val="2"/>
          </w:tcPr>
          <w:p>
            <w:pPr>
              <w:spacing w:after="0"/>
              <w:rPr>
                <w:sz w:val="20"/>
                <w:szCs w:val="20"/>
                <w:color w:val="auto"/>
              </w:rPr>
            </w:pPr>
            <w:r>
              <w:rPr>
                <w:rFonts w:ascii="Arial" w:cs="Arial" w:eastAsia="Arial" w:hAnsi="Arial"/>
                <w:sz w:val="16"/>
                <w:szCs w:val="16"/>
                <w:color w:val="auto"/>
              </w:rPr>
              <w:t>Vikas Sinha</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57,385</w:t>
            </w:r>
          </w:p>
        </w:tc>
        <w:tc>
          <w:tcPr>
            <w:tcW w:w="18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178,460</w:t>
            </w:r>
          </w:p>
        </w:tc>
      </w:tr>
      <w:tr>
        <w:trPr>
          <w:trHeight w:val="240"/>
        </w:trPr>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Anders Ullman</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42,808</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163,883</w:t>
            </w:r>
          </w:p>
        </w:tc>
      </w:tr>
      <w:tr>
        <w:trPr>
          <w:trHeight w:val="240"/>
        </w:trPr>
        <w:tc>
          <w:tcPr>
            <w:tcW w:w="3780" w:type="dxa"/>
            <w:vAlign w:val="bottom"/>
            <w:gridSpan w:val="2"/>
          </w:tcPr>
          <w:p>
            <w:pPr>
              <w:spacing w:after="0"/>
              <w:rPr>
                <w:sz w:val="20"/>
                <w:szCs w:val="20"/>
                <w:color w:val="auto"/>
              </w:rPr>
            </w:pPr>
            <w:r>
              <w:rPr>
                <w:rFonts w:ascii="Arial" w:cs="Arial" w:eastAsia="Arial" w:hAnsi="Arial"/>
                <w:sz w:val="16"/>
                <w:szCs w:val="16"/>
                <w:color w:val="auto"/>
              </w:rPr>
              <w:t>Martin Edwards</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40,989</w:t>
            </w:r>
          </w:p>
        </w:tc>
        <w:tc>
          <w:tcPr>
            <w:tcW w:w="18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121,075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162,064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4665345</wp:posOffset>
            </wp:positionH>
            <wp:positionV relativeFrom="paragraph">
              <wp:posOffset>-1186815</wp:posOffset>
            </wp:positionV>
            <wp:extent cx="1219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-1186815</wp:posOffset>
            </wp:positionV>
            <wp:extent cx="1219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-1186815</wp:posOffset>
            </wp:positionV>
            <wp:extent cx="12192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-1186815</wp:posOffset>
            </wp:positionV>
            <wp:extent cx="12192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129540</wp:posOffset>
            </wp:positionV>
            <wp:extent cx="10960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315" w:lineRule="exact"/>
        <w:rPr>
          <w:sz w:val="20"/>
          <w:szCs w:val="20"/>
          <w:color w:val="auto"/>
        </w:rPr>
      </w:pPr>
    </w:p>
    <w:p>
      <w:pPr>
        <w:ind w:left="1440" w:right="1180" w:hanging="320"/>
        <w:spacing w:after="0" w:line="256" w:lineRule="auto"/>
        <w:tabs>
          <w:tab w:leader="none" w:pos="1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reflect the full grant-date fair value of stock awards and option awards granted during 2020 computed in accordance with ASC Topic 718, rather than the amounts paid to or realized by the named individual. For a description of the assumptions used in valuing these awards, see Note 11 to our audited consolidated financial statements included in our Annual Report on Form 10-K for the fiscal year ended December 31, 2020.</w:t>
      </w:r>
    </w:p>
    <w:p>
      <w:pPr>
        <w:spacing w:after="0" w:line="110" w:lineRule="exact"/>
        <w:rPr>
          <w:sz w:val="20"/>
          <w:szCs w:val="20"/>
          <w:color w:val="auto"/>
        </w:rPr>
      </w:pPr>
    </w:p>
    <w:p>
      <w:pPr>
        <w:ind w:left="1120" w:right="1120" w:firstLine="320"/>
        <w:spacing w:after="0" w:line="259" w:lineRule="auto"/>
        <w:rPr>
          <w:sz w:val="20"/>
          <w:szCs w:val="20"/>
          <w:color w:val="auto"/>
        </w:rPr>
      </w:pPr>
      <w:r>
        <w:rPr>
          <w:rFonts w:ascii="Arial" w:cs="Arial" w:eastAsia="Arial" w:hAnsi="Arial"/>
          <w:sz w:val="16"/>
          <w:szCs w:val="16"/>
          <w:color w:val="auto"/>
        </w:rPr>
        <w:t>The table below shows the aggregate numbers of option awards (exercisable and unexercisable) and unvested stock awards held as of December 31, 2020 by each non-employee director. Awards cover ordinary shares and/or ADSs; however, amounts shown below are expressed in terms of the number of ADSs that are covered by each such award.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1"/>
              </w:rPr>
              <w:t>Unvested</w:t>
            </w:r>
          </w:p>
        </w:tc>
        <w:tc>
          <w:tcPr>
            <w:tcW w:w="144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Option</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Stock</w:t>
            </w:r>
          </w:p>
        </w:tc>
        <w:tc>
          <w:tcPr>
            <w:tcW w:w="144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Awards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Awards</w:t>
            </w:r>
          </w:p>
        </w:tc>
        <w:tc>
          <w:tcPr>
            <w:tcW w:w="144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Outstanding</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40" w:type="dxa"/>
            <w:vAlign w:val="bottom"/>
          </w:tcPr>
          <w:p>
            <w:pPr>
              <w:spacing w:after="0"/>
              <w:rPr>
                <w:sz w:val="12"/>
                <w:szCs w:val="12"/>
                <w:color w:val="auto"/>
              </w:rPr>
            </w:pPr>
          </w:p>
        </w:tc>
      </w:tr>
      <w:tr>
        <w:trPr>
          <w:trHeight w:val="144"/>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at 2020 Fiscal</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at 2020 Fiscal</w:t>
            </w:r>
          </w:p>
        </w:tc>
        <w:tc>
          <w:tcPr>
            <w:tcW w:w="1440" w:type="dxa"/>
            <w:vAlign w:val="bottom"/>
          </w:tcPr>
          <w:p>
            <w:pPr>
              <w:spacing w:after="0"/>
              <w:rPr>
                <w:sz w:val="12"/>
                <w:szCs w:val="12"/>
                <w:color w:val="auto"/>
              </w:rPr>
            </w:pPr>
          </w:p>
        </w:tc>
      </w:tr>
      <w:tr>
        <w:trPr>
          <w:trHeight w:val="166"/>
        </w:trPr>
        <w:tc>
          <w:tcPr>
            <w:tcW w:w="14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Year End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Year End</w:t>
            </w:r>
          </w:p>
        </w:tc>
        <w:tc>
          <w:tcPr>
            <w:tcW w:w="1440" w:type="dxa"/>
            <w:vAlign w:val="bottom"/>
          </w:tcPr>
          <w:p>
            <w:pPr>
              <w:spacing w:after="0"/>
              <w:rPr>
                <w:sz w:val="14"/>
                <w:szCs w:val="14"/>
                <w:color w:val="auto"/>
              </w:rPr>
            </w:pPr>
          </w:p>
        </w:tc>
      </w:tr>
      <w:tr>
        <w:trPr>
          <w:trHeight w:val="22"/>
        </w:trPr>
        <w:tc>
          <w:tcPr>
            <w:tcW w:w="14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0"/>
        </w:trPr>
        <w:tc>
          <w:tcPr>
            <w:tcW w:w="14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Ken Cunningham</w:t>
            </w:r>
          </w:p>
        </w:tc>
        <w:tc>
          <w:tcPr>
            <w:tcW w:w="2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19"/>
                <w:szCs w:val="19"/>
                <w:color w:val="auto"/>
              </w:rPr>
            </w:pPr>
          </w:p>
        </w:tc>
      </w:tr>
      <w:tr>
        <w:trPr>
          <w:trHeight w:val="228"/>
        </w:trPr>
        <w:tc>
          <w:tcPr>
            <w:tcW w:w="14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David Ebsworth</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19"/>
                <w:szCs w:val="19"/>
                <w:color w:val="auto"/>
              </w:rPr>
            </w:pPr>
          </w:p>
        </w:tc>
      </w:tr>
      <w:tr>
        <w:trPr>
          <w:trHeight w:val="228"/>
        </w:trPr>
        <w:tc>
          <w:tcPr>
            <w:tcW w:w="14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Rishi Gupta</w:t>
            </w:r>
          </w:p>
        </w:tc>
        <w:tc>
          <w:tcPr>
            <w:tcW w:w="35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23,200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19"/>
                <w:szCs w:val="19"/>
                <w:color w:val="auto"/>
              </w:rPr>
            </w:pPr>
          </w:p>
        </w:tc>
      </w:tr>
      <w:tr>
        <w:trPr>
          <w:trHeight w:val="228"/>
        </w:trPr>
        <w:tc>
          <w:tcPr>
            <w:tcW w:w="14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Mahendra Shah</w:t>
            </w: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19"/>
                <w:szCs w:val="19"/>
                <w:color w:val="auto"/>
              </w:rPr>
            </w:pPr>
          </w:p>
        </w:tc>
      </w:tr>
      <w:tr>
        <w:trPr>
          <w:trHeight w:val="240"/>
        </w:trPr>
        <w:tc>
          <w:tcPr>
            <w:tcW w:w="14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Andrew Sinclair</w:t>
            </w:r>
          </w:p>
        </w:tc>
        <w:tc>
          <w:tcPr>
            <w:tcW w:w="35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23,200</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0"/>
                <w:szCs w:val="20"/>
                <w:color w:val="auto"/>
              </w:rPr>
            </w:pPr>
          </w:p>
        </w:tc>
      </w:tr>
      <w:tr>
        <w:trPr>
          <w:trHeight w:val="240"/>
        </w:trPr>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Vikas Sinha</w:t>
            </w:r>
          </w:p>
        </w:tc>
        <w:tc>
          <w:tcPr>
            <w:tcW w:w="3500" w:type="dxa"/>
            <w:vAlign w:val="bottom"/>
            <w:gridSpan w:val="3"/>
          </w:tcPr>
          <w:p>
            <w:pPr>
              <w:jc w:val="right"/>
              <w:ind w:right="88"/>
              <w:spacing w:after="0"/>
              <w:rPr>
                <w:sz w:val="20"/>
                <w:szCs w:val="20"/>
                <w:color w:val="auto"/>
              </w:rPr>
            </w:pPr>
            <w:r>
              <w:rPr>
                <w:rFonts w:ascii="Arial" w:cs="Arial" w:eastAsia="Arial" w:hAnsi="Arial"/>
                <w:sz w:val="16"/>
                <w:szCs w:val="16"/>
                <w:color w:val="auto"/>
              </w:rPr>
              <w:t>15,048</w:t>
            </w:r>
          </w:p>
        </w:tc>
        <w:tc>
          <w:tcPr>
            <w:tcW w:w="200" w:type="dxa"/>
            <w:vAlign w:val="bottom"/>
          </w:tcPr>
          <w:p>
            <w:pPr>
              <w:spacing w:after="0"/>
              <w:rPr>
                <w:sz w:val="20"/>
                <w:szCs w:val="20"/>
                <w:color w:val="auto"/>
              </w:rPr>
            </w:pPr>
          </w:p>
        </w:tc>
        <w:tc>
          <w:tcPr>
            <w:tcW w:w="740" w:type="dxa"/>
            <w:vAlign w:val="bottom"/>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20"/>
                <w:szCs w:val="20"/>
                <w:color w:val="auto"/>
              </w:rPr>
            </w:pPr>
          </w:p>
        </w:tc>
      </w:tr>
      <w:tr>
        <w:trPr>
          <w:trHeight w:val="240"/>
        </w:trPr>
        <w:tc>
          <w:tcPr>
            <w:tcW w:w="14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Anders Ullman</w:t>
            </w:r>
          </w:p>
        </w:tc>
        <w:tc>
          <w:tcPr>
            <w:tcW w:w="2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20"/>
                <w:szCs w:val="20"/>
                <w:color w:val="auto"/>
              </w:rPr>
            </w:pPr>
          </w:p>
        </w:tc>
      </w:tr>
      <w:tr>
        <w:trPr>
          <w:trHeight w:val="240"/>
        </w:trPr>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Martin Edwards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7"/>
              <w:spacing w:after="0"/>
              <w:rPr>
                <w:sz w:val="20"/>
                <w:szCs w:val="20"/>
                <w:color w:val="auto"/>
              </w:rPr>
            </w:pPr>
            <w:r>
              <w:rPr>
                <w:rFonts w:ascii="Arial" w:cs="Arial" w:eastAsia="Arial" w:hAnsi="Arial"/>
                <w:sz w:val="16"/>
                <w:szCs w:val="16"/>
                <w:color w:val="auto"/>
              </w:rPr>
              <w:t>7,250</w:t>
            </w:r>
          </w:p>
        </w:tc>
        <w:tc>
          <w:tcPr>
            <w:tcW w:w="1440" w:type="dxa"/>
            <w:vAlign w:val="bottom"/>
          </w:tcPr>
          <w:p>
            <w:pPr>
              <w:spacing w:after="0"/>
              <w:rPr>
                <w:sz w:val="20"/>
                <w:szCs w:val="20"/>
                <w:color w:val="auto"/>
              </w:rPr>
            </w:pPr>
          </w:p>
        </w:tc>
      </w:tr>
      <w:tr>
        <w:trPr>
          <w:trHeight w:val="539"/>
        </w:trPr>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60" w:type="dxa"/>
            <w:vAlign w:val="bottom"/>
          </w:tcPr>
          <w:p>
            <w:pPr>
              <w:jc w:val="right"/>
              <w:ind w:right="1300"/>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2"/>
        </w:trPr>
        <w:tc>
          <w:tcPr>
            <w:tcW w:w="14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-1772920</wp:posOffset>
            </wp:positionV>
            <wp:extent cx="12192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-1772920</wp:posOffset>
            </wp:positionV>
            <wp:extent cx="12192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330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520"/>
          </w:cols>
          <w:pgMar w:left="1180" w:top="132" w:right="1199" w:bottom="1440" w:gutter="0" w:footer="0" w:header="0"/>
        </w:sectPr>
      </w:pPr>
    </w:p>
    <w:bookmarkStart w:id="44" w:name="page45"/>
    <w:bookmarkEnd w:id="44"/>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SECURITIES AUTHORIZED FOR ISSUANCE UNDER EQUITY COMPENSATION PLANS</w:t>
      </w:r>
    </w:p>
    <w:p>
      <w:pPr>
        <w:spacing w:after="0" w:line="128" w:lineRule="exact"/>
        <w:rPr>
          <w:sz w:val="20"/>
          <w:szCs w:val="20"/>
          <w:color w:val="auto"/>
        </w:rPr>
      </w:pPr>
    </w:p>
    <w:p>
      <w:pPr>
        <w:ind w:left="1120" w:right="919" w:firstLine="320"/>
        <w:spacing w:after="0" w:line="256" w:lineRule="auto"/>
        <w:rPr>
          <w:sz w:val="20"/>
          <w:szCs w:val="20"/>
          <w:color w:val="auto"/>
        </w:rPr>
      </w:pPr>
      <w:r>
        <w:rPr>
          <w:rFonts w:ascii="Arial" w:cs="Arial" w:eastAsia="Arial" w:hAnsi="Arial"/>
          <w:sz w:val="16"/>
          <w:szCs w:val="16"/>
          <w:color w:val="auto"/>
        </w:rPr>
        <w:t>The following table sets forth information as of December 31, 2020 regarding ordinary shares that may be issued under our equity compensation plans, consisting of the Verona Pharma plc EMI Option Scheme (the “EMI Plan”), the Verona Pharma plc Unapproved Share Option Scheme (the “Pre-IPO Plan”) and the Verona Pharma plc 2017 Incentive Award Plan (the “2017 Plan”). We do not have any non-shareholder approved equity compensation plans.</w:t>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 Ordinary</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Weighted-</w:t>
            </w:r>
          </w:p>
        </w:tc>
        <w:tc>
          <w:tcPr>
            <w:tcW w:w="18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Shares</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Number of Ordinary</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1"/>
              </w:rPr>
              <w:t>Average</w:t>
            </w:r>
          </w:p>
        </w:tc>
        <w:tc>
          <w:tcPr>
            <w:tcW w:w="18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Remaining Available</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1"/>
              </w:rPr>
              <w:t>Shares to be</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Exercise Price of</w:t>
            </w:r>
          </w:p>
        </w:tc>
        <w:tc>
          <w:tcPr>
            <w:tcW w:w="1620" w:type="dxa"/>
            <w:vAlign w:val="bottom"/>
            <w:gridSpan w:val="2"/>
          </w:tcPr>
          <w:p>
            <w:pPr>
              <w:jc w:val="center"/>
              <w:ind w:left="65"/>
              <w:spacing w:after="0" w:line="144" w:lineRule="exact"/>
              <w:rPr>
                <w:sz w:val="20"/>
                <w:szCs w:val="20"/>
                <w:color w:val="auto"/>
              </w:rPr>
            </w:pPr>
            <w:r>
              <w:rPr>
                <w:rFonts w:ascii="Arial" w:cs="Arial" w:eastAsia="Arial" w:hAnsi="Arial"/>
                <w:sz w:val="13"/>
                <w:szCs w:val="13"/>
                <w:b w:val="1"/>
                <w:bCs w:val="1"/>
                <w:color w:val="auto"/>
                <w:w w:val="86"/>
              </w:rPr>
              <w:t>for Future Issuance Under</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54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2"/>
              </w:rPr>
              <w:t>Issued Upon Exercise</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8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Equity Compensation</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4"/>
              </w:rPr>
              <w:t>of Outstanding</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Options,</w:t>
            </w:r>
          </w:p>
        </w:tc>
        <w:tc>
          <w:tcPr>
            <w:tcW w:w="18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Plans (Excluding</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Options, Warrants</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Warrants and</w:t>
            </w:r>
          </w:p>
        </w:tc>
        <w:tc>
          <w:tcPr>
            <w:tcW w:w="180" w:type="dxa"/>
            <w:vAlign w:val="bottom"/>
          </w:tcPr>
          <w:p>
            <w:pPr>
              <w:spacing w:after="0"/>
              <w:rPr>
                <w:sz w:val="12"/>
                <w:szCs w:val="12"/>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Securities Reflected in</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2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and Rights (a)</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5"/>
              </w:rPr>
              <w:t>Rights (b)</w:t>
            </w: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Column (a)) (c)</w:t>
            </w: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plans approved by</w:t>
            </w:r>
          </w:p>
        </w:tc>
        <w:tc>
          <w:tcPr>
            <w:tcW w:w="13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6"/>
                <w:szCs w:val="16"/>
                <w:color w:val="auto"/>
              </w:rPr>
              <w:t>75,118,032</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6"/>
                <w:szCs w:val="16"/>
                <w:color w:val="auto"/>
              </w:rPr>
              <w:t>$1.41</w:t>
            </w:r>
            <w:r>
              <w:rPr>
                <w:rFonts w:ascii="Arial" w:cs="Arial" w:eastAsia="Arial" w:hAnsi="Arial"/>
                <w:sz w:val="23"/>
                <w:szCs w:val="23"/>
                <w:color w:val="auto"/>
                <w:vertAlign w:val="superscript"/>
              </w:rPr>
              <w:t>(2)</w:t>
            </w:r>
          </w:p>
        </w:tc>
        <w:tc>
          <w:tcPr>
            <w:tcW w:w="1620" w:type="dxa"/>
            <w:vAlign w:val="bottom"/>
            <w:gridSpan w:val="2"/>
            <w:vMerge w:val="restart"/>
            <w:shd w:val="clear" w:color="auto" w:fill="CCEEFF"/>
          </w:tcPr>
          <w:p>
            <w:pPr>
              <w:jc w:val="right"/>
              <w:ind w:right="194"/>
              <w:spacing w:after="0"/>
              <w:rPr>
                <w:sz w:val="20"/>
                <w:szCs w:val="20"/>
                <w:color w:val="auto"/>
              </w:rPr>
            </w:pPr>
            <w:r>
              <w:rPr>
                <w:rFonts w:ascii="Arial" w:cs="Arial" w:eastAsia="Arial" w:hAnsi="Arial"/>
                <w:sz w:val="16"/>
                <w:szCs w:val="16"/>
                <w:color w:val="auto"/>
              </w:rPr>
              <w:t>8,834,256</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shareholders</w:t>
            </w:r>
          </w:p>
        </w:tc>
        <w:tc>
          <w:tcPr>
            <w:tcW w:w="13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Arial" w:cs="Arial" w:eastAsia="Arial" w:hAnsi="Arial"/>
                <w:sz w:val="16"/>
                <w:szCs w:val="16"/>
                <w:color w:val="auto"/>
              </w:rPr>
              <w:t>Equity compensation plans not approved by</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60"/>
              <w:spacing w:after="0"/>
              <w:rPr>
                <w:sz w:val="20"/>
                <w:szCs w:val="20"/>
                <w:color w:val="auto"/>
              </w:rPr>
            </w:pPr>
            <w:r>
              <w:rPr>
                <w:rFonts w:ascii="Arial" w:cs="Arial" w:eastAsia="Arial" w:hAnsi="Arial"/>
                <w:sz w:val="16"/>
                <w:szCs w:val="16"/>
                <w:color w:val="auto"/>
              </w:rPr>
              <w:t>shareholders</w:t>
            </w:r>
          </w:p>
        </w:tc>
        <w:tc>
          <w:tcPr>
            <w:tcW w:w="2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ind w:right="33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2"/>
            <w:shd w:val="clear" w:color="auto" w:fill="CCEEFF"/>
          </w:tcPr>
          <w:p>
            <w:pPr>
              <w:jc w:val="right"/>
              <w:ind w:right="153"/>
              <w:spacing w:after="0"/>
              <w:rPr>
                <w:sz w:val="20"/>
                <w:szCs w:val="20"/>
                <w:color w:val="auto"/>
              </w:rPr>
            </w:pPr>
            <w:r>
              <w:rPr>
                <w:rFonts w:ascii="Arial" w:cs="Arial" w:eastAsia="Arial" w:hAnsi="Arial"/>
                <w:sz w:val="16"/>
                <w:szCs w:val="16"/>
                <w:color w:val="auto"/>
              </w:rPr>
              <w:t>75,118,032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6"/>
                <w:szCs w:val="16"/>
                <w:color w:val="auto"/>
              </w:rPr>
              <w:t>$1.41</w:t>
            </w:r>
          </w:p>
        </w:tc>
        <w:tc>
          <w:tcPr>
            <w:tcW w:w="1620" w:type="dxa"/>
            <w:vAlign w:val="bottom"/>
            <w:gridSpan w:val="2"/>
            <w:shd w:val="clear" w:color="auto" w:fill="CCEEFF"/>
          </w:tcPr>
          <w:p>
            <w:pPr>
              <w:jc w:val="right"/>
              <w:ind w:right="334"/>
              <w:spacing w:after="0"/>
              <w:rPr>
                <w:sz w:val="20"/>
                <w:szCs w:val="20"/>
                <w:color w:val="auto"/>
              </w:rPr>
            </w:pPr>
            <w:r>
              <w:rPr>
                <w:rFonts w:ascii="Arial" w:cs="Arial" w:eastAsia="Arial" w:hAnsi="Arial"/>
                <w:sz w:val="16"/>
                <w:szCs w:val="16"/>
                <w:color w:val="auto"/>
              </w:rPr>
              <w:t>8,834,256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-676910</wp:posOffset>
            </wp:positionV>
            <wp:extent cx="1219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-676910</wp:posOffset>
            </wp:positionV>
            <wp:extent cx="12192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-676910</wp:posOffset>
            </wp:positionV>
            <wp:extent cx="1219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137160</wp:posOffset>
            </wp:positionV>
            <wp:extent cx="10960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339" w:lineRule="exact"/>
        <w:rPr>
          <w:sz w:val="20"/>
          <w:szCs w:val="20"/>
          <w:color w:val="auto"/>
        </w:rPr>
      </w:pPr>
    </w:p>
    <w:p>
      <w:pPr>
        <w:ind w:left="1440" w:right="1039" w:hanging="320"/>
        <w:spacing w:after="0" w:line="276" w:lineRule="auto"/>
        <w:tabs>
          <w:tab w:leader="none" w:pos="1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61,992,360 ordinary shares underlying outstanding restricted share units as of December 31, 2020.</w:t>
      </w:r>
    </w:p>
    <w:p>
      <w:pPr>
        <w:spacing w:after="0" w:line="32" w:lineRule="exact"/>
        <w:rPr>
          <w:rFonts w:ascii="Arial" w:cs="Arial" w:eastAsia="Arial" w:hAnsi="Arial"/>
          <w:sz w:val="16"/>
          <w:szCs w:val="16"/>
          <w:color w:val="auto"/>
        </w:rPr>
      </w:pPr>
    </w:p>
    <w:p>
      <w:pPr>
        <w:ind w:left="1440" w:right="1099" w:hanging="320"/>
        <w:spacing w:after="0" w:line="276" w:lineRule="auto"/>
        <w:tabs>
          <w:tab w:leader="none" w:pos="1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weighted average exercise price of outstanding options. Restricted share units are not taken into account for purposes of determining the weighted average exercise price.</w:t>
      </w:r>
    </w:p>
    <w:p>
      <w:pPr>
        <w:spacing w:after="0" w:line="44" w:lineRule="exact"/>
        <w:rPr>
          <w:rFonts w:ascii="Arial" w:cs="Arial" w:eastAsia="Arial" w:hAnsi="Arial"/>
          <w:sz w:val="16"/>
          <w:szCs w:val="16"/>
          <w:color w:val="auto"/>
        </w:rPr>
      </w:pPr>
    </w:p>
    <w:p>
      <w:pPr>
        <w:ind w:left="1440" w:right="979" w:hanging="320"/>
        <w:spacing w:after="0" w:line="249" w:lineRule="auto"/>
        <w:tabs>
          <w:tab w:leader="none" w:pos="1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Under the terms of our 2017 Plan, the number of common shares that may be issued under the 2017 Plan will automatically increase on January 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of each year, from January 1, 2021 continuing through January 1, 2030, by 1.5% of the total number of ordinary shares outstanding on December 31</w:t>
      </w:r>
      <w:r>
        <w:rPr>
          <w:rFonts w:ascii="Arial" w:cs="Arial" w:eastAsia="Arial" w:hAnsi="Arial"/>
          <w:sz w:val="20"/>
          <w:szCs w:val="20"/>
          <w:color w:val="auto"/>
          <w:vertAlign w:val="superscript"/>
        </w:rPr>
        <w:t>st</w:t>
      </w:r>
      <w:r>
        <w:rPr>
          <w:rFonts w:ascii="Arial" w:cs="Arial" w:eastAsia="Arial" w:hAnsi="Arial"/>
          <w:sz w:val="14"/>
          <w:szCs w:val="14"/>
          <w:color w:val="auto"/>
        </w:rPr>
        <w:t xml:space="preserve"> of the preceding calendar year, or a lesser number of shares as may be determined by the Board of Directors.</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Security Ownership of Certain Beneficial Owners and Management</w:t>
      </w:r>
    </w:p>
    <w:p>
      <w:pPr>
        <w:spacing w:after="0" w:line="142" w:lineRule="exact"/>
        <w:rPr>
          <w:sz w:val="20"/>
          <w:szCs w:val="20"/>
          <w:color w:val="auto"/>
        </w:rPr>
      </w:pPr>
    </w:p>
    <w:p>
      <w:pPr>
        <w:jc w:val="both"/>
        <w:ind w:left="1120" w:right="1359" w:firstLine="320"/>
        <w:spacing w:after="0" w:line="311" w:lineRule="auto"/>
        <w:rPr>
          <w:sz w:val="20"/>
          <w:szCs w:val="20"/>
          <w:color w:val="auto"/>
        </w:rPr>
      </w:pPr>
      <w:r>
        <w:rPr>
          <w:rFonts w:ascii="Arial" w:cs="Arial" w:eastAsia="Arial" w:hAnsi="Arial"/>
          <w:sz w:val="15"/>
          <w:szCs w:val="15"/>
          <w:color w:val="auto"/>
        </w:rPr>
        <w:t>The following table sets forth information with respect to the beneficial ownership of our voting ordinary shares (and our ADSs, each of which represents 8 ordinary shares), as of March 1, 2021, by:</w:t>
      </w:r>
    </w:p>
    <w:p>
      <w:pPr>
        <w:spacing w:after="0" w:line="44" w:lineRule="exact"/>
        <w:rPr>
          <w:sz w:val="20"/>
          <w:szCs w:val="20"/>
          <w:color w:val="auto"/>
        </w:rPr>
      </w:pPr>
    </w:p>
    <w:p>
      <w:pPr>
        <w:ind w:left="1600" w:right="879" w:hanging="160"/>
        <w:spacing w:after="0" w:line="276" w:lineRule="auto"/>
        <w:tabs>
          <w:tab w:leader="none" w:pos="1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ordinary shares;</w:t>
      </w:r>
    </w:p>
    <w:p>
      <w:pPr>
        <w:spacing w:after="0" w:line="68" w:lineRule="exact"/>
        <w:rPr>
          <w:rFonts w:ascii="Arial" w:cs="Arial" w:eastAsia="Arial" w:hAnsi="Arial"/>
          <w:sz w:val="16"/>
          <w:szCs w:val="16"/>
          <w:color w:val="auto"/>
        </w:rPr>
      </w:pPr>
    </w:p>
    <w:p>
      <w:pPr>
        <w:ind w:left="1600" w:hanging="160"/>
        <w:spacing w:after="0"/>
        <w:tabs>
          <w:tab w:leader="none" w:pos="1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of our named executive officers and directors (which includes all nominees); and</w:t>
      </w:r>
    </w:p>
    <w:p>
      <w:pPr>
        <w:spacing w:after="0" w:line="115" w:lineRule="exact"/>
        <w:rPr>
          <w:rFonts w:ascii="Arial" w:cs="Arial" w:eastAsia="Arial" w:hAnsi="Arial"/>
          <w:sz w:val="16"/>
          <w:szCs w:val="16"/>
          <w:color w:val="auto"/>
        </w:rPr>
      </w:pPr>
    </w:p>
    <w:p>
      <w:pPr>
        <w:ind w:left="1600" w:hanging="160"/>
        <w:spacing w:after="0"/>
        <w:tabs>
          <w:tab w:leader="none" w:pos="1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40" w:lineRule="exact"/>
        <w:rPr>
          <w:sz w:val="20"/>
          <w:szCs w:val="20"/>
          <w:color w:val="auto"/>
        </w:rPr>
      </w:pPr>
    </w:p>
    <w:p>
      <w:pPr>
        <w:ind w:left="1120" w:right="899" w:firstLine="320"/>
        <w:spacing w:after="0" w:line="272" w:lineRule="auto"/>
        <w:rPr>
          <w:sz w:val="20"/>
          <w:szCs w:val="20"/>
          <w:color w:val="auto"/>
        </w:rPr>
      </w:pPr>
      <w:r>
        <w:rPr>
          <w:rFonts w:ascii="Arial" w:cs="Arial" w:eastAsia="Arial" w:hAnsi="Arial"/>
          <w:sz w:val="15"/>
          <w:szCs w:val="15"/>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440,215,550 voting ordinary shares outstanding as of March 1, 2021, including ordinary shares in the form of ADSs. In computing the number of shares beneficially owned by an individual or entity and the percentage ownership of that person, ordinary shares subject to options, restricted share units or other rights held by such person that are currently exercisable or will become exercisable or will vest within 60 days of March 1, 2021 are considered outstanding, although these shares are not considered outstanding for purposes of computing the percentage ownership of any other person.</w:t>
      </w:r>
    </w:p>
    <w:p>
      <w:pPr>
        <w:spacing w:after="0" w:line="99" w:lineRule="exact"/>
        <w:rPr>
          <w:sz w:val="20"/>
          <w:szCs w:val="20"/>
          <w:color w:val="auto"/>
        </w:rPr>
      </w:pPr>
    </w:p>
    <w:p>
      <w:pPr>
        <w:ind w:left="1120" w:right="899" w:firstLine="320"/>
        <w:spacing w:after="0" w:line="259" w:lineRule="auto"/>
        <w:rPr>
          <w:sz w:val="20"/>
          <w:szCs w:val="20"/>
          <w:color w:val="auto"/>
        </w:rPr>
      </w:pPr>
      <w:r>
        <w:rPr>
          <w:rFonts w:ascii="Arial" w:cs="Arial" w:eastAsia="Arial" w:hAnsi="Arial"/>
          <w:sz w:val="16"/>
          <w:szCs w:val="16"/>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3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5" w:name="page46"/>
    <w:bookmarkEnd w:id="45"/>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24130</wp:posOffset>
            </wp:positionV>
            <wp:extent cx="4217035" cy="152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5% or greater shareholders: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AI Biotechnology LLC</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6"/>
          <w:szCs w:val="16"/>
          <w:color w:val="auto"/>
        </w:rPr>
        <w:t>RA Capital Management affiliates</w:t>
      </w:r>
      <w:r>
        <w:rPr>
          <w:rFonts w:ascii="Arial" w:cs="Arial" w:eastAsia="Arial" w:hAnsi="Arial"/>
          <w:sz w:val="23"/>
          <w:szCs w:val="23"/>
          <w:color w:val="auto"/>
          <w:vertAlign w:val="superscript"/>
        </w:rPr>
        <w:t>(2)</w:t>
      </w:r>
    </w:p>
    <w:p>
      <w:pPr>
        <w:ind w:left="1440"/>
        <w:spacing w:after="0" w:line="218" w:lineRule="auto"/>
        <w:rPr>
          <w:sz w:val="20"/>
          <w:szCs w:val="20"/>
          <w:color w:val="auto"/>
        </w:rPr>
      </w:pPr>
      <w:r>
        <w:rPr>
          <w:rFonts w:ascii="Arial" w:cs="Arial" w:eastAsia="Arial" w:hAnsi="Arial"/>
          <w:sz w:val="16"/>
          <w:szCs w:val="16"/>
          <w:color w:val="auto"/>
        </w:rPr>
        <w:t>New Enterprise Associates affiliates</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6"/>
          <w:szCs w:val="16"/>
          <w:color w:val="auto"/>
        </w:rPr>
        <w:t>OrbiMed affiliates</w:t>
      </w:r>
      <w:r>
        <w:rPr>
          <w:rFonts w:ascii="Arial" w:cs="Arial" w:eastAsia="Arial" w:hAnsi="Arial"/>
          <w:sz w:val="23"/>
          <w:szCs w:val="23"/>
          <w:color w:val="auto"/>
          <w:vertAlign w:val="superscript"/>
        </w:rPr>
        <w:t>(4)</w:t>
      </w:r>
    </w:p>
    <w:p>
      <w:pPr>
        <w:ind w:left="1440"/>
        <w:spacing w:after="0" w:line="218" w:lineRule="auto"/>
        <w:rPr>
          <w:sz w:val="20"/>
          <w:szCs w:val="20"/>
          <w:color w:val="auto"/>
        </w:rPr>
      </w:pPr>
      <w:r>
        <w:rPr>
          <w:rFonts w:ascii="Arial" w:cs="Arial" w:eastAsia="Arial" w:hAnsi="Arial"/>
          <w:sz w:val="16"/>
          <w:szCs w:val="16"/>
          <w:color w:val="auto"/>
        </w:rPr>
        <w:t>Vivo Capital affiliates</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6"/>
          <w:szCs w:val="16"/>
          <w:color w:val="auto"/>
        </w:rPr>
        <w:t>Perceptive Life Sciences Master Fund, Ltd.</w:t>
      </w:r>
      <w:r>
        <w:rPr>
          <w:rFonts w:ascii="Arial" w:cs="Arial" w:eastAsia="Arial" w:hAnsi="Arial"/>
          <w:sz w:val="23"/>
          <w:szCs w:val="23"/>
          <w:color w:val="auto"/>
          <w:vertAlign w:val="superscript"/>
        </w:rPr>
        <w:t>(6)</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Named Executive Officers,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18415</wp:posOffset>
            </wp:positionV>
            <wp:extent cx="4217035" cy="152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6"/>
          <w:szCs w:val="16"/>
          <w:color w:val="auto"/>
        </w:rPr>
        <w:t>David Zaccardelli, Pharm.D.</w:t>
      </w:r>
      <w:r>
        <w:rPr>
          <w:rFonts w:ascii="Arial" w:cs="Arial" w:eastAsia="Arial" w:hAnsi="Arial"/>
          <w:sz w:val="23"/>
          <w:szCs w:val="23"/>
          <w:color w:val="auto"/>
          <w:vertAlign w:val="superscript"/>
        </w:rPr>
        <w:t>(7)</w:t>
      </w:r>
    </w:p>
    <w:p>
      <w:pPr>
        <w:ind w:left="1440"/>
        <w:spacing w:after="0"/>
        <w:rPr>
          <w:sz w:val="20"/>
          <w:szCs w:val="20"/>
          <w:color w:val="auto"/>
        </w:rPr>
      </w:pPr>
      <w:r>
        <w:rPr>
          <w:rFonts w:ascii="Arial" w:cs="Arial" w:eastAsia="Arial" w:hAnsi="Arial"/>
          <w:sz w:val="16"/>
          <w:szCs w:val="16"/>
          <w:color w:val="auto"/>
        </w:rPr>
        <w:t>Ken Cunningham, M.D.</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-15875</wp:posOffset>
            </wp:positionV>
            <wp:extent cx="4217035" cy="144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17035" cy="144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6"/>
          <w:szCs w:val="16"/>
          <w:color w:val="auto"/>
        </w:rPr>
        <w:t>Lisa Deschamps</w:t>
      </w:r>
    </w:p>
    <w:p>
      <w:pPr>
        <w:ind w:left="1440"/>
        <w:spacing w:after="0" w:line="224" w:lineRule="auto"/>
        <w:rPr>
          <w:sz w:val="20"/>
          <w:szCs w:val="20"/>
          <w:color w:val="auto"/>
        </w:rPr>
      </w:pPr>
      <w:r>
        <w:rPr>
          <w:rFonts w:ascii="Arial" w:cs="Arial" w:eastAsia="Arial" w:hAnsi="Arial"/>
          <w:sz w:val="16"/>
          <w:szCs w:val="16"/>
          <w:color w:val="auto"/>
        </w:rPr>
        <w:t>David Ebsworth, Ph.D.</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6"/>
          <w:szCs w:val="16"/>
          <w:color w:val="auto"/>
        </w:rPr>
        <w:t>Martin Edwards, M.D.</w:t>
      </w:r>
      <w:r>
        <w:rPr>
          <w:rFonts w:ascii="Arial" w:cs="Arial" w:eastAsia="Arial" w:hAnsi="Arial"/>
          <w:sz w:val="23"/>
          <w:szCs w:val="23"/>
          <w:color w:val="auto"/>
          <w:vertAlign w:val="superscript"/>
        </w:rPr>
        <w:t>(10)</w:t>
      </w:r>
    </w:p>
    <w:p>
      <w:pPr>
        <w:ind w:left="1440"/>
        <w:spacing w:after="0" w:line="218" w:lineRule="auto"/>
        <w:rPr>
          <w:sz w:val="20"/>
          <w:szCs w:val="20"/>
          <w:color w:val="auto"/>
        </w:rPr>
      </w:pPr>
      <w:r>
        <w:rPr>
          <w:rFonts w:ascii="Arial" w:cs="Arial" w:eastAsia="Arial" w:hAnsi="Arial"/>
          <w:sz w:val="16"/>
          <w:szCs w:val="16"/>
          <w:color w:val="auto"/>
        </w:rPr>
        <w:t>Rishi Gupta</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7" w:lineRule="auto"/>
        <w:rPr>
          <w:sz w:val="20"/>
          <w:szCs w:val="20"/>
          <w:color w:val="auto"/>
        </w:rPr>
      </w:pPr>
      <w:r>
        <w:rPr>
          <w:rFonts w:ascii="Arial" w:cs="Arial" w:eastAsia="Arial" w:hAnsi="Arial"/>
          <w:sz w:val="16"/>
          <w:szCs w:val="16"/>
          <w:color w:val="auto"/>
        </w:rPr>
        <w:t>Mahendra Shah, Ph.D.</w:t>
      </w:r>
      <w:r>
        <w:rPr>
          <w:rFonts w:ascii="Arial" w:cs="Arial" w:eastAsia="Arial" w:hAnsi="Arial"/>
          <w:sz w:val="23"/>
          <w:szCs w:val="23"/>
          <w:color w:val="auto"/>
          <w:vertAlign w:val="superscript"/>
        </w:rPr>
        <w:t>(12)</w:t>
      </w:r>
    </w:p>
    <w:p>
      <w:pPr>
        <w:ind w:left="1440"/>
        <w:spacing w:after="0" w:line="218" w:lineRule="auto"/>
        <w:rPr>
          <w:sz w:val="20"/>
          <w:szCs w:val="20"/>
          <w:color w:val="auto"/>
        </w:rPr>
      </w:pPr>
      <w:r>
        <w:rPr>
          <w:rFonts w:ascii="Arial" w:cs="Arial" w:eastAsia="Arial" w:hAnsi="Arial"/>
          <w:sz w:val="16"/>
          <w:szCs w:val="16"/>
          <w:color w:val="auto"/>
        </w:rPr>
        <w:t>Andrew Sinclair, Ph.D.</w:t>
      </w:r>
      <w:r>
        <w:rPr>
          <w:rFonts w:ascii="Arial" w:cs="Arial" w:eastAsia="Arial" w:hAnsi="Arial"/>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8" w:lineRule="auto"/>
        <w:rPr>
          <w:sz w:val="20"/>
          <w:szCs w:val="20"/>
          <w:color w:val="auto"/>
        </w:rPr>
      </w:pPr>
      <w:r>
        <w:rPr>
          <w:rFonts w:ascii="Arial" w:cs="Arial" w:eastAsia="Arial" w:hAnsi="Arial"/>
          <w:sz w:val="16"/>
          <w:szCs w:val="16"/>
          <w:color w:val="auto"/>
        </w:rPr>
        <w:t>Vikas Sinha</w:t>
      </w:r>
      <w:r>
        <w:rPr>
          <w:rFonts w:ascii="Arial" w:cs="Arial" w:eastAsia="Arial" w:hAnsi="Arial"/>
          <w:sz w:val="23"/>
          <w:szCs w:val="23"/>
          <w:color w:val="auto"/>
          <w:vertAlign w:val="superscript"/>
        </w:rPr>
        <w:t>(14)</w:t>
      </w:r>
    </w:p>
    <w:p>
      <w:pPr>
        <w:ind w:left="1440"/>
        <w:spacing w:after="0" w:line="217" w:lineRule="auto"/>
        <w:rPr>
          <w:sz w:val="20"/>
          <w:szCs w:val="20"/>
          <w:color w:val="auto"/>
        </w:rPr>
      </w:pPr>
      <w:r>
        <w:rPr>
          <w:rFonts w:ascii="Arial" w:cs="Arial" w:eastAsia="Arial" w:hAnsi="Arial"/>
          <w:sz w:val="16"/>
          <w:szCs w:val="16"/>
          <w:color w:val="auto"/>
        </w:rPr>
        <w:t>Anders Ullman, M.D., Ph.D.</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8" w:lineRule="auto"/>
        <w:rPr>
          <w:sz w:val="20"/>
          <w:szCs w:val="20"/>
          <w:color w:val="auto"/>
        </w:rPr>
      </w:pPr>
      <w:r>
        <w:rPr>
          <w:rFonts w:ascii="Arial" w:cs="Arial" w:eastAsia="Arial" w:hAnsi="Arial"/>
          <w:sz w:val="16"/>
          <w:szCs w:val="16"/>
          <w:color w:val="auto"/>
        </w:rPr>
        <w:t>Mark W. Hahn</w:t>
      </w:r>
      <w:r>
        <w:rPr>
          <w:rFonts w:ascii="Arial" w:cs="Arial" w:eastAsia="Arial" w:hAnsi="Arial"/>
          <w:sz w:val="23"/>
          <w:szCs w:val="23"/>
          <w:color w:val="auto"/>
          <w:vertAlign w:val="superscript"/>
        </w:rPr>
        <w:t>(16)</w:t>
      </w:r>
    </w:p>
    <w:p>
      <w:pPr>
        <w:ind w:left="1440"/>
        <w:spacing w:after="0" w:line="217" w:lineRule="auto"/>
        <w:rPr>
          <w:sz w:val="20"/>
          <w:szCs w:val="20"/>
          <w:color w:val="auto"/>
        </w:rPr>
      </w:pPr>
      <w:r>
        <w:rPr>
          <w:rFonts w:ascii="Arial" w:cs="Arial" w:eastAsia="Arial" w:hAnsi="Arial"/>
          <w:sz w:val="16"/>
          <w:szCs w:val="16"/>
          <w:color w:val="auto"/>
        </w:rPr>
        <w:t xml:space="preserve">Kathleen Rickard, M.D. </w:t>
      </w:r>
      <w:r>
        <w:rPr>
          <w:rFonts w:ascii="Arial" w:cs="Arial" w:eastAsia="Arial" w:hAnsi="Arial"/>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0</wp:posOffset>
            </wp:positionV>
            <wp:extent cx="4217035" cy="152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17035" cy="152400"/>
                    </a:xfrm>
                    <a:prstGeom prst="rect">
                      <a:avLst/>
                    </a:prstGeom>
                    <a:noFill/>
                  </pic:spPr>
                </pic:pic>
              </a:graphicData>
            </a:graphic>
          </wp:anchor>
        </w:drawing>
      </w:r>
    </w:p>
    <w:p>
      <w:pPr>
        <w:ind w:left="1440"/>
        <w:spacing w:after="0" w:line="218" w:lineRule="auto"/>
        <w:rPr>
          <w:sz w:val="20"/>
          <w:szCs w:val="20"/>
          <w:color w:val="auto"/>
        </w:rPr>
      </w:pPr>
      <w:r>
        <w:rPr>
          <w:rFonts w:ascii="Arial" w:cs="Arial" w:eastAsia="Arial" w:hAnsi="Arial"/>
          <w:sz w:val="16"/>
          <w:szCs w:val="16"/>
          <w:color w:val="auto"/>
        </w:rPr>
        <w:t xml:space="preserve">Jan-Anders Karlsson, Ph.D. </w:t>
      </w:r>
      <w:r>
        <w:rPr>
          <w:rFonts w:ascii="Arial" w:cs="Arial" w:eastAsia="Arial" w:hAnsi="Arial"/>
          <w:sz w:val="23"/>
          <w:szCs w:val="23"/>
          <w:color w:val="auto"/>
          <w:vertAlign w:val="superscript"/>
        </w:rPr>
        <w:t>(18)</w:t>
      </w:r>
    </w:p>
    <w:p>
      <w:pPr>
        <w:ind w:left="1440"/>
        <w:spacing w:after="0"/>
        <w:rPr>
          <w:sz w:val="20"/>
          <w:szCs w:val="20"/>
          <w:color w:val="auto"/>
        </w:rPr>
      </w:pPr>
      <w:r>
        <w:rPr>
          <w:rFonts w:ascii="Arial" w:cs="Arial" w:eastAsia="Arial" w:hAnsi="Arial"/>
          <w:sz w:val="15"/>
          <w:szCs w:val="15"/>
          <w:color w:val="auto"/>
        </w:rPr>
        <w:t>All directors and executive officers as a group (14 persons)</w:t>
      </w:r>
      <w:r>
        <w:rPr>
          <w:rFonts w:ascii="Arial" w:cs="Arial" w:eastAsia="Arial" w:hAnsi="Arial"/>
          <w:sz w:val="22"/>
          <w:szCs w:val="22"/>
          <w:color w:val="auto"/>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113030</wp:posOffset>
            </wp:positionV>
            <wp:extent cx="10960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86804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8045" cy="7620"/>
                    </a:xfrm>
                    <a:prstGeom prst="rect">
                      <a:avLst/>
                    </a:prstGeom>
                    <a:noFill/>
                  </pic:spPr>
                </pic:pic>
              </a:graphicData>
            </a:graphic>
          </wp:anchor>
        </w:drawing>
      </w:r>
    </w:p>
    <w:p>
      <w:pPr>
        <w:spacing w:after="0" w:line="69"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3"/>
          <w:szCs w:val="13"/>
          <w:b w:val="1"/>
          <w:bCs w:val="1"/>
          <w:color w:val="auto"/>
        </w:rPr>
        <w:t>Number</w:t>
      </w:r>
      <w:r>
        <w:rPr>
          <w:sz w:val="20"/>
          <w:szCs w:val="20"/>
          <w:color w:val="auto"/>
        </w:rPr>
        <w:tab/>
      </w:r>
      <w:r>
        <w:rPr>
          <w:rFonts w:ascii="Arial" w:cs="Arial" w:eastAsia="Arial" w:hAnsi="Arial"/>
          <w:sz w:val="13"/>
          <w:szCs w:val="13"/>
          <w:b w:val="1"/>
          <w:bCs w:val="1"/>
          <w:color w:val="auto"/>
        </w:rPr>
        <w:t>Percent</w:t>
      </w:r>
    </w:p>
    <w:p>
      <w:pPr>
        <w:spacing w:after="0" w:line="313" w:lineRule="exact"/>
        <w:rPr>
          <w:sz w:val="20"/>
          <w:szCs w:val="20"/>
          <w:color w:val="auto"/>
        </w:rPr>
      </w:pPr>
    </w:p>
    <w:p>
      <w:pPr>
        <w:jc w:val="center"/>
        <w:ind w:right="1139"/>
        <w:spacing w:after="0"/>
        <w:tabs>
          <w:tab w:leader="none" w:pos="260" w:val="left"/>
        </w:tabs>
        <w:rPr>
          <w:sz w:val="20"/>
          <w:szCs w:val="20"/>
          <w:color w:val="auto"/>
        </w:rPr>
      </w:pPr>
      <w:r>
        <w:rPr>
          <w:rFonts w:ascii="Arial" w:cs="Arial" w:eastAsia="Arial" w:hAnsi="Arial"/>
          <w:sz w:val="16"/>
          <w:szCs w:val="16"/>
          <w:color w:val="auto"/>
        </w:rPr>
        <w:t>44,444,448</w:t>
      </w:r>
      <w:r>
        <w:rPr>
          <w:sz w:val="20"/>
          <w:szCs w:val="20"/>
          <w:color w:val="auto"/>
        </w:rPr>
        <w:tab/>
      </w:r>
      <w:r>
        <w:rPr>
          <w:rFonts w:ascii="Arial" w:cs="Arial" w:eastAsia="Arial" w:hAnsi="Arial"/>
          <w:sz w:val="16"/>
          <w:szCs w:val="16"/>
          <w:color w:val="auto"/>
        </w:rPr>
        <w:t>10.1%</w:t>
      </w:r>
    </w:p>
    <w:p>
      <w:pPr>
        <w:spacing w:after="0" w:line="5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43,581,339</w:t>
      </w:r>
      <w:r>
        <w:rPr>
          <w:sz w:val="20"/>
          <w:szCs w:val="20"/>
          <w:color w:val="auto"/>
        </w:rPr>
        <w:tab/>
      </w:r>
      <w:r>
        <w:rPr>
          <w:rFonts w:ascii="Arial" w:cs="Arial" w:eastAsia="Arial" w:hAnsi="Arial"/>
          <w:sz w:val="14"/>
          <w:szCs w:val="14"/>
          <w:color w:val="auto"/>
        </w:rPr>
        <w:t>9.9%</w:t>
      </w:r>
    </w:p>
    <w:p>
      <w:pPr>
        <w:spacing w:after="0" w:line="7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42,638,131</w:t>
      </w:r>
      <w:r>
        <w:rPr>
          <w:sz w:val="20"/>
          <w:szCs w:val="20"/>
          <w:color w:val="auto"/>
        </w:rPr>
        <w:tab/>
      </w:r>
      <w:r>
        <w:rPr>
          <w:rFonts w:ascii="Arial" w:cs="Arial" w:eastAsia="Arial" w:hAnsi="Arial"/>
          <w:sz w:val="14"/>
          <w:szCs w:val="14"/>
          <w:color w:val="auto"/>
        </w:rPr>
        <w:t>9.6%</w:t>
      </w:r>
    </w:p>
    <w:p>
      <w:pPr>
        <w:spacing w:after="0" w:line="7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42,093,330</w:t>
      </w:r>
      <w:r>
        <w:rPr>
          <w:sz w:val="20"/>
          <w:szCs w:val="20"/>
          <w:color w:val="auto"/>
        </w:rPr>
        <w:tab/>
      </w:r>
      <w:r>
        <w:rPr>
          <w:rFonts w:ascii="Arial" w:cs="Arial" w:eastAsia="Arial" w:hAnsi="Arial"/>
          <w:sz w:val="14"/>
          <w:szCs w:val="14"/>
          <w:color w:val="auto"/>
        </w:rPr>
        <w:t>9.5%</w:t>
      </w:r>
    </w:p>
    <w:p>
      <w:pPr>
        <w:spacing w:after="0" w:line="7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26,256,032</w:t>
      </w:r>
      <w:r>
        <w:rPr>
          <w:sz w:val="20"/>
          <w:szCs w:val="20"/>
          <w:color w:val="auto"/>
        </w:rPr>
        <w:tab/>
      </w:r>
      <w:r>
        <w:rPr>
          <w:rFonts w:ascii="Arial" w:cs="Arial" w:eastAsia="Arial" w:hAnsi="Arial"/>
          <w:sz w:val="14"/>
          <w:szCs w:val="14"/>
          <w:color w:val="auto"/>
        </w:rPr>
        <w:t>6.0%</w:t>
      </w:r>
    </w:p>
    <w:p>
      <w:pPr>
        <w:spacing w:after="0" w:line="79"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color w:val="auto"/>
        </w:rPr>
        <w:t>23,111,112</w:t>
      </w:r>
      <w:r>
        <w:rPr>
          <w:sz w:val="20"/>
          <w:szCs w:val="20"/>
          <w:color w:val="auto"/>
        </w:rPr>
        <w:tab/>
      </w:r>
      <w:r>
        <w:rPr>
          <w:rFonts w:ascii="Arial" w:cs="Arial" w:eastAsia="Arial" w:hAnsi="Arial"/>
          <w:sz w:val="14"/>
          <w:szCs w:val="14"/>
          <w:color w:val="auto"/>
        </w:rPr>
        <w:t>5.2%</w:t>
      </w:r>
    </w:p>
    <w:p>
      <w:pPr>
        <w:spacing w:after="0" w:line="307" w:lineRule="exact"/>
        <w:rPr>
          <w:sz w:val="20"/>
          <w:szCs w:val="20"/>
          <w:color w:val="auto"/>
        </w:rPr>
      </w:pPr>
    </w:p>
    <w:p>
      <w:pPr>
        <w:ind w:left="80"/>
        <w:spacing w:after="0"/>
        <w:tabs>
          <w:tab w:leader="none" w:pos="1180" w:val="left"/>
        </w:tabs>
        <w:rPr>
          <w:sz w:val="20"/>
          <w:szCs w:val="20"/>
          <w:color w:val="auto"/>
        </w:rPr>
      </w:pPr>
      <w:r>
        <w:rPr>
          <w:rFonts w:ascii="Arial" w:cs="Arial" w:eastAsia="Arial" w:hAnsi="Arial"/>
          <w:sz w:val="16"/>
          <w:szCs w:val="16"/>
          <w:color w:val="auto"/>
        </w:rPr>
        <w:t>1,027,056</w:t>
      </w:r>
      <w:r>
        <w:rPr>
          <w:sz w:val="20"/>
          <w:szCs w:val="20"/>
          <w:color w:val="auto"/>
        </w:rPr>
        <w:tab/>
      </w:r>
      <w:r>
        <w:rPr>
          <w:rFonts w:ascii="Arial" w:cs="Arial" w:eastAsia="Arial" w:hAnsi="Arial"/>
          <w:sz w:val="16"/>
          <w:szCs w:val="16"/>
          <w:color w:val="auto"/>
        </w:rPr>
        <w:t>*</w:t>
      </w:r>
    </w:p>
    <w:p>
      <w:pPr>
        <w:spacing w:after="0" w:line="56" w:lineRule="exact"/>
        <w:rPr>
          <w:sz w:val="20"/>
          <w:szCs w:val="20"/>
          <w:color w:val="auto"/>
        </w:rPr>
      </w:pPr>
    </w:p>
    <w:p>
      <w:pPr>
        <w:ind w:left="280"/>
        <w:spacing w:after="0"/>
        <w:tabs>
          <w:tab w:leader="none" w:pos="1180" w:val="left"/>
        </w:tabs>
        <w:rPr>
          <w:sz w:val="20"/>
          <w:szCs w:val="20"/>
          <w:color w:val="auto"/>
        </w:rPr>
      </w:pPr>
      <w:r>
        <w:rPr>
          <w:rFonts w:ascii="Arial" w:cs="Arial" w:eastAsia="Arial" w:hAnsi="Arial"/>
          <w:sz w:val="16"/>
          <w:szCs w:val="16"/>
          <w:color w:val="auto"/>
        </w:rPr>
        <w:t>50,696</w:t>
      </w:r>
      <w:r>
        <w:rPr>
          <w:sz w:val="20"/>
          <w:szCs w:val="20"/>
          <w:color w:val="auto"/>
        </w:rPr>
        <w:tab/>
      </w:r>
      <w:r>
        <w:rPr>
          <w:rFonts w:ascii="Arial" w:cs="Arial" w:eastAsia="Arial" w:hAnsi="Arial"/>
          <w:sz w:val="16"/>
          <w:szCs w:val="16"/>
          <w:color w:val="auto"/>
        </w:rPr>
        <w:t>*</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671,747*</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94,088*</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139,200*</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54,760*</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139,200*</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175,840*</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336,112*</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453,992*</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351,664*</w:t>
      </w:r>
    </w:p>
    <w:p>
      <w:pPr>
        <w:spacing w:after="0" w:line="56"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color w:val="auto"/>
        </w:rPr>
        <w:t>4,368,953</w:t>
      </w:r>
      <w:r>
        <w:rPr>
          <w:sz w:val="20"/>
          <w:szCs w:val="20"/>
          <w:color w:val="auto"/>
        </w:rPr>
        <w:tab/>
      </w:r>
      <w:r>
        <w:rPr>
          <w:rFonts w:ascii="Arial" w:cs="Arial" w:eastAsia="Arial" w:hAnsi="Arial"/>
          <w:sz w:val="14"/>
          <w:szCs w:val="14"/>
          <w:color w:val="auto"/>
        </w:rPr>
        <w:t>1.0%</w:t>
      </w:r>
    </w:p>
    <w:p>
      <w:pPr>
        <w:spacing w:after="0" w:line="79"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4"/>
          <w:szCs w:val="14"/>
          <w:color w:val="auto"/>
        </w:rPr>
        <w:t>9,156,883</w:t>
      </w:r>
      <w:r>
        <w:rPr>
          <w:sz w:val="20"/>
          <w:szCs w:val="20"/>
          <w:color w:val="auto"/>
        </w:rPr>
        <w:tab/>
      </w:r>
      <w:r>
        <w:rPr>
          <w:rFonts w:ascii="Arial" w:cs="Arial" w:eastAsia="Arial" w:hAnsi="Arial"/>
          <w:sz w:val="14"/>
          <w:szCs w:val="14"/>
          <w:color w:val="auto"/>
        </w:rPr>
        <w:t>2.1%</w:t>
      </w:r>
    </w:p>
    <w:p>
      <w:pPr>
        <w:spacing w:after="0" w:line="257" w:lineRule="exact"/>
        <w:rPr>
          <w:sz w:val="20"/>
          <w:szCs w:val="20"/>
          <w:color w:val="auto"/>
        </w:rPr>
      </w:pPr>
    </w:p>
    <w:p>
      <w:pPr>
        <w:sectPr>
          <w:pgSz w:w="11900" w:h="16838" w:orient="portrait"/>
          <w:cols w:equalWidth="0" w:num="2">
            <w:col w:w="6000" w:space="720"/>
            <w:col w:w="2559"/>
          </w:cols>
          <w:pgMar w:left="1180" w:top="132" w:right="1440" w:bottom="1440" w:gutter="0" w:footer="0" w:header="0"/>
        </w:sectPr>
      </w:pPr>
    </w:p>
    <w:p>
      <w:pPr>
        <w:spacing w:after="0" w:line="109" w:lineRule="exact"/>
        <w:rPr>
          <w:sz w:val="20"/>
          <w:szCs w:val="20"/>
          <w:color w:val="auto"/>
        </w:rPr>
      </w:pPr>
    </w:p>
    <w:p>
      <w:pPr>
        <w:ind w:left="1440" w:hanging="320"/>
        <w:spacing w:after="0"/>
        <w:tabs>
          <w:tab w:leader="none" w:pos="1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Indicates beneficial ownership of less than 1% of the total outstanding ordinary shares.</w:t>
      </w:r>
    </w:p>
    <w:p>
      <w:pPr>
        <w:spacing w:after="0" w:line="68" w:lineRule="exact"/>
        <w:rPr>
          <w:sz w:val="20"/>
          <w:szCs w:val="20"/>
          <w:color w:val="auto"/>
        </w:rPr>
      </w:pPr>
    </w:p>
    <w:p>
      <w:pPr>
        <w:ind w:left="1440" w:right="959" w:hanging="320"/>
        <w:spacing w:after="0" w:line="269" w:lineRule="auto"/>
        <w:tabs>
          <w:tab w:leader="none" w:pos="14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Consists of 44,444,448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 filed with the SEC on July 24, 2020. The mailing address of AI, Access Holdings, Access Industries and</w:t>
      </w:r>
    </w:p>
    <w:p>
      <w:pPr>
        <w:ind w:left="1440"/>
        <w:spacing w:after="0"/>
        <w:rPr>
          <w:rFonts w:ascii="Arial" w:cs="Arial" w:eastAsia="Arial" w:hAnsi="Arial"/>
          <w:sz w:val="15"/>
          <w:szCs w:val="15"/>
          <w:color w:val="auto"/>
        </w:rPr>
      </w:pPr>
      <w:r>
        <w:rPr>
          <w:rFonts w:ascii="Arial" w:cs="Arial" w:eastAsia="Arial" w:hAnsi="Arial"/>
          <w:sz w:val="16"/>
          <w:szCs w:val="16"/>
          <w:color w:val="auto"/>
        </w:rPr>
        <w:t>Mr. Blavatnik is 40 West 57th Street, 28th Floor, New York, NY 10019.</w:t>
      </w:r>
    </w:p>
    <w:p>
      <w:pPr>
        <w:spacing w:after="0" w:line="55" w:lineRule="exact"/>
        <w:rPr>
          <w:rFonts w:ascii="Arial" w:cs="Arial" w:eastAsia="Arial" w:hAnsi="Arial"/>
          <w:sz w:val="15"/>
          <w:szCs w:val="15"/>
          <w:color w:val="auto"/>
        </w:rPr>
      </w:pPr>
    </w:p>
    <w:p>
      <w:pPr>
        <w:ind w:left="1440" w:right="959" w:hanging="320"/>
        <w:spacing w:after="0" w:line="271" w:lineRule="auto"/>
        <w:tabs>
          <w:tab w:leader="none" w:pos="14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Consists of (a) 36,770,504 ordinary shares held directly by RA Capital Healthcare Fund, L.P., or RA Capital, all of which are held in the form of ADSs, (b) 43,339,542 non-voting ordinary shares to be re-designated as ordinary shares, held directly by RA Capital, (c) 4,029,496 ordinary shares held directly by Blackwell Partners LLC — Series A, or Blackwell, all of which are held in the form of ADSs, and</w:t>
      </w:r>
    </w:p>
    <w:p>
      <w:pPr>
        <w:ind w:left="1440" w:right="899"/>
        <w:spacing w:after="0" w:line="269" w:lineRule="auto"/>
        <w:rPr>
          <w:rFonts w:ascii="Arial" w:cs="Arial" w:eastAsia="Arial" w:hAnsi="Arial"/>
          <w:sz w:val="15"/>
          <w:szCs w:val="15"/>
          <w:color w:val="auto"/>
        </w:rPr>
      </w:pPr>
      <w:r>
        <w:rPr>
          <w:rFonts w:ascii="Arial" w:cs="Arial" w:eastAsia="Arial" w:hAnsi="Arial"/>
          <w:sz w:val="15"/>
          <w:szCs w:val="15"/>
          <w:color w:val="auto"/>
        </w:rPr>
        <w:t>(d) 4,749,354 non-voting ordinary shares to be re-designated as ordinary shares, held directly by Blackwell. RA Capital and Blackwell may elect to have any portion of their non-voting ordinary shares re-designated as voting ordinary shares at any time, unless, immediately following such conversion, they would beneficially own more than 9.99% of the outstanding ordinary shares. If RA Capital or Blackwell would beneficially own more than 9.99% of the outstanding ordinary shares following such re-designation, then the re-designation would occur no earlier than 61 days following the election for such re-designation. RA Capital Management, L.P., or Adviser, is the investment manager for RA Capital and Blackwell. The general partner of the Adviser is RA Capital Management GP, LLC, or Adviser GP, of which Dr. Peter Kolchinsky and Mr. Rajeev Shah are the managing members. The Adviser, the Adviser GP, Dr. Kolchinsky, and Mr. Shah disclaim beneficial ownership of securities held</w:t>
      </w: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type w:val="continuous"/>
        </w:sectPr>
      </w:pPr>
    </w:p>
    <w:bookmarkStart w:id="46" w:name="page47"/>
    <w:bookmarkEnd w:id="46"/>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40" w:right="1459"/>
        <w:spacing w:after="0" w:line="272" w:lineRule="auto"/>
        <w:rPr>
          <w:sz w:val="20"/>
          <w:szCs w:val="20"/>
          <w:color w:val="auto"/>
        </w:rPr>
      </w:pPr>
      <w:r>
        <w:rPr>
          <w:rFonts w:ascii="Arial" w:cs="Arial" w:eastAsia="Arial" w:hAnsi="Arial"/>
          <w:sz w:val="15"/>
          <w:szCs w:val="15"/>
          <w:color w:val="auto"/>
        </w:rPr>
        <w:t>by RA Capital and Blackwell except to the extent of their pecuniary interest therein. Beneficial ownership information is based on a Schedule 13G filed on February 16, 2021. RA Capital Management’s mailing address is 200 Berkeley Street, 18th Floor, Boston, MA 02116.</w:t>
      </w:r>
    </w:p>
    <w:p>
      <w:pPr>
        <w:spacing w:after="0" w:line="13" w:lineRule="exact"/>
        <w:rPr>
          <w:sz w:val="20"/>
          <w:szCs w:val="20"/>
          <w:color w:val="auto"/>
        </w:rPr>
      </w:pPr>
    </w:p>
    <w:p>
      <w:pPr>
        <w:ind w:left="1440" w:right="879" w:hanging="320"/>
        <w:spacing w:after="0" w:line="268" w:lineRule="auto"/>
        <w:tabs>
          <w:tab w:leader="none" w:pos="14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Consists of (a) 9,757,393 ordinary shares held directly by Growth Equity Opportunities Fund IV, LLC, or GEO, of which 5,333,328 are held in the form of ADSs, (b) warrants to purchase 1,769,626 ordinary shares held directly by GEO, and (c) 31,111,112 ordinary shares held directly by Growth Equity Opportunities 17, LP, or GEO 17, all of which are held in the form of ADSs. New Enterprise Associates 15, L.P., or NEA 15, is the sole member of GEO. NEA Partners 15, L.P.,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Joshua Makower, Edward Mathers, Scott 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August 3, 2020. GEO’s and GEO 17’s mailing address is 1954 Greenspring Drive, Suite 600, Timonium, MD 21093-4135.</w:t>
      </w:r>
    </w:p>
    <w:p>
      <w:pPr>
        <w:spacing w:after="0" w:line="233" w:lineRule="exact"/>
        <w:rPr>
          <w:rFonts w:ascii="Arial" w:cs="Arial" w:eastAsia="Arial" w:hAnsi="Arial"/>
          <w:sz w:val="15"/>
          <w:szCs w:val="15"/>
          <w:color w:val="auto"/>
        </w:rPr>
      </w:pPr>
    </w:p>
    <w:p>
      <w:pPr>
        <w:ind w:left="1440" w:right="879" w:hanging="320"/>
        <w:spacing w:after="0" w:line="270" w:lineRule="auto"/>
        <w:tabs>
          <w:tab w:leader="none" w:pos="14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Consists of (a) 40,225,392 ordinary shares held directly by OrbiMed Private Investments VI, LP, or OPI VI, all of which are held in the form of ADSs and (b) warrants to purchase 1,867,938 ordinary shares are held directly by OPI VI. OrbiMed Capital GP VI LLC, or OrbiMed GP VI, is the general partner of OPI VI. OrbiMed Advisors LLC, or OrbiMed Advisors,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Advisors exercises this investment and voting power through a management committee comprised of Carl L. Gordon, Sven H. Borho, and Jonathan T. Silverstein, each of whom disclaims beneficial ownership of the ordinary shares held by OPI VI. Beneficial ownership information is based on information known to us and a Schedule 13 D/A filed with the SEC on January 26, 2018. The mailing address of OPI VI, OrbiMed GP VI, and OrbiMed Advisors is c/o OrbiMed Advisors LLC, 601 Lexington Avenue, 54th Floor, New York, NY 10022.</w:t>
      </w:r>
    </w:p>
    <w:p>
      <w:pPr>
        <w:spacing w:after="0" w:line="32" w:lineRule="exact"/>
        <w:rPr>
          <w:rFonts w:ascii="Arial" w:cs="Arial" w:eastAsia="Arial" w:hAnsi="Arial"/>
          <w:sz w:val="15"/>
          <w:szCs w:val="15"/>
          <w:color w:val="auto"/>
        </w:rPr>
      </w:pPr>
    </w:p>
    <w:p>
      <w:pPr>
        <w:ind w:left="1440" w:right="999" w:hanging="320"/>
        <w:spacing w:after="0" w:line="269" w:lineRule="auto"/>
        <w:tabs>
          <w:tab w:leader="none" w:pos="14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11,990,717 ordinary shares held directly by Vivo Ventures Fund VII L.P., or Vivo VII, of which 6,942,840 are held in the form of ADSs, (e) 53,088 ordinary shares held directly by Vivo Ventures VII Affiliates Fund, L.P., or Vivo Affiliates VII, all of which are held in the form of ADSs, (f) 9,955,560 ordinary shares held directly by Vivo Ventures Fund Cayman VII, L.P., or Vivo Ventures Cayman VII, all of which are held in the form of ADSs,</w:t>
      </w:r>
    </w:p>
    <w:p>
      <w:pPr>
        <w:ind w:left="1440" w:right="979"/>
        <w:spacing w:after="0" w:line="251" w:lineRule="auto"/>
        <w:rPr>
          <w:rFonts w:ascii="Arial" w:cs="Arial" w:eastAsia="Arial" w:hAnsi="Arial"/>
          <w:sz w:val="15"/>
          <w:szCs w:val="15"/>
          <w:color w:val="auto"/>
        </w:rPr>
      </w:pPr>
      <w:r>
        <w:rPr>
          <w:rFonts w:ascii="Arial" w:cs="Arial" w:eastAsia="Arial" w:hAnsi="Arial"/>
          <w:sz w:val="16"/>
          <w:szCs w:val="16"/>
          <w:color w:val="auto"/>
        </w:rPr>
        <w:t>(g) warrants to purchase 1,462,477 ordinary shares held directly by Vivo VII, (h) warrants to purchase 31,874 ordinary shares held directly by Vivo Affiliates VII. Vivo Ventures VI, LLC, or Vivo Ventures VI, is the sole general partner of Vivo VI and Vivo Affiliates VI. Vivo Ventures VII, LLC, or Vivo Ventures VII, is the sole general partner of Vivo VII, Vivo Affiliates VII and Vivo Ventures Cayman VII. Vivo Ventures VI and Vivo Ventures VII disclaim beneficial ownership of all shares held by Vivo VI, Vivo Affiliates VI, Vivo VII,Vivo Affiliates VII and Vivo Ventures Cayman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VII are</w:t>
      </w:r>
    </w:p>
    <w:p>
      <w:pPr>
        <w:spacing w:after="0" w:line="3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606171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7" w:name="page48"/>
    <w:bookmarkEnd w:id="47"/>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440" w:right="1159"/>
        <w:spacing w:after="0" w:line="259" w:lineRule="auto"/>
        <w:rPr>
          <w:sz w:val="20"/>
          <w:szCs w:val="20"/>
          <w:color w:val="auto"/>
        </w:rPr>
      </w:pPr>
      <w:r>
        <w:rPr>
          <w:rFonts w:ascii="Arial" w:cs="Arial" w:eastAsia="Arial" w:hAnsi="Arial"/>
          <w:sz w:val="15"/>
          <w:szCs w:val="15"/>
          <w:color w:val="auto"/>
        </w:rPr>
        <w:t>Drs. Albert Cha, Edgar Engleman, Frank Kung,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Beneficial ownership information is based on information known to us and a Schedule 13G/A filed with the SEC on July 24, 2020. Vivo Ventures VI’s and Vivo Ventures VII’s mailing address is 192 Lytton Avenue, Palo Alto, CA, 94301.</w:t>
      </w:r>
    </w:p>
    <w:p>
      <w:pPr>
        <w:spacing w:after="0" w:line="22" w:lineRule="exact"/>
        <w:rPr>
          <w:sz w:val="20"/>
          <w:szCs w:val="20"/>
          <w:color w:val="auto"/>
        </w:rPr>
      </w:pPr>
    </w:p>
    <w:p>
      <w:pPr>
        <w:ind w:left="1440" w:right="939" w:hanging="320"/>
        <w:spacing w:after="0" w:line="259" w:lineRule="auto"/>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23,111,112 ordinary shares held directly by Perceptive Life Sciences Master Fund, Ltd., all of which are held in the form of ADSs. Beneficial ownership information is based on information known to us. The mailing address of Perceptive Life Sciences Master Fund, Ltd. is 51 Astor Place, 10th Floor, New York, NY 10003.</w:t>
      </w:r>
    </w:p>
    <w:p>
      <w:pPr>
        <w:spacing w:after="0" w:line="32" w:lineRule="exact"/>
        <w:rPr>
          <w:rFonts w:ascii="Arial" w:cs="Arial" w:eastAsia="Arial" w:hAnsi="Arial"/>
          <w:sz w:val="16"/>
          <w:szCs w:val="16"/>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1,027,056 ordinary shares, all of which are held in the form of ADSs.</w:t>
      </w:r>
    </w:p>
    <w:p>
      <w:pPr>
        <w:spacing w:after="0" w:line="67" w:lineRule="exact"/>
        <w:rPr>
          <w:rFonts w:ascii="Arial" w:cs="Arial" w:eastAsia="Arial" w:hAnsi="Arial"/>
          <w:sz w:val="16"/>
          <w:szCs w:val="16"/>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50,696 ordinary shares, all of which are held in the form of ADSs,.</w:t>
      </w:r>
    </w:p>
    <w:p>
      <w:pPr>
        <w:spacing w:after="0" w:line="79" w:lineRule="exact"/>
        <w:rPr>
          <w:rFonts w:ascii="Arial" w:cs="Arial" w:eastAsia="Arial" w:hAnsi="Arial"/>
          <w:sz w:val="16"/>
          <w:szCs w:val="16"/>
          <w:color w:val="auto"/>
        </w:rPr>
      </w:pPr>
    </w:p>
    <w:p>
      <w:pPr>
        <w:ind w:left="1440" w:right="979" w:hanging="320"/>
        <w:spacing w:after="0" w:line="275"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Consists of (a) 666,827 ordinary shares, 666,824 of which are held in the form of ADSs, and (b) 4,920 warrants to purchase ordinary shares that are exercisable within or that will be exercisable within</w:t>
      </w:r>
    </w:p>
    <w:p>
      <w:pPr>
        <w:ind w:left="1440"/>
        <w:spacing w:after="0"/>
        <w:rPr>
          <w:rFonts w:ascii="Arial" w:cs="Arial" w:eastAsia="Arial" w:hAnsi="Arial"/>
          <w:sz w:val="15"/>
          <w:szCs w:val="15"/>
          <w:color w:val="auto"/>
        </w:rPr>
      </w:pPr>
      <w:r>
        <w:rPr>
          <w:rFonts w:ascii="Arial" w:cs="Arial" w:eastAsia="Arial" w:hAnsi="Arial"/>
          <w:sz w:val="16"/>
          <w:szCs w:val="16"/>
          <w:color w:val="auto"/>
        </w:rPr>
        <w:t>60 days of March 1, 2021.</w:t>
      </w:r>
    </w:p>
    <w:p>
      <w:pPr>
        <w:spacing w:after="0" w:line="55" w:lineRule="exact"/>
        <w:rPr>
          <w:rFonts w:ascii="Arial" w:cs="Arial" w:eastAsia="Arial" w:hAnsi="Arial"/>
          <w:sz w:val="15"/>
          <w:szCs w:val="15"/>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94,088 ordinary shares, all of which are held in the form of ADSs.</w:t>
      </w:r>
    </w:p>
    <w:p>
      <w:pPr>
        <w:spacing w:after="0" w:line="67" w:lineRule="exact"/>
        <w:rPr>
          <w:rFonts w:ascii="Arial" w:cs="Arial" w:eastAsia="Arial" w:hAnsi="Arial"/>
          <w:sz w:val="16"/>
          <w:szCs w:val="16"/>
          <w:color w:val="auto"/>
        </w:rPr>
      </w:pPr>
    </w:p>
    <w:p>
      <w:pPr>
        <w:jc w:val="both"/>
        <w:ind w:left="1440" w:right="1079" w:hanging="320"/>
        <w:spacing w:after="0" w:line="289"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Consists of 139,200 options exercisable within 60 days of March 1, 2021. Rishi Gupta is a Partner at OrbiMed Advisors LLC and a member of our Board of Directors. Mr. Gupta does not have voting or dispositive power over any of the securities held by OrbiMed identified in footnote 4.</w:t>
      </w:r>
    </w:p>
    <w:p>
      <w:pPr>
        <w:spacing w:after="0" w:line="24" w:lineRule="exact"/>
        <w:rPr>
          <w:rFonts w:ascii="Arial" w:cs="Arial" w:eastAsia="Arial" w:hAnsi="Arial"/>
          <w:sz w:val="15"/>
          <w:szCs w:val="15"/>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54,760 ordinary shares, all of which are held in the form of ADSs.</w:t>
      </w:r>
    </w:p>
    <w:p>
      <w:pPr>
        <w:spacing w:after="0" w:line="67" w:lineRule="exact"/>
        <w:rPr>
          <w:rFonts w:ascii="Arial" w:cs="Arial" w:eastAsia="Arial" w:hAnsi="Arial"/>
          <w:sz w:val="16"/>
          <w:szCs w:val="16"/>
          <w:color w:val="auto"/>
        </w:rPr>
      </w:pPr>
    </w:p>
    <w:p>
      <w:pPr>
        <w:ind w:left="1440" w:right="1019" w:hanging="320"/>
        <w:spacing w:after="0" w:line="275" w:lineRule="auto"/>
        <w:tabs>
          <w:tab w:leader="none" w:pos="1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Consists of 139,200 options exercisable within 60 days of March 1, 2021. Andrew Sinclair, Ph.D. is a Partner and Portfolio Manager at Abingworth LLP and a member of our Board of Directors.</w:t>
      </w:r>
    </w:p>
    <w:p>
      <w:pPr>
        <w:ind w:left="1440" w:right="1099"/>
        <w:spacing w:after="0" w:line="260" w:lineRule="auto"/>
        <w:rPr>
          <w:rFonts w:ascii="Arial" w:cs="Arial" w:eastAsia="Arial" w:hAnsi="Arial"/>
          <w:sz w:val="15"/>
          <w:szCs w:val="15"/>
          <w:color w:val="auto"/>
        </w:rPr>
      </w:pPr>
      <w:r>
        <w:rPr>
          <w:rFonts w:ascii="Arial" w:cs="Arial" w:eastAsia="Arial" w:hAnsi="Arial"/>
          <w:sz w:val="16"/>
          <w:szCs w:val="16"/>
          <w:color w:val="auto"/>
        </w:rPr>
        <w:t>Dr. Sinclair does not have voting or dispositive power over any of the securities held by Abingworth Vl.</w:t>
      </w:r>
    </w:p>
    <w:p>
      <w:pPr>
        <w:spacing w:after="0" w:line="32" w:lineRule="exact"/>
        <w:rPr>
          <w:rFonts w:ascii="Arial" w:cs="Arial" w:eastAsia="Arial" w:hAnsi="Arial"/>
          <w:sz w:val="15"/>
          <w:szCs w:val="15"/>
          <w:color w:val="auto"/>
        </w:rPr>
      </w:pPr>
    </w:p>
    <w:p>
      <w:pPr>
        <w:ind w:left="1440" w:right="1139" w:hanging="320"/>
        <w:spacing w:after="0" w:line="263" w:lineRule="auto"/>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 55,456 ordinary shares, all of which are held in the form of ADSs, and (b) 120,384 options to purchase ordinary shares that are exercisable or that will be exercisable within 60 days of March 1, 2021.</w:t>
      </w:r>
    </w:p>
    <w:p>
      <w:pPr>
        <w:spacing w:after="0" w:line="42" w:lineRule="exact"/>
        <w:rPr>
          <w:rFonts w:ascii="Arial" w:cs="Arial" w:eastAsia="Arial" w:hAnsi="Arial"/>
          <w:sz w:val="16"/>
          <w:szCs w:val="16"/>
          <w:color w:val="auto"/>
        </w:rPr>
      </w:pPr>
    </w:p>
    <w:p>
      <w:pPr>
        <w:ind w:left="1440" w:right="1259" w:hanging="320"/>
        <w:spacing w:after="0" w:line="276" w:lineRule="auto"/>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 317,912 ordinary shares, all of which are held in the form of ADSs, and (b) 18,200 restricted share units that will vest within 60 days of March 1, 2021.</w:t>
      </w:r>
    </w:p>
    <w:p>
      <w:pPr>
        <w:spacing w:after="0" w:line="20" w:lineRule="exact"/>
        <w:rPr>
          <w:rFonts w:ascii="Arial" w:cs="Arial" w:eastAsia="Arial" w:hAnsi="Arial"/>
          <w:sz w:val="16"/>
          <w:szCs w:val="16"/>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453,992 ordinary shares, all of which are held in the form of ADSs.</w:t>
      </w:r>
    </w:p>
    <w:p>
      <w:pPr>
        <w:spacing w:after="0" w:line="67" w:lineRule="exact"/>
        <w:rPr>
          <w:rFonts w:ascii="Arial" w:cs="Arial" w:eastAsia="Arial" w:hAnsi="Arial"/>
          <w:sz w:val="16"/>
          <w:szCs w:val="16"/>
          <w:color w:val="auto"/>
        </w:rPr>
      </w:pPr>
    </w:p>
    <w:p>
      <w:pPr>
        <w:ind w:left="1440" w:right="979" w:hanging="320"/>
        <w:spacing w:after="0" w:line="276" w:lineRule="auto"/>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351,664 options to purchase ordinary shares that are exercisable or that will be exercisable within 60 days of March 1, 2021.</w:t>
      </w:r>
    </w:p>
    <w:p>
      <w:pPr>
        <w:spacing w:after="0" w:line="32" w:lineRule="exact"/>
        <w:rPr>
          <w:rFonts w:ascii="Arial" w:cs="Arial" w:eastAsia="Arial" w:hAnsi="Arial"/>
          <w:sz w:val="16"/>
          <w:szCs w:val="16"/>
          <w:color w:val="auto"/>
        </w:rPr>
      </w:pPr>
    </w:p>
    <w:p>
      <w:pPr>
        <w:ind w:left="1440" w:right="879" w:hanging="320"/>
        <w:spacing w:after="0" w:line="259" w:lineRule="auto"/>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information known to the Company as of February 2, 2020, the date of Dr. Karlsson’s departure from the Company. Consists of (a) 842,217 ordinary shares, 50,000 of which are held in the form of ADSs, and (b) 3,526,736 options to purchase ordinary shares that are exercisable or that will be exercisable within 60 days of March 1, 2021.</w:t>
      </w:r>
    </w:p>
    <w:p>
      <w:pPr>
        <w:spacing w:after="0" w:line="32" w:lineRule="exact"/>
        <w:rPr>
          <w:rFonts w:ascii="Arial" w:cs="Arial" w:eastAsia="Arial" w:hAnsi="Arial"/>
          <w:sz w:val="16"/>
          <w:szCs w:val="16"/>
          <w:color w:val="auto"/>
        </w:rPr>
      </w:pPr>
    </w:p>
    <w:p>
      <w:pPr>
        <w:ind w:left="1440" w:hanging="320"/>
        <w:spacing w:after="0"/>
        <w:tabs>
          <w:tab w:leader="none" w:pos="1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Consists of (a) 3,729,083 ordinary shares, 2,936,856 of which are held in the form of ADSs,</w:t>
      </w:r>
    </w:p>
    <w:p>
      <w:pPr>
        <w:spacing w:after="0" w:line="20" w:lineRule="exact"/>
        <w:rPr>
          <w:rFonts w:ascii="Arial" w:cs="Arial" w:eastAsia="Arial" w:hAnsi="Arial"/>
          <w:sz w:val="16"/>
          <w:szCs w:val="16"/>
          <w:color w:val="auto"/>
        </w:rPr>
      </w:pPr>
    </w:p>
    <w:p>
      <w:pPr>
        <w:ind w:left="1440" w:right="919"/>
        <w:spacing w:after="0" w:line="253" w:lineRule="auto"/>
        <w:rPr>
          <w:rFonts w:ascii="Arial" w:cs="Arial" w:eastAsia="Arial" w:hAnsi="Arial"/>
          <w:sz w:val="16"/>
          <w:szCs w:val="16"/>
          <w:color w:val="auto"/>
        </w:rPr>
      </w:pPr>
      <w:r>
        <w:rPr>
          <w:rFonts w:ascii="Arial" w:cs="Arial" w:eastAsia="Arial" w:hAnsi="Arial"/>
          <w:sz w:val="16"/>
          <w:szCs w:val="16"/>
          <w:color w:val="auto"/>
        </w:rPr>
        <w:t>(b) 5,404,680 options to purchase ordinary shares that are exercisable or that will be exercisable within 60 days of March 1, 2021, (c) 18,200 restricted share units that will vest within 60 days of March 1, 2021, and (d) 4,920 warrants to purchase ordinary shares that are exercisable within or that will be exercisable within 60 days of March 1, 2021.</w:t>
      </w:r>
    </w:p>
    <w:p>
      <w:pPr>
        <w:spacing w:after="0" w:line="158"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Delinquent Section 16(a) Reports</w:t>
      </w:r>
    </w:p>
    <w:p>
      <w:pPr>
        <w:spacing w:after="0" w:line="142" w:lineRule="exact"/>
        <w:rPr>
          <w:sz w:val="20"/>
          <w:szCs w:val="20"/>
          <w:color w:val="auto"/>
        </w:rPr>
      </w:pPr>
    </w:p>
    <w:p>
      <w:pPr>
        <w:ind w:left="1120" w:right="879" w:firstLine="320"/>
        <w:spacing w:after="0" w:line="273" w:lineRule="auto"/>
        <w:rPr>
          <w:sz w:val="20"/>
          <w:szCs w:val="20"/>
          <w:color w:val="auto"/>
        </w:rPr>
      </w:pPr>
      <w:r>
        <w:rPr>
          <w:rFonts w:ascii="Arial" w:cs="Arial" w:eastAsia="Arial" w:hAnsi="Arial"/>
          <w:sz w:val="15"/>
          <w:szCs w:val="15"/>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a late Form 3 filing in January 2021 for Rishi Gupta and a late Form 3 filing in January 2021 for Orbimed Advisors LLC.</w:t>
      </w:r>
    </w:p>
    <w:p>
      <w:pPr>
        <w:spacing w:after="0" w:line="31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8" w:name="page49"/>
    <w:bookmarkEnd w:id="48"/>
    <w:p>
      <w:pPr>
        <w:spacing w:after="0"/>
        <w:rPr>
          <w:rFonts w:ascii="Arial" w:cs="Arial" w:eastAsia="Arial" w:hAnsi="Arial"/>
          <w:sz w:val="13"/>
          <w:szCs w:val="13"/>
          <w:color w:val="003366"/>
        </w:rPr>
      </w:pPr>
      <w:hyperlink w:anchor="page9">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Certain Relationships</w:t>
      </w:r>
    </w:p>
    <w:p>
      <w:pPr>
        <w:spacing w:after="0" w:line="13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POLICIES AND PROCEDURES FOR RELATED PERSON TRANSACTIONS</w:t>
      </w:r>
    </w:p>
    <w:p>
      <w:pPr>
        <w:spacing w:after="0" w:line="140" w:lineRule="exact"/>
        <w:rPr>
          <w:sz w:val="20"/>
          <w:szCs w:val="20"/>
          <w:color w:val="auto"/>
        </w:rPr>
      </w:pPr>
    </w:p>
    <w:p>
      <w:pPr>
        <w:ind w:left="1120" w:right="879" w:firstLine="320"/>
        <w:spacing w:after="0" w:line="268" w:lineRule="auto"/>
        <w:rPr>
          <w:sz w:val="20"/>
          <w:szCs w:val="20"/>
          <w:color w:val="auto"/>
        </w:rPr>
      </w:pPr>
      <w:r>
        <w:rPr>
          <w:rFonts w:ascii="Arial" w:cs="Arial" w:eastAsia="Arial" w:hAnsi="Arial"/>
          <w:sz w:val="15"/>
          <w:szCs w:val="15"/>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303" w:lineRule="exact"/>
        <w:rPr>
          <w:sz w:val="20"/>
          <w:szCs w:val="20"/>
          <w:color w:val="auto"/>
        </w:rPr>
      </w:pPr>
    </w:p>
    <w:p>
      <w:pPr>
        <w:ind w:left="1120" w:right="919" w:firstLine="320"/>
        <w:spacing w:after="0" w:line="259" w:lineRule="auto"/>
        <w:rPr>
          <w:sz w:val="20"/>
          <w:szCs w:val="20"/>
          <w:color w:val="auto"/>
        </w:rPr>
      </w:pPr>
      <w:r>
        <w:rPr>
          <w:rFonts w:ascii="Arial" w:cs="Arial" w:eastAsia="Arial" w:hAnsi="Arial"/>
          <w:sz w:val="16"/>
          <w:szCs w:val="16"/>
          <w:color w:val="auto"/>
        </w:rPr>
        <w:t>The following are certain transactions, arrangements and relationships with persons who are, or were during the period beginning January 1, 2019, our directors, executive officers or shareholders owning 5% or more of our outstanding ordinary shares, or any member of the immediate family of any of the foregoing persons.</w:t>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2020 PRIVATE PLACEMENT</w:t>
      </w:r>
    </w:p>
    <w:p>
      <w:pPr>
        <w:spacing w:after="0" w:line="140" w:lineRule="exact"/>
        <w:rPr>
          <w:sz w:val="20"/>
          <w:szCs w:val="20"/>
          <w:color w:val="auto"/>
        </w:rPr>
      </w:pPr>
    </w:p>
    <w:p>
      <w:pPr>
        <w:ind w:left="1120" w:right="1079" w:firstLine="320"/>
        <w:spacing w:after="0" w:line="253" w:lineRule="auto"/>
        <w:rPr>
          <w:sz w:val="20"/>
          <w:szCs w:val="20"/>
          <w:color w:val="auto"/>
        </w:rPr>
      </w:pPr>
      <w:r>
        <w:rPr>
          <w:rFonts w:ascii="Arial" w:cs="Arial" w:eastAsia="Arial" w:hAnsi="Arial"/>
          <w:sz w:val="16"/>
          <w:szCs w:val="16"/>
          <w:color w:val="auto"/>
        </w:rPr>
        <w:t>On July 17, 2020, we entered into a securities purchase agreement (the “Purchase Agreement”), with certain purchasers. Pursuant to the Purchase Agreement, we agreed to sell an aggregate of 38,440,009 ADSs, each representing eight ordinary shares, and 48,088,896 non-voting ordinary shares, at a purchase price equal to $4.50 per ADS and $0.5625 per non-voting ordinary share (the “2020 Private Placement”). The Purchase Agreement contained customary representations and warranties from us and the selling shareholders and customary closing conditions. The closing of the 2020 Private Placement occurred on July 22, 2020. We received aggregate gross proceeds from the 2020 Private Placement of approximately $200 million.</w:t>
      </w:r>
    </w:p>
    <w:p>
      <w:pPr>
        <w:spacing w:after="0" w:line="115" w:lineRule="exact"/>
        <w:rPr>
          <w:sz w:val="20"/>
          <w:szCs w:val="20"/>
          <w:color w:val="auto"/>
        </w:rPr>
      </w:pPr>
    </w:p>
    <w:p>
      <w:pPr>
        <w:ind w:left="1120" w:right="919" w:firstLine="320"/>
        <w:spacing w:after="0" w:line="253" w:lineRule="auto"/>
        <w:rPr>
          <w:sz w:val="20"/>
          <w:szCs w:val="20"/>
          <w:color w:val="auto"/>
        </w:rPr>
      </w:pPr>
      <w:r>
        <w:rPr>
          <w:rFonts w:ascii="Arial" w:cs="Arial" w:eastAsia="Arial" w:hAnsi="Arial"/>
          <w:sz w:val="16"/>
          <w:szCs w:val="16"/>
          <w:color w:val="auto"/>
        </w:rPr>
        <w:t>In connection with the 2020 Private Placement, we entered into a registration rights agreement with the purchasers (the “2020 Registration Rights Agreement”). Pursuant to the 2020 Registration Rights Agreement, we agreed to prepare and file a registration statement with the SEC no later than 30 days following the closing date for purposes of registering the resale of the ordinary shares underlying the ADSs and the ordinary shares into which the non-voting ordinary shares may be re-designated. We also agreed to use our commercially reasonable efforts to cause the registration statement to be declared effective by the SEC. Under 2020 Registration Rights Agreement, we agreed to pay all expenses relating to the registration, other than selling commission, discounts or brokerage fees and stock transfer taxes, subject to specified conditions and limitations.</w:t>
      </w:r>
    </w:p>
    <w:p>
      <w:pPr>
        <w:spacing w:after="0" w:line="32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49" w:name="page50"/>
    <w:bookmarkEnd w:id="49"/>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99" w:firstLine="320"/>
        <w:spacing w:after="0" w:line="263" w:lineRule="auto"/>
        <w:rPr>
          <w:sz w:val="20"/>
          <w:szCs w:val="20"/>
          <w:color w:val="auto"/>
        </w:rPr>
      </w:pPr>
      <w:r>
        <w:rPr>
          <w:rFonts w:ascii="Arial" w:cs="Arial" w:eastAsia="Arial" w:hAnsi="Arial"/>
          <w:sz w:val="16"/>
          <w:szCs w:val="16"/>
          <w:color w:val="auto"/>
        </w:rPr>
        <w:t>The following table sets forth the aggregate number of ADSs and non-voting ordinary shares acquired by our directors, executive officers and our major shareholders in the 2020 Private Placement. Each ADS represents eight ordinary shares.</w:t>
      </w:r>
    </w:p>
    <w:p>
      <w:pPr>
        <w:spacing w:after="0" w:line="113"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Participants</w:t>
            </w:r>
            <w:r>
              <w:rPr>
                <w:rFonts w:ascii="Arial" w:cs="Arial" w:eastAsia="Arial" w:hAnsi="Arial"/>
                <w:sz w:val="19"/>
                <w:szCs w:val="19"/>
                <w:b w:val="1"/>
                <w:bCs w:val="1"/>
                <w:color w:val="auto"/>
                <w:vertAlign w:val="superscript"/>
              </w:rPr>
              <w:t>(1)</w:t>
            </w:r>
          </w:p>
        </w:tc>
        <w:tc>
          <w:tcPr>
            <w:tcW w:w="20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2"/>
              <w:spacing w:after="0"/>
              <w:rPr>
                <w:sz w:val="20"/>
                <w:szCs w:val="20"/>
                <w:color w:val="auto"/>
              </w:rPr>
            </w:pPr>
            <w:r>
              <w:rPr>
                <w:rFonts w:ascii="Arial" w:cs="Arial" w:eastAsia="Arial" w:hAnsi="Arial"/>
                <w:sz w:val="13"/>
                <w:szCs w:val="13"/>
                <w:b w:val="1"/>
                <w:bCs w:val="1"/>
                <w:color w:val="auto"/>
                <w:w w:val="99"/>
              </w:rPr>
              <w:t>Non-Voting</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ADSs</w:t>
            </w: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Ordinary Shares</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 Capital Healthcare Fund L.P.</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4,596,313</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7"/>
              </w:rPr>
              <w:t>43,339,542</w:t>
            </w:r>
          </w:p>
        </w:tc>
        <w:tc>
          <w:tcPr>
            <w:tcW w:w="0" w:type="dxa"/>
            <w:vAlign w:val="bottom"/>
          </w:tcPr>
          <w:p>
            <w:pPr>
              <w:spacing w:after="0"/>
              <w:rPr>
                <w:sz w:val="1"/>
                <w:szCs w:val="1"/>
                <w:color w:val="auto"/>
              </w:rPr>
            </w:pPr>
          </w:p>
        </w:tc>
      </w:tr>
      <w:tr>
        <w:trPr>
          <w:trHeight w:val="228"/>
        </w:trPr>
        <w:tc>
          <w:tcPr>
            <w:tcW w:w="4900" w:type="dxa"/>
            <w:vAlign w:val="bottom"/>
            <w:gridSpan w:val="2"/>
          </w:tcPr>
          <w:p>
            <w:pPr>
              <w:spacing w:after="0"/>
              <w:rPr>
                <w:sz w:val="20"/>
                <w:szCs w:val="20"/>
                <w:color w:val="auto"/>
              </w:rPr>
            </w:pPr>
            <w:r>
              <w:rPr>
                <w:rFonts w:ascii="Arial" w:cs="Arial" w:eastAsia="Arial" w:hAnsi="Arial"/>
                <w:sz w:val="16"/>
                <w:szCs w:val="16"/>
                <w:color w:val="auto"/>
              </w:rPr>
              <w:t>Blackwell Partners LLC – Series A</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503,687</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4,749,354</w:t>
            </w: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AI Biotechnology LLC</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5,555,556</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00" w:type="dxa"/>
            <w:vAlign w:val="bottom"/>
            <w:gridSpan w:val="2"/>
          </w:tcPr>
          <w:p>
            <w:pPr>
              <w:spacing w:after="0"/>
              <w:rPr>
                <w:sz w:val="20"/>
                <w:szCs w:val="20"/>
                <w:color w:val="auto"/>
              </w:rPr>
            </w:pPr>
            <w:r>
              <w:rPr>
                <w:rFonts w:ascii="Arial" w:cs="Arial" w:eastAsia="Arial" w:hAnsi="Arial"/>
                <w:sz w:val="16"/>
                <w:szCs w:val="16"/>
                <w:color w:val="auto"/>
              </w:rPr>
              <w:t>Growth Equity Opportunities 17 LP</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3,888,889</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OrbiMed Private Investments VI, LP</w:t>
            </w:r>
            <w:r>
              <w:rPr>
                <w:rFonts w:ascii="Arial" w:cs="Arial" w:eastAsia="Arial" w:hAnsi="Arial"/>
                <w:sz w:val="23"/>
                <w:szCs w:val="23"/>
                <w:color w:val="auto"/>
                <w:vertAlign w:val="superscript"/>
              </w:rPr>
              <w:t>(2)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3,777,778</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00" w:type="dxa"/>
            <w:vAlign w:val="bottom"/>
            <w:gridSpan w:val="2"/>
          </w:tcPr>
          <w:p>
            <w:pPr>
              <w:spacing w:after="0"/>
              <w:rPr>
                <w:sz w:val="20"/>
                <w:szCs w:val="20"/>
                <w:color w:val="auto"/>
              </w:rPr>
            </w:pPr>
            <w:r>
              <w:rPr>
                <w:rFonts w:ascii="Arial" w:cs="Arial" w:eastAsia="Arial" w:hAnsi="Arial"/>
                <w:sz w:val="16"/>
                <w:szCs w:val="16"/>
                <w:color w:val="auto"/>
              </w:rPr>
              <w:t>Perceptive Life Sciences Masters Fund, Ltd.</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2,888,889</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Abingworth Bioventures VI, LP</w:t>
            </w:r>
            <w:r>
              <w:rPr>
                <w:rFonts w:ascii="Arial" w:cs="Arial" w:eastAsia="Arial" w:hAnsi="Arial"/>
                <w:sz w:val="23"/>
                <w:szCs w:val="23"/>
                <w:color w:val="auto"/>
                <w:vertAlign w:val="superscript"/>
              </w:rPr>
              <w:t>(3)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1,555,556</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tcPr>
          <w:p>
            <w:pPr>
              <w:spacing w:after="0" w:line="240" w:lineRule="exact"/>
              <w:rPr>
                <w:sz w:val="20"/>
                <w:szCs w:val="20"/>
                <w:color w:val="auto"/>
              </w:rPr>
            </w:pPr>
            <w:r>
              <w:rPr>
                <w:rFonts w:ascii="Arial" w:cs="Arial" w:eastAsia="Arial" w:hAnsi="Arial"/>
                <w:sz w:val="16"/>
                <w:szCs w:val="16"/>
                <w:color w:val="auto"/>
              </w:rPr>
              <w:t>Vivo Venture Fund Cayman VII, L.P.</w:t>
            </w:r>
            <w:r>
              <w:rPr>
                <w:rFonts w:ascii="Arial" w:cs="Arial" w:eastAsia="Arial" w:hAnsi="Arial"/>
                <w:sz w:val="23"/>
                <w:szCs w:val="23"/>
                <w:color w:val="auto"/>
                <w:vertAlign w:val="superscript"/>
              </w:rPr>
              <w:t>(4)</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1,244,445</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Vivo Ventures Fund VII, L.P.</w:t>
            </w:r>
            <w:r>
              <w:rPr>
                <w:rFonts w:ascii="Arial" w:cs="Arial" w:eastAsia="Arial" w:hAnsi="Arial"/>
                <w:sz w:val="23"/>
                <w:szCs w:val="23"/>
                <w:color w:val="auto"/>
                <w:vertAlign w:val="superscript"/>
              </w:rPr>
              <w:t>(4)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304,475</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tcPr>
          <w:p>
            <w:pPr>
              <w:spacing w:after="0" w:line="240" w:lineRule="exact"/>
              <w:rPr>
                <w:sz w:val="20"/>
                <w:szCs w:val="20"/>
                <w:color w:val="auto"/>
              </w:rPr>
            </w:pPr>
            <w:r>
              <w:rPr>
                <w:rFonts w:ascii="Arial" w:cs="Arial" w:eastAsia="Arial" w:hAnsi="Arial"/>
                <w:sz w:val="16"/>
                <w:szCs w:val="16"/>
                <w:color w:val="auto"/>
              </w:rPr>
              <w:t>Vivo Ventures VII Affiliates Fund, L.P.</w:t>
            </w:r>
            <w:r>
              <w:rPr>
                <w:rFonts w:ascii="Arial" w:cs="Arial" w:eastAsia="Arial" w:hAnsi="Arial"/>
                <w:sz w:val="23"/>
                <w:szCs w:val="23"/>
                <w:color w:val="auto"/>
                <w:vertAlign w:val="superscript"/>
              </w:rPr>
              <w:t>(4)</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6,636</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4900" w:type="dxa"/>
            <w:vAlign w:val="bottom"/>
            <w:gridSpan w:val="2"/>
            <w:shd w:val="clear" w:color="auto" w:fill="CCEEFF"/>
          </w:tcPr>
          <w:p>
            <w:pPr>
              <w:spacing w:after="0" w:line="252" w:lineRule="exact"/>
              <w:rPr>
                <w:sz w:val="20"/>
                <w:szCs w:val="20"/>
                <w:color w:val="auto"/>
              </w:rPr>
            </w:pPr>
            <w:r>
              <w:rPr>
                <w:rFonts w:ascii="Arial" w:cs="Arial" w:eastAsia="Arial" w:hAnsi="Arial"/>
                <w:sz w:val="16"/>
                <w:szCs w:val="16"/>
                <w:color w:val="auto"/>
              </w:rPr>
              <w:t>Novo Holdings A/S</w:t>
            </w:r>
            <w:r>
              <w:rPr>
                <w:rFonts w:ascii="Arial" w:cs="Arial" w:eastAsia="Arial" w:hAnsi="Arial"/>
                <w:sz w:val="23"/>
                <w:szCs w:val="23"/>
                <w:color w:val="auto"/>
                <w:vertAlign w:val="superscript"/>
              </w:rPr>
              <w:t>(5)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1,111,111</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tcPr>
          <w:p>
            <w:pPr>
              <w:spacing w:after="0"/>
              <w:rPr>
                <w:sz w:val="20"/>
                <w:szCs w:val="20"/>
                <w:color w:val="auto"/>
              </w:rPr>
            </w:pPr>
            <w:r>
              <w:rPr>
                <w:rFonts w:ascii="Arial" w:cs="Arial" w:eastAsia="Arial" w:hAnsi="Arial"/>
                <w:sz w:val="16"/>
                <w:szCs w:val="16"/>
                <w:color w:val="auto"/>
              </w:rPr>
              <w:t>David Zaccardelli, Pharm.D.</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55,555</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W. Hahn</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22,223</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900" w:type="dxa"/>
            <w:vAlign w:val="bottom"/>
            <w:gridSpan w:val="2"/>
          </w:tcPr>
          <w:p>
            <w:pPr>
              <w:spacing w:after="0"/>
              <w:rPr>
                <w:sz w:val="20"/>
                <w:szCs w:val="20"/>
                <w:color w:val="auto"/>
              </w:rPr>
            </w:pPr>
            <w:r>
              <w:rPr>
                <w:rFonts w:ascii="Arial" w:cs="Arial" w:eastAsia="Arial" w:hAnsi="Arial"/>
                <w:sz w:val="16"/>
                <w:szCs w:val="16"/>
                <w:color w:val="auto"/>
              </w:rPr>
              <w:t>Martin Edwards, Ph.D.</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6,666</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-2108200</wp:posOffset>
            </wp:positionV>
            <wp:extent cx="12192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-2108200</wp:posOffset>
            </wp:positionV>
            <wp:extent cx="12192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1920" cy="76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129540</wp:posOffset>
            </wp:positionV>
            <wp:extent cx="10960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96010" cy="7620"/>
                    </a:xfrm>
                    <a:prstGeom prst="rect">
                      <a:avLst/>
                    </a:prstGeom>
                    <a:noFill/>
                  </pic:spPr>
                </pic:pic>
              </a:graphicData>
            </a:graphic>
          </wp:anchor>
        </w:drawing>
      </w:r>
    </w:p>
    <w:p>
      <w:pPr>
        <w:spacing w:after="0" w:line="315" w:lineRule="exact"/>
        <w:rPr>
          <w:sz w:val="20"/>
          <w:szCs w:val="20"/>
          <w:color w:val="auto"/>
        </w:rPr>
      </w:pPr>
    </w:p>
    <w:p>
      <w:pPr>
        <w:ind w:left="1440" w:right="939" w:hanging="320"/>
        <w:spacing w:after="0" w:line="263" w:lineRule="auto"/>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Additional details regarding certain of these shareholders and their equity holdings are provided in this proxy statement under the caption “Security Ownership of Certain Beneficial Owners and Management.”</w:t>
      </w:r>
    </w:p>
    <w:p>
      <w:pPr>
        <w:spacing w:after="0" w:line="42" w:lineRule="exact"/>
        <w:rPr>
          <w:rFonts w:ascii="Arial" w:cs="Arial" w:eastAsia="Arial" w:hAnsi="Arial"/>
          <w:sz w:val="16"/>
          <w:szCs w:val="16"/>
          <w:color w:val="auto"/>
        </w:rPr>
      </w:pPr>
    </w:p>
    <w:p>
      <w:pPr>
        <w:ind w:left="1440" w:hanging="320"/>
        <w:spacing w:after="0"/>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Associated with Rishi Gupta, one of our directors.</w:t>
      </w:r>
    </w:p>
    <w:p>
      <w:pPr>
        <w:spacing w:after="0" w:line="67" w:lineRule="exact"/>
        <w:rPr>
          <w:rFonts w:ascii="Arial" w:cs="Arial" w:eastAsia="Arial" w:hAnsi="Arial"/>
          <w:sz w:val="16"/>
          <w:szCs w:val="16"/>
          <w:color w:val="auto"/>
        </w:rPr>
      </w:pPr>
    </w:p>
    <w:p>
      <w:pPr>
        <w:ind w:left="1440" w:hanging="320"/>
        <w:spacing w:after="0"/>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Associated with Andrew Sinclair, Ph.D., one of our directors.</w:t>
      </w:r>
    </w:p>
    <w:p>
      <w:pPr>
        <w:spacing w:after="0" w:line="79" w:lineRule="exact"/>
        <w:rPr>
          <w:rFonts w:ascii="Arial" w:cs="Arial" w:eastAsia="Arial" w:hAnsi="Arial"/>
          <w:sz w:val="16"/>
          <w:szCs w:val="16"/>
          <w:color w:val="auto"/>
        </w:rPr>
      </w:pPr>
    </w:p>
    <w:p>
      <w:pPr>
        <w:ind w:left="1440" w:hanging="320"/>
        <w:spacing w:after="0"/>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Associated with Mahendra Shah, Ph.D., one of our directors.</w:t>
      </w:r>
    </w:p>
    <w:p>
      <w:pPr>
        <w:spacing w:after="0" w:line="79" w:lineRule="exact"/>
        <w:rPr>
          <w:rFonts w:ascii="Arial" w:cs="Arial" w:eastAsia="Arial" w:hAnsi="Arial"/>
          <w:sz w:val="16"/>
          <w:szCs w:val="16"/>
          <w:color w:val="auto"/>
        </w:rPr>
      </w:pPr>
    </w:p>
    <w:p>
      <w:pPr>
        <w:ind w:left="1440" w:hanging="320"/>
        <w:spacing w:after="0"/>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holder of 5% or more of our outstanding ordinary shares.</w:t>
      </w:r>
    </w:p>
    <w:p>
      <w:pPr>
        <w:spacing w:after="0" w:line="127"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6"/>
          <w:szCs w:val="16"/>
          <w:color w:val="auto"/>
        </w:rPr>
        <w:t>CONCURRENT PLACEMENT</w:t>
      </w:r>
    </w:p>
    <w:p>
      <w:pPr>
        <w:spacing w:after="0" w:line="140" w:lineRule="exact"/>
        <w:rPr>
          <w:sz w:val="20"/>
          <w:szCs w:val="20"/>
          <w:color w:val="auto"/>
        </w:rPr>
      </w:pPr>
    </w:p>
    <w:p>
      <w:pPr>
        <w:ind w:left="1120" w:right="1039" w:firstLine="320"/>
        <w:spacing w:after="0" w:line="263" w:lineRule="auto"/>
        <w:rPr>
          <w:sz w:val="20"/>
          <w:szCs w:val="20"/>
          <w:color w:val="auto"/>
        </w:rPr>
      </w:pPr>
      <w:r>
        <w:rPr>
          <w:rFonts w:ascii="Arial" w:cs="Arial" w:eastAsia="Arial" w:hAnsi="Arial"/>
          <w:sz w:val="16"/>
          <w:szCs w:val="16"/>
          <w:color w:val="auto"/>
        </w:rPr>
        <w:t>On July 14, 2020, we entered into a subscription agreement with David Ebsworth, Ph.D., one of our directors, pursuant to which Dr. Ebsworth purchased 222,216 ordinary shares at a purchase price per share of £0.45 concurrently with, and contingent upon, the 2020 Private Placement.</w:t>
      </w:r>
    </w:p>
    <w:p>
      <w:pPr>
        <w:spacing w:after="0" w:line="10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2016 REGISTRATION RIGHTS AGREEMENT</w:t>
      </w:r>
    </w:p>
    <w:p>
      <w:pPr>
        <w:spacing w:after="0" w:line="128" w:lineRule="exact"/>
        <w:rPr>
          <w:sz w:val="20"/>
          <w:szCs w:val="20"/>
          <w:color w:val="auto"/>
        </w:rPr>
      </w:pPr>
    </w:p>
    <w:p>
      <w:pPr>
        <w:ind w:left="1120" w:right="1019" w:firstLine="320"/>
        <w:spacing w:after="0" w:line="255" w:lineRule="auto"/>
        <w:rPr>
          <w:sz w:val="20"/>
          <w:szCs w:val="20"/>
          <w:color w:val="auto"/>
        </w:rPr>
      </w:pPr>
      <w:r>
        <w:rPr>
          <w:rFonts w:ascii="Arial" w:cs="Arial" w:eastAsia="Arial" w:hAnsi="Arial"/>
          <w:sz w:val="16"/>
          <w:szCs w:val="16"/>
          <w:color w:val="auto"/>
        </w:rPr>
        <w:t>In July 2016, we entered into a registration rights agreement (the “2016 Registration Rights Agreement”), which provides certain demand registration rights to Abingworth Bioventures VI, LP (“Abingworth”), Growth Equity Opportunities Fund IV, LLC, OrbiMed Private Investments VI, LP (“OrbiMed”), and Vivo Ventures Fund VII, L.P., Vivo Ventures VII Affiliates Fund, L.P., Vivo Ventures Fund VI, L.P., and Vivo Ventures Fund VI Affiliates Fund, L.P. (collectively, “Vivo Capital”), with respect to the ordinary shares and any ADSs held by them.</w:t>
      </w:r>
    </w:p>
    <w:p>
      <w:pPr>
        <w:spacing w:after="0" w:line="17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140" w:lineRule="exact"/>
        <w:rPr>
          <w:sz w:val="20"/>
          <w:szCs w:val="20"/>
          <w:color w:val="auto"/>
        </w:rPr>
      </w:pPr>
    </w:p>
    <w:p>
      <w:pPr>
        <w:ind w:left="1120" w:right="939" w:firstLine="320"/>
        <w:spacing w:after="0" w:line="275" w:lineRule="auto"/>
        <w:rPr>
          <w:sz w:val="20"/>
          <w:szCs w:val="20"/>
          <w:color w:val="auto"/>
        </w:rPr>
      </w:pPr>
      <w:r>
        <w:rPr>
          <w:rFonts w:ascii="Arial" w:cs="Arial" w:eastAsia="Arial" w:hAnsi="Arial"/>
          <w:sz w:val="15"/>
          <w:szCs w:val="15"/>
          <w:color w:val="auto"/>
        </w:rPr>
        <w:t>At any time, the holders of at least a majority of the registrable securities as defined in the 2016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31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0" w:name="page51"/>
    <w:bookmarkEnd w:id="50"/>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128" w:lineRule="exact"/>
        <w:rPr>
          <w:sz w:val="20"/>
          <w:szCs w:val="20"/>
          <w:color w:val="auto"/>
        </w:rPr>
      </w:pPr>
    </w:p>
    <w:p>
      <w:pPr>
        <w:jc w:val="both"/>
        <w:ind w:left="1120" w:right="1179" w:firstLine="320"/>
        <w:spacing w:after="0" w:line="247" w:lineRule="auto"/>
        <w:rPr>
          <w:sz w:val="20"/>
          <w:szCs w:val="20"/>
          <w:color w:val="auto"/>
        </w:rPr>
      </w:pPr>
      <w:r>
        <w:rPr>
          <w:rFonts w:ascii="Arial" w:cs="Arial" w:eastAsia="Arial" w:hAnsi="Arial"/>
          <w:sz w:val="16"/>
          <w:szCs w:val="16"/>
          <w:color w:val="auto"/>
        </w:rPr>
        <w:t>Under the 2016 Registration Rights Agreement we will pay all expenses relating to any registration under the registration rights agreement, other than selling commission, discounts or brokerage fees and stock transfer taxes, subject to specified conditions and limitations.</w:t>
      </w:r>
    </w:p>
    <w:p>
      <w:pPr>
        <w:spacing w:after="0" w:line="163"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Termination of Registration Rights</w:t>
      </w:r>
    </w:p>
    <w:p>
      <w:pPr>
        <w:spacing w:after="0" w:line="140" w:lineRule="exact"/>
        <w:rPr>
          <w:sz w:val="20"/>
          <w:szCs w:val="20"/>
          <w:color w:val="auto"/>
        </w:rPr>
      </w:pPr>
    </w:p>
    <w:p>
      <w:pPr>
        <w:ind w:left="1120" w:right="899" w:firstLine="320"/>
        <w:spacing w:after="0" w:line="255" w:lineRule="auto"/>
        <w:rPr>
          <w:sz w:val="20"/>
          <w:szCs w:val="20"/>
          <w:color w:val="auto"/>
        </w:rPr>
      </w:pPr>
      <w:r>
        <w:rPr>
          <w:rFonts w:ascii="Arial" w:cs="Arial" w:eastAsia="Arial" w:hAnsi="Arial"/>
          <w:sz w:val="15"/>
          <w:szCs w:val="15"/>
          <w:color w:val="auto"/>
        </w:rPr>
        <w:t>The registration rights granted under the 2016 Registration Rights Agreement terminate upon the earlier to occur of (i) the fifth anniversary of the closing of global offering of ordinary shares offered by us, consisting of ordinary shares in the form of ADSs offered in the U.S. offering and ordinary shares offered in the European private placement, as described in our prospectus filed with the SEC on April 28, 2017, and</w:t>
      </w:r>
    </w:p>
    <w:p>
      <w:pPr>
        <w:ind w:left="1120" w:right="1459"/>
        <w:spacing w:after="0" w:line="242" w:lineRule="auto"/>
        <w:tabs>
          <w:tab w:leader="none" w:pos="13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on which there are no registrable securities remaining pursuant to the registration rights agreement.</w:t>
      </w:r>
    </w:p>
    <w:p>
      <w:pPr>
        <w:spacing w:after="0" w:line="10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OTHER AGREEMENTS AND TRANSACTIONS</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Relationship Agreements</w:t>
      </w:r>
    </w:p>
    <w:p>
      <w:pPr>
        <w:spacing w:after="0" w:line="128" w:lineRule="exact"/>
        <w:rPr>
          <w:sz w:val="20"/>
          <w:szCs w:val="20"/>
          <w:color w:val="auto"/>
        </w:rPr>
      </w:pPr>
    </w:p>
    <w:p>
      <w:pPr>
        <w:ind w:left="1120" w:right="899" w:firstLine="320"/>
        <w:spacing w:after="0" w:line="253" w:lineRule="auto"/>
        <w:rPr>
          <w:sz w:val="20"/>
          <w:szCs w:val="20"/>
          <w:color w:val="auto"/>
        </w:rPr>
      </w:pPr>
      <w:r>
        <w:rPr>
          <w:rFonts w:ascii="Arial" w:cs="Arial" w:eastAsia="Arial" w:hAnsi="Arial"/>
          <w:sz w:val="15"/>
          <w:szCs w:val="15"/>
          <w:color w:val="auto"/>
        </w:rPr>
        <w:t>In June 2016, we entered into relationship agreements with each of Vivo Capital, OrbiMed and Abingworth,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and Abingworth to our Board of Directors, who are Dr. Mahendra Shah, Mr. Rishi Gupta, and Dr. Andrew Sinclair, respectively. The appointment rights under the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 Upon closing of the 2020 Private Placement, Vivo Capital and Abingworth ceased to beneficially hold 6.5% of our issued ordinary shares and, as a result, the appointment rights under the relationship agreements with such parties and the relationship agreements themselves automatically terminated as of July 22, 2020. On October 30, 2020, our ordinary shares were delisted from AIM and, as a result, the appointment rights under the relationship agreement with OrbiMed and the relationship agreement itself automatically terminated.</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140" w:lineRule="exact"/>
        <w:rPr>
          <w:sz w:val="20"/>
          <w:szCs w:val="20"/>
          <w:color w:val="auto"/>
        </w:rPr>
      </w:pPr>
    </w:p>
    <w:p>
      <w:pPr>
        <w:ind w:left="1120" w:right="919" w:firstLine="320"/>
        <w:spacing w:after="0" w:line="259" w:lineRule="auto"/>
        <w:rPr>
          <w:sz w:val="20"/>
          <w:szCs w:val="20"/>
          <w:color w:val="auto"/>
        </w:rPr>
      </w:pPr>
      <w:r>
        <w:rPr>
          <w:rFonts w:ascii="Arial" w:cs="Arial" w:eastAsia="Arial" w:hAnsi="Arial"/>
          <w:sz w:val="16"/>
          <w:szCs w:val="16"/>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Agreements with Our Executive Officers and Directors</w:t>
      </w:r>
    </w:p>
    <w:p>
      <w:pPr>
        <w:spacing w:after="0" w:line="140" w:lineRule="exact"/>
        <w:rPr>
          <w:sz w:val="20"/>
          <w:szCs w:val="20"/>
          <w:color w:val="auto"/>
        </w:rPr>
      </w:pPr>
    </w:p>
    <w:p>
      <w:pPr>
        <w:ind w:left="1120" w:right="959" w:firstLine="320"/>
        <w:spacing w:after="0" w:line="289" w:lineRule="auto"/>
        <w:rPr>
          <w:sz w:val="20"/>
          <w:szCs w:val="20"/>
          <w:color w:val="auto"/>
        </w:rPr>
      </w:pPr>
      <w:r>
        <w:rPr>
          <w:rFonts w:ascii="Arial" w:cs="Arial" w:eastAsia="Arial" w:hAnsi="Arial"/>
          <w:sz w:val="15"/>
          <w:szCs w:val="15"/>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“Executive and Director Compensation.”</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6"/>
          <w:szCs w:val="16"/>
          <w:b w:val="1"/>
          <w:bCs w:val="1"/>
          <w:i w:val="1"/>
          <w:iCs w:val="1"/>
          <w:color w:val="auto"/>
        </w:rPr>
        <w:t>Other Transactions</w:t>
      </w:r>
    </w:p>
    <w:p>
      <w:pPr>
        <w:spacing w:after="0" w:line="128" w:lineRule="exact"/>
        <w:rPr>
          <w:sz w:val="20"/>
          <w:szCs w:val="20"/>
          <w:color w:val="auto"/>
        </w:rPr>
      </w:pPr>
    </w:p>
    <w:p>
      <w:pPr>
        <w:ind w:left="1120" w:right="999" w:firstLine="320"/>
        <w:spacing w:after="0" w:line="270" w:lineRule="auto"/>
        <w:rPr>
          <w:sz w:val="20"/>
          <w:szCs w:val="20"/>
          <w:color w:val="auto"/>
        </w:rPr>
      </w:pPr>
      <w:r>
        <w:rPr>
          <w:rFonts w:ascii="Arial" w:cs="Arial" w:eastAsia="Arial" w:hAnsi="Arial"/>
          <w:sz w:val="15"/>
          <w:szCs w:val="15"/>
          <w:color w:val="auto"/>
        </w:rPr>
        <w:t>At December 31, 2020, there was a receivable of £nil (2019: £nil; 2018: £126 thousand) due from one director and two key management personnel relating to tax due on RSUs that vested in the year ended December 31, 2018. This receivable was repaid, together with interest at a rate of 3.9% per annum, by March 6, 2019. The Company notes that the transaction that generated this receivable was potentially a breach of Section 402 of the Sarbanes-Oxley Act of 2002. We may have inadvertently violated</w:t>
      </w:r>
    </w:p>
    <w:p>
      <w:pPr>
        <w:spacing w:after="0" w:line="1" w:lineRule="exact"/>
        <w:rPr>
          <w:sz w:val="20"/>
          <w:szCs w:val="20"/>
          <w:color w:val="auto"/>
        </w:rPr>
      </w:pPr>
    </w:p>
    <w:p>
      <w:pPr>
        <w:ind w:left="1120" w:right="939"/>
        <w:spacing w:after="0" w:line="260" w:lineRule="auto"/>
        <w:rPr>
          <w:sz w:val="20"/>
          <w:szCs w:val="20"/>
          <w:color w:val="auto"/>
        </w:rPr>
      </w:pPr>
      <w:r>
        <w:rPr>
          <w:rFonts w:ascii="Arial" w:cs="Arial" w:eastAsia="Arial" w:hAnsi="Arial"/>
          <w:sz w:val="16"/>
          <w:szCs w:val="16"/>
          <w:color w:val="auto"/>
        </w:rPr>
        <w:t>Section 13(k) of the Exchange Act (implementing Section 402 of the Sarbanes-Oxley Act of 2002) and may be subject to sanctions as a result.</w:t>
      </w: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1" w:name="page52"/>
    <w:bookmarkEnd w:id="51"/>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Additional Information</w:t>
      </w:r>
    </w:p>
    <w:p>
      <w:pPr>
        <w:spacing w:after="0" w:line="13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SHAREHOLDERS’ RIGHTS TO CALL A GENERAL MEETING</w:t>
      </w:r>
    </w:p>
    <w:p>
      <w:pPr>
        <w:spacing w:after="0" w:line="140" w:lineRule="exact"/>
        <w:rPr>
          <w:sz w:val="20"/>
          <w:szCs w:val="20"/>
          <w:color w:val="auto"/>
        </w:rPr>
      </w:pPr>
    </w:p>
    <w:p>
      <w:pPr>
        <w:ind w:left="1120" w:right="1039" w:firstLine="320"/>
        <w:spacing w:after="0" w:line="239" w:lineRule="auto"/>
        <w:rPr>
          <w:sz w:val="20"/>
          <w:szCs w:val="20"/>
          <w:color w:val="auto"/>
        </w:rPr>
      </w:pPr>
      <w:r>
        <w:rPr>
          <w:rFonts w:ascii="Arial" w:cs="Arial" w:eastAsia="Arial" w:hAnsi="Arial"/>
          <w:sz w:val="16"/>
          <w:szCs w:val="16"/>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SHAREHOLDER PROPOSALS FOR THE 2022 ANNUAL GENERAL MEETING</w:t>
      </w:r>
    </w:p>
    <w:p>
      <w:pPr>
        <w:spacing w:after="0" w:line="128" w:lineRule="exact"/>
        <w:rPr>
          <w:sz w:val="20"/>
          <w:szCs w:val="20"/>
          <w:color w:val="auto"/>
        </w:rPr>
      </w:pPr>
    </w:p>
    <w:p>
      <w:pPr>
        <w:ind w:left="1120" w:right="979" w:firstLine="320"/>
        <w:spacing w:after="0" w:line="245" w:lineRule="auto"/>
        <w:rPr>
          <w:sz w:val="20"/>
          <w:szCs w:val="20"/>
          <w:color w:val="auto"/>
        </w:rPr>
      </w:pPr>
      <w:r>
        <w:rPr>
          <w:rFonts w:ascii="Arial" w:cs="Arial" w:eastAsia="Arial" w:hAnsi="Arial"/>
          <w:sz w:val="15"/>
          <w:szCs w:val="15"/>
          <w:i w:val="1"/>
          <w:iCs w:val="1"/>
          <w:color w:val="auto"/>
        </w:rPr>
        <w:t xml:space="preserve">Rule 14a-8 Proposals — </w:t>
      </w:r>
      <w:r>
        <w:rPr>
          <w:rFonts w:ascii="Arial" w:cs="Arial" w:eastAsia="Arial" w:hAnsi="Arial"/>
          <w:sz w:val="15"/>
          <w:szCs w:val="15"/>
          <w:color w:val="auto"/>
        </w:rPr>
        <w:t>Pursuant to Rule 14a-8 under the Exchange Act, shareholders who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have a proposal considered for inclusion in our proxy materials for presentation at our 2022 annual general meeting of shareholders must submit the proposal to the Company Secretary, Verona Pharma plc,</w:t>
      </w:r>
    </w:p>
    <w:p>
      <w:pPr>
        <w:spacing w:after="0" w:line="1" w:lineRule="exact"/>
        <w:rPr>
          <w:sz w:val="20"/>
          <w:szCs w:val="20"/>
          <w:color w:val="auto"/>
        </w:rPr>
      </w:pPr>
    </w:p>
    <w:p>
      <w:pPr>
        <w:ind w:left="1120" w:right="979"/>
        <w:spacing w:after="0" w:line="226" w:lineRule="auto"/>
        <w:rPr>
          <w:sz w:val="20"/>
          <w:szCs w:val="20"/>
          <w:color w:val="auto"/>
        </w:rPr>
      </w:pPr>
      <w:r>
        <w:rPr>
          <w:rFonts w:ascii="Arial" w:cs="Arial" w:eastAsia="Arial" w:hAnsi="Arial"/>
          <w:sz w:val="16"/>
          <w:szCs w:val="16"/>
          <w:color w:val="auto"/>
        </w:rPr>
        <w:t>c/o Shakespeare Martineau LLP, at 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60 Gracechurch Street, London, EC3V 0H, Attn: Ben Harber, in writing not later than 120 days before the anniversary of the date on which we sent our proxy materials for the AGM, or November 22, 2021, unless the date of the 2022 annual general meeting of shareholders is changed by more than 30 days from the date of the AGM, and must satisfy the requirements of the proxy rules promulgated by the SEC.</w:t>
      </w:r>
    </w:p>
    <w:p>
      <w:pPr>
        <w:spacing w:after="0" w:line="111" w:lineRule="exact"/>
        <w:rPr>
          <w:sz w:val="20"/>
          <w:szCs w:val="20"/>
          <w:color w:val="auto"/>
        </w:rPr>
      </w:pPr>
    </w:p>
    <w:p>
      <w:pPr>
        <w:ind w:left="1120" w:right="939" w:firstLine="320"/>
        <w:spacing w:after="0" w:line="246" w:lineRule="auto"/>
        <w:rPr>
          <w:sz w:val="20"/>
          <w:szCs w:val="20"/>
          <w:color w:val="auto"/>
        </w:rPr>
      </w:pPr>
      <w:r>
        <w:rPr>
          <w:rFonts w:ascii="Arial" w:cs="Arial" w:eastAsia="Arial" w:hAnsi="Arial"/>
          <w:sz w:val="15"/>
          <w:szCs w:val="15"/>
          <w:i w:val="1"/>
          <w:iCs w:val="1"/>
          <w:color w:val="auto"/>
        </w:rPr>
        <w:t xml:space="preserve">Other Proposals — </w:t>
      </w:r>
      <w:r>
        <w:rPr>
          <w:rFonts w:ascii="Arial" w:cs="Arial" w:eastAsia="Arial" w:hAnsi="Arial"/>
          <w:sz w:val="15"/>
          <w:szCs w:val="15"/>
          <w:color w:val="auto"/>
        </w:rPr>
        <w:t>Shareholders intending to include a proposal on the agenda for the 2022 annual</w:t>
      </w:r>
      <w:r>
        <w:rPr>
          <w:rFonts w:ascii="Arial" w:cs="Arial" w:eastAsia="Arial" w:hAnsi="Arial"/>
          <w:sz w:val="15"/>
          <w:szCs w:val="15"/>
          <w:i w:val="1"/>
          <w:iCs w:val="1"/>
          <w:color w:val="auto"/>
        </w:rPr>
        <w:t xml:space="preserve"> </w:t>
      </w:r>
      <w:r>
        <w:rPr>
          <w:rFonts w:ascii="Arial" w:cs="Arial" w:eastAsia="Arial" w:hAnsi="Arial"/>
          <w:sz w:val="15"/>
          <w:szCs w:val="15"/>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 60 Gracechurch Street, London, EC3V 0H,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2022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104" w:lineRule="exact"/>
        <w:rPr>
          <w:sz w:val="20"/>
          <w:szCs w:val="20"/>
          <w:color w:val="auto"/>
        </w:rPr>
      </w:pPr>
    </w:p>
    <w:p>
      <w:pPr>
        <w:ind w:left="1120" w:right="939" w:firstLine="320"/>
        <w:spacing w:after="0" w:line="226" w:lineRule="auto"/>
        <w:rPr>
          <w:sz w:val="20"/>
          <w:szCs w:val="20"/>
          <w:color w:val="auto"/>
        </w:rPr>
      </w:pPr>
      <w:r>
        <w:rPr>
          <w:rFonts w:ascii="Arial" w:cs="Arial" w:eastAsia="Arial" w:hAnsi="Arial"/>
          <w:sz w:val="15"/>
          <w:szCs w:val="15"/>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 60 Gracechurch Street,</w:t>
      </w:r>
    </w:p>
    <w:p>
      <w:pPr>
        <w:spacing w:after="0" w:line="2" w:lineRule="exact"/>
        <w:rPr>
          <w:sz w:val="20"/>
          <w:szCs w:val="20"/>
          <w:color w:val="auto"/>
        </w:rPr>
      </w:pPr>
    </w:p>
    <w:p>
      <w:pPr>
        <w:ind w:left="1120" w:right="1299"/>
        <w:spacing w:after="0" w:line="242" w:lineRule="auto"/>
        <w:rPr>
          <w:sz w:val="20"/>
          <w:szCs w:val="20"/>
          <w:color w:val="auto"/>
        </w:rPr>
      </w:pPr>
      <w:r>
        <w:rPr>
          <w:rFonts w:ascii="Arial" w:cs="Arial" w:eastAsia="Arial" w:hAnsi="Arial"/>
          <w:sz w:val="16"/>
          <w:szCs w:val="16"/>
          <w:color w:val="auto"/>
        </w:rPr>
        <w:t>London, EC3V 0HR, for a copy of the relevant provisions of our Articles of Association regarding the requirements for making shareholder proposals.</w:t>
      </w:r>
    </w:p>
    <w:p>
      <w:pPr>
        <w:spacing w:after="0" w:line="94" w:lineRule="exact"/>
        <w:rPr>
          <w:sz w:val="20"/>
          <w:szCs w:val="20"/>
          <w:color w:val="auto"/>
        </w:rPr>
      </w:pPr>
    </w:p>
    <w:p>
      <w:pPr>
        <w:ind w:left="1120" w:right="1219" w:firstLine="320"/>
        <w:spacing w:after="0" w:line="261"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these or other applicable requirements.</w:t>
      </w:r>
    </w:p>
    <w:p>
      <w:pPr>
        <w:spacing w:after="0" w:line="9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OTHER MATTERS</w:t>
      </w:r>
    </w:p>
    <w:p>
      <w:pPr>
        <w:spacing w:after="0" w:line="14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No business shall be voted on at the AGM, except such items as included in the agenda for the AGM.</w:t>
      </w:r>
    </w:p>
    <w:p>
      <w:pPr>
        <w:spacing w:after="0" w:line="13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SOLICITATION OF PROXIES</w:t>
      </w:r>
    </w:p>
    <w:p>
      <w:pPr>
        <w:spacing w:after="0" w:line="140" w:lineRule="exact"/>
        <w:rPr>
          <w:sz w:val="20"/>
          <w:szCs w:val="20"/>
          <w:color w:val="auto"/>
        </w:rPr>
      </w:pPr>
    </w:p>
    <w:p>
      <w:pPr>
        <w:ind w:left="1120" w:right="919" w:firstLine="320"/>
        <w:spacing w:after="0" w:line="257" w:lineRule="auto"/>
        <w:rPr>
          <w:sz w:val="20"/>
          <w:szCs w:val="20"/>
          <w:color w:val="auto"/>
        </w:rPr>
      </w:pPr>
      <w:r>
        <w:rPr>
          <w:rFonts w:ascii="Arial" w:cs="Arial" w:eastAsia="Arial" w:hAnsi="Arial"/>
          <w:sz w:val="15"/>
          <w:szCs w:val="15"/>
          <w:color w:val="auto"/>
        </w:rPr>
        <w:t>The accompanying proxy is solicited by and on behalf of our Board of Directors, whose Notice of AGM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2" w:name="page53"/>
    <w:bookmarkEnd w:id="52"/>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right="959" w:firstLine="320"/>
        <w:spacing w:after="0" w:line="311" w:lineRule="auto"/>
        <w:rPr>
          <w:sz w:val="20"/>
          <w:szCs w:val="20"/>
          <w:color w:val="auto"/>
        </w:rPr>
      </w:pPr>
      <w:r>
        <w:rPr>
          <w:rFonts w:ascii="Arial" w:cs="Arial" w:eastAsia="Arial" w:hAnsi="Arial"/>
          <w:sz w:val="15"/>
          <w:szCs w:val="15"/>
          <w:color w:val="auto"/>
        </w:rPr>
        <w:t>Certain information contained in this proxy statement relating to the occupations and security holdings of our directors and officers is based upon information received from the individual directors and officers.</w:t>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HOUSEHOLDING</w:t>
      </w:r>
    </w:p>
    <w:p>
      <w:pPr>
        <w:spacing w:after="0" w:line="140" w:lineRule="exact"/>
        <w:rPr>
          <w:sz w:val="20"/>
          <w:szCs w:val="20"/>
          <w:color w:val="auto"/>
        </w:rPr>
      </w:pPr>
    </w:p>
    <w:p>
      <w:pPr>
        <w:ind w:left="1120" w:right="899" w:firstLine="320"/>
        <w:spacing w:after="0" w:line="252" w:lineRule="auto"/>
        <w:rPr>
          <w:sz w:val="20"/>
          <w:szCs w:val="20"/>
          <w:color w:val="auto"/>
        </w:rPr>
      </w:pPr>
      <w:r>
        <w:rPr>
          <w:rFonts w:ascii="Arial" w:cs="Arial" w:eastAsia="Arial" w:hAnsi="Arial"/>
          <w:sz w:val="16"/>
          <w:szCs w:val="16"/>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11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VERONA PHARMA’S ANNUAL REPORT ON FORM 10-K</w:t>
      </w:r>
    </w:p>
    <w:p>
      <w:pPr>
        <w:spacing w:after="0" w:line="128" w:lineRule="exact"/>
        <w:rPr>
          <w:sz w:val="20"/>
          <w:szCs w:val="20"/>
          <w:color w:val="auto"/>
        </w:rPr>
      </w:pPr>
    </w:p>
    <w:p>
      <w:pPr>
        <w:ind w:left="1120" w:right="899" w:firstLine="320"/>
        <w:spacing w:after="0" w:line="259" w:lineRule="auto"/>
        <w:rPr>
          <w:sz w:val="20"/>
          <w:szCs w:val="20"/>
          <w:color w:val="auto"/>
        </w:rPr>
      </w:pPr>
      <w:r>
        <w:rPr>
          <w:rFonts w:ascii="Arial" w:cs="Arial" w:eastAsia="Arial" w:hAnsi="Arial"/>
          <w:sz w:val="16"/>
          <w:szCs w:val="16"/>
          <w:color w:val="auto"/>
        </w:rPr>
        <w:t>A copy of Verona Pharma’s Annual Report on Form 10-K for the fiscal year ended December 31, 2020, including financial statements and schedules thereto but not including exhibits, as filed with the SEC, will be sent to any shareholder of record as of the close of business on March 12, 2021 without charge upon written request addressed to:</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Verona Pharma plc</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Attention: General Counsel</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Email: claire.poll@veronapharma.com</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 More London Riverside</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London SE1 2RE</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United Kingdom</w:t>
      </w:r>
    </w:p>
    <w:p>
      <w:pPr>
        <w:spacing w:after="0" w:line="127" w:lineRule="exact"/>
        <w:rPr>
          <w:sz w:val="20"/>
          <w:szCs w:val="20"/>
          <w:color w:val="auto"/>
        </w:rPr>
      </w:pPr>
    </w:p>
    <w:p>
      <w:pPr>
        <w:ind w:left="1120" w:right="1199" w:firstLine="320"/>
        <w:spacing w:after="0" w:line="311" w:lineRule="auto"/>
        <w:rPr>
          <w:sz w:val="20"/>
          <w:szCs w:val="20"/>
          <w:color w:val="auto"/>
        </w:rPr>
      </w:pPr>
      <w:r>
        <w:rPr>
          <w:rFonts w:ascii="Arial" w:cs="Arial" w:eastAsia="Arial" w:hAnsi="Arial"/>
          <w:sz w:val="15"/>
          <w:szCs w:val="15"/>
          <w:color w:val="auto"/>
        </w:rPr>
        <w:t xml:space="preserve">A reasonable fee will be charged for copies of exhibits. You also may access our Annual Report on Form 10-K for the year ended December 31, 2020 at </w:t>
      </w:r>
      <w:r>
        <w:rPr>
          <w:rFonts w:ascii="Arial" w:cs="Arial" w:eastAsia="Arial" w:hAnsi="Arial"/>
          <w:sz w:val="15"/>
          <w:szCs w:val="15"/>
          <w:i w:val="1"/>
          <w:iCs w:val="1"/>
          <w:color w:val="auto"/>
        </w:rPr>
        <w:t>www.veronapharma.com/investors</w:t>
      </w:r>
      <w:r>
        <w:rPr>
          <w:rFonts w:ascii="Arial" w:cs="Arial" w:eastAsia="Arial" w:hAnsi="Arial"/>
          <w:sz w:val="15"/>
          <w:szCs w:val="15"/>
          <w:color w:val="auto"/>
        </w:rPr>
        <w:t>.</w:t>
      </w:r>
    </w:p>
    <w:p>
      <w:pPr>
        <w:spacing w:after="0" w:line="56" w:lineRule="exact"/>
        <w:rPr>
          <w:sz w:val="20"/>
          <w:szCs w:val="20"/>
          <w:color w:val="auto"/>
        </w:rPr>
      </w:pPr>
    </w:p>
    <w:p>
      <w:pPr>
        <w:ind w:left="1120" w:right="1279" w:firstLine="320"/>
        <w:spacing w:after="0" w:line="311" w:lineRule="auto"/>
        <w:rPr>
          <w:sz w:val="20"/>
          <w:szCs w:val="20"/>
          <w:color w:val="auto"/>
        </w:rPr>
      </w:pPr>
      <w:r>
        <w:rPr>
          <w:rFonts w:ascii="Arial" w:cs="Arial" w:eastAsia="Arial" w:hAnsi="Arial"/>
          <w:sz w:val="15"/>
          <w:szCs w:val="15"/>
          <w:color w:val="auto"/>
        </w:rPr>
        <w:t>U.K. STATUTORY ANNUAL ACCOUNTS AND REPORTS OF THE BOARD OF DIRECTORS AND AUDITORS OF VERONA PHARMA PLC FOR THE YEAR ENDED DECEMBER 31, 2020</w:t>
      </w:r>
    </w:p>
    <w:p>
      <w:pPr>
        <w:spacing w:after="0" w:line="68" w:lineRule="exact"/>
        <w:rPr>
          <w:sz w:val="20"/>
          <w:szCs w:val="20"/>
          <w:color w:val="auto"/>
        </w:rPr>
      </w:pPr>
    </w:p>
    <w:p>
      <w:pPr>
        <w:ind w:left="1120" w:right="879" w:firstLine="320"/>
        <w:spacing w:after="0" w:line="252" w:lineRule="auto"/>
        <w:rPr>
          <w:sz w:val="20"/>
          <w:szCs w:val="20"/>
          <w:color w:val="auto"/>
        </w:rPr>
      </w:pPr>
      <w:r>
        <w:rPr>
          <w:rFonts w:ascii="Arial" w:cs="Arial" w:eastAsia="Arial" w:hAnsi="Arial"/>
          <w:sz w:val="16"/>
          <w:szCs w:val="16"/>
          <w:color w:val="auto"/>
        </w:rPr>
        <w:t>Consistent with its obligations under the U.K. Companies Act 2006, our Board of Directors will present at the AGM our 2020 U.K. Annual Report. Accordingly, our Board of Directors will lay before the Company at the AGM the Company’s 2020 U.K. Annual Report,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within Annex A to this proxy statement. A complete copy of our 2020 U.K. Annual Report will be sent separately to those shareholders who have opted in to receive a printed copy of the document no less than 21 days prior to the AGM. You will be provided an opportunity to raise questions in relation to such accounts and reports at the AGM vie teleconference. Full accounts and reports will be available on the Company’s website prior to and during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3" w:name="page54"/>
    <w:bookmarkEnd w:id="53"/>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EACH SHAREHOLDER IS URGED TO VOTE YOUR SHARES AS DESCRIBED IN THIS PROXY</w:t>
      </w:r>
    </w:p>
    <w:p>
      <w:pPr>
        <w:spacing w:after="0" w:line="24" w:lineRule="exact"/>
        <w:rPr>
          <w:sz w:val="20"/>
          <w:szCs w:val="20"/>
          <w:color w:val="auto"/>
        </w:rPr>
      </w:pPr>
    </w:p>
    <w:p>
      <w:pPr>
        <w:jc w:val="center"/>
        <w:ind w:left="2340"/>
        <w:spacing w:after="0" w:line="255" w:lineRule="auto"/>
        <w:rPr>
          <w:sz w:val="20"/>
          <w:szCs w:val="20"/>
          <w:color w:val="auto"/>
        </w:rPr>
      </w:pPr>
      <w:r>
        <w:rPr>
          <w:rFonts w:ascii="Arial" w:cs="Arial" w:eastAsia="Arial" w:hAnsi="Arial"/>
          <w:sz w:val="16"/>
          <w:szCs w:val="16"/>
          <w:b w:val="1"/>
          <w:bCs w:val="1"/>
          <w:color w:val="auto"/>
        </w:rPr>
        <w:t>STATEMENT. PROMPTLY VOTING YOUR SHARES WILL ENSURE THE PRESENCE OF A QUORUM AT THE ANNUAL GENERAL MEETING OF SHAREHOLDERS AND WILL SAVE US THE EXPENSE OF FURTHER SOLICITATION.</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EACH ADS HOLDER IS URGED TO COMPLETE, DATE, SIGN AND PROMPTLY RETURN ADS</w:t>
      </w:r>
    </w:p>
    <w:p>
      <w:pPr>
        <w:spacing w:after="0" w:line="24"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VOTING INSTRUCTIONS TO CITIBANK, N.A., THE DEPOSITARY FOR THE ADSs.</w:t>
      </w:r>
    </w:p>
    <w:p>
      <w:pPr>
        <w:spacing w:after="0" w:line="37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By Order of the Board of Directors</w:t>
      </w:r>
    </w:p>
    <w:p>
      <w:pPr>
        <w:spacing w:after="0" w:line="39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David Zaccardelli, Pharm.D.</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President and Chief Executive Officer</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London, United Kingdom</w:t>
      </w:r>
    </w:p>
    <w:p>
      <w:pPr>
        <w:spacing w:after="0" w:line="200"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4" w:name="page55"/>
    <w:bookmarkEnd w:id="54"/>
    <w:p>
      <w:pPr>
        <w:spacing w:after="0"/>
        <w:rPr>
          <w:rFonts w:ascii="Arial" w:cs="Arial" w:eastAsia="Arial" w:hAnsi="Arial"/>
          <w:sz w:val="13"/>
          <w:szCs w:val="13"/>
          <w:color w:val="003366"/>
        </w:rPr>
      </w:pPr>
      <w:hyperlink w:anchor="page10">
        <w:r>
          <w:rPr>
            <w:rFonts w:ascii="Arial" w:cs="Arial" w:eastAsia="Arial" w:hAnsi="Arial"/>
            <w:sz w:val="13"/>
            <w:szCs w:val="13"/>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20" w:right="1379"/>
        <w:spacing w:after="0" w:line="282" w:lineRule="auto"/>
        <w:rPr>
          <w:sz w:val="20"/>
          <w:szCs w:val="20"/>
          <w:color w:val="auto"/>
        </w:rPr>
      </w:pPr>
      <w:r>
        <w:rPr>
          <w:rFonts w:ascii="Arial" w:cs="Arial" w:eastAsia="Arial" w:hAnsi="Arial"/>
          <w:sz w:val="16"/>
          <w:szCs w:val="16"/>
          <w:b w:val="1"/>
          <w:bCs w:val="1"/>
          <w:color w:val="auto"/>
        </w:rPr>
        <w:t>Annex A to Proxy Statement: U.K. Statutory Annual Accounts and Directors’ Report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2540</wp:posOffset>
            </wp:positionV>
            <wp:extent cx="462788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278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6171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279"/>
          </w:cols>
          <w:pgMar w:left="1180" w:top="132" w:right="1440"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7560" cy="9491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9893300</wp:posOffset>
            </wp:positionV>
            <wp:extent cx="71475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9893300</wp:posOffset>
            </wp:positionV>
            <wp:extent cx="71475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9893300</wp:posOffset>
            </wp:positionV>
            <wp:extent cx="71475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408940</wp:posOffset>
            </wp:positionV>
            <wp:extent cx="7147560" cy="9491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408305</wp:posOffset>
            </wp:positionV>
            <wp:extent cx="7147560" cy="94919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7560" cy="949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ind w:left="3600"/>
        <w:spacing w:after="0"/>
        <w:rPr>
          <w:sz w:val="20"/>
          <w:szCs w:val="20"/>
          <w:color w:val="auto"/>
        </w:rPr>
      </w:pPr>
      <w:r>
        <w:rPr>
          <w:rFonts w:ascii="Arial" w:cs="Arial" w:eastAsia="Arial" w:hAnsi="Arial"/>
          <w:sz w:val="16"/>
          <w:szCs w:val="16"/>
          <w:b w:val="1"/>
          <w:bCs w:val="1"/>
          <w:color w:val="auto"/>
        </w:rPr>
        <w:t>VERONA PHARMA PLC</w:t>
      </w:r>
    </w:p>
    <w:p>
      <w:pPr>
        <w:spacing w:after="0" w:line="14"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FORM OF PROXY</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20320</wp:posOffset>
            </wp:positionV>
            <wp:extent cx="484886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48860" cy="7620"/>
                    </a:xfrm>
                    <a:prstGeom prst="rect">
                      <a:avLst/>
                    </a:prstGeom>
                    <a:noFill/>
                  </pic:spPr>
                </pic:pic>
              </a:graphicData>
            </a:graphic>
          </wp:anchor>
        </w:drawing>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20320</wp:posOffset>
            </wp:positionV>
            <wp:extent cx="496316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63160" cy="7620"/>
                    </a:xfrm>
                    <a:prstGeom prst="rect">
                      <a:avLst/>
                    </a:prstGeom>
                    <a:noFill/>
                  </pic:spPr>
                </pic:pic>
              </a:graphicData>
            </a:graphic>
          </wp:anchor>
        </w:drawing>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being a member of the Company, hereby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20320</wp:posOffset>
            </wp:positionV>
            <wp:extent cx="294576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45765" cy="7620"/>
                    </a:xfrm>
                    <a:prstGeom prst="rect">
                      <a:avLst/>
                    </a:prstGeom>
                    <a:noFill/>
                  </pic:spPr>
                </pic:pic>
              </a:graphicData>
            </a:graphic>
          </wp:anchor>
        </w:drawing>
      </w:r>
    </w:p>
    <w:p>
      <w:pPr>
        <w:spacing w:after="0" w:line="204" w:lineRule="exact"/>
        <w:rPr>
          <w:sz w:val="20"/>
          <w:szCs w:val="20"/>
          <w:color w:val="auto"/>
        </w:rPr>
      </w:pPr>
    </w:p>
    <w:p>
      <w:pPr>
        <w:ind w:left="480" w:right="579"/>
        <w:spacing w:after="0" w:line="247" w:lineRule="auto"/>
        <w:rPr>
          <w:sz w:val="20"/>
          <w:szCs w:val="20"/>
          <w:color w:val="auto"/>
        </w:rPr>
      </w:pPr>
      <w:r>
        <w:rPr>
          <w:rFonts w:ascii="Arial" w:cs="Arial" w:eastAsia="Arial" w:hAnsi="Arial"/>
          <w:sz w:val="16"/>
          <w:szCs w:val="16"/>
          <w:color w:val="auto"/>
        </w:rPr>
        <w:t>or failing him/her, the Chairman of the Meeting, as my/our proxy to attend, speak and vote for me/us on my/our behalf at the 2021 Annual General Meeting (the “AGM”) of the Company to be held at 1:00 pm (British Summer Time) on April 27, 2021 and at any adjournment thereof.</w:t>
      </w:r>
    </w:p>
    <w:p>
      <w:pPr>
        <w:spacing w:after="0" w:line="103" w:lineRule="exact"/>
        <w:rPr>
          <w:sz w:val="20"/>
          <w:szCs w:val="20"/>
          <w:color w:val="auto"/>
        </w:rPr>
      </w:pPr>
    </w:p>
    <w:p>
      <w:pPr>
        <w:ind w:left="480" w:right="659"/>
        <w:spacing w:after="0" w:line="261" w:lineRule="auto"/>
        <w:rPr>
          <w:sz w:val="20"/>
          <w:szCs w:val="20"/>
          <w:color w:val="auto"/>
        </w:rPr>
      </w:pPr>
      <w:r>
        <w:rPr>
          <w:rFonts w:ascii="Arial" w:cs="Arial" w:eastAsia="Arial" w:hAnsi="Arial"/>
          <w:sz w:val="16"/>
          <w:szCs w:val="16"/>
          <w:color w:val="auto"/>
        </w:rPr>
        <w:t>I/We direct my/our vote as indicated below in respect of the resolutions which are referred to in the Notice convening the AGM (see note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81280</wp:posOffset>
            </wp:positionV>
            <wp:extent cx="5115560" cy="42398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15560" cy="4239895"/>
                    </a:xfrm>
                    <a:prstGeom prst="rect">
                      <a:avLst/>
                    </a:prstGeom>
                    <a:noFill/>
                  </pic:spPr>
                </pic:pic>
              </a:graphicData>
            </a:graphic>
          </wp:anchor>
        </w:drawing>
      </w:r>
    </w:p>
    <w:p>
      <w:pPr>
        <w:spacing w:after="0" w:line="129" w:lineRule="exact"/>
        <w:rPr>
          <w:sz w:val="20"/>
          <w:szCs w:val="20"/>
          <w:color w:val="auto"/>
        </w:rPr>
      </w:pPr>
    </w:p>
    <w:tbl>
      <w:tblPr>
        <w:tblLayout w:type="fixed"/>
        <w:tblInd w:w="1600" w:type="dxa"/>
        <w:tblCellMar>
          <w:top w:w="0" w:type="dxa"/>
          <w:left w:w="0" w:type="dxa"/>
          <w:bottom w:w="0" w:type="dxa"/>
          <w:right w:w="0" w:type="dxa"/>
        </w:tblCellMar>
      </w:tblPr>
      <w:tr>
        <w:trPr>
          <w:trHeight w:val="205"/>
        </w:trPr>
        <w:tc>
          <w:tcPr>
            <w:tcW w:w="2480" w:type="dxa"/>
            <w:vAlign w:val="bottom"/>
          </w:tcPr>
          <w:p>
            <w:pPr>
              <w:spacing w:after="0"/>
              <w:rPr>
                <w:sz w:val="20"/>
                <w:szCs w:val="20"/>
                <w:color w:val="auto"/>
              </w:rPr>
            </w:pPr>
            <w:r>
              <w:rPr>
                <w:rFonts w:ascii="Arial" w:cs="Arial" w:eastAsia="Arial" w:hAnsi="Arial"/>
                <w:sz w:val="16"/>
                <w:szCs w:val="16"/>
                <w:b w:val="1"/>
                <w:bCs w:val="1"/>
                <w:color w:val="auto"/>
              </w:rPr>
              <w:t>Ordinary Resolutions</w:t>
            </w:r>
          </w:p>
        </w:tc>
        <w:tc>
          <w:tcPr>
            <w:tcW w:w="4340" w:type="dxa"/>
            <w:vAlign w:val="bottom"/>
          </w:tcPr>
          <w:p>
            <w:pPr>
              <w:ind w:left="1100"/>
              <w:spacing w:after="0"/>
              <w:rPr>
                <w:sz w:val="20"/>
                <w:szCs w:val="20"/>
                <w:color w:val="auto"/>
              </w:rPr>
            </w:pPr>
            <w:r>
              <w:rPr>
                <w:rFonts w:ascii="Arial" w:cs="Arial" w:eastAsia="Arial" w:hAnsi="Arial"/>
                <w:sz w:val="16"/>
                <w:szCs w:val="16"/>
                <w:b w:val="1"/>
                <w:bCs w:val="1"/>
                <w:color w:val="auto"/>
              </w:rPr>
              <w:t>FOR AGAINST  WITHHELD  DISCRETION</w:t>
            </w:r>
          </w:p>
        </w:tc>
      </w:tr>
    </w:tbl>
    <w:p>
      <w:pPr>
        <w:ind w:left="540"/>
        <w:spacing w:after="0"/>
        <w:tabs>
          <w:tab w:leader="none" w:pos="1580" w:val="left"/>
        </w:tabs>
        <w:rPr>
          <w:sz w:val="20"/>
          <w:szCs w:val="20"/>
          <w:color w:val="auto"/>
        </w:rPr>
      </w:pPr>
      <w:r>
        <w:rPr>
          <w:rFonts w:ascii="Arial" w:cs="Arial" w:eastAsia="Arial" w:hAnsi="Arial"/>
          <w:sz w:val="16"/>
          <w:szCs w:val="16"/>
          <w:color w:val="auto"/>
        </w:rPr>
        <w:t>Resolution 1</w:t>
      </w:r>
      <w:r>
        <w:rPr>
          <w:sz w:val="20"/>
          <w:szCs w:val="20"/>
          <w:color w:val="auto"/>
        </w:rPr>
        <w:tab/>
      </w:r>
      <w:r>
        <w:rPr>
          <w:rFonts w:ascii="Arial" w:cs="Arial" w:eastAsia="Arial" w:hAnsi="Arial"/>
          <w:sz w:val="15"/>
          <w:szCs w:val="15"/>
          <w:color w:val="auto"/>
        </w:rPr>
        <w:t>To re-elect Dr. David Ebsworth as a director of the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Company.</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2</w:t>
      </w:r>
      <w:r>
        <w:rPr>
          <w:sz w:val="20"/>
          <w:szCs w:val="20"/>
          <w:color w:val="auto"/>
        </w:rPr>
        <w:tab/>
      </w:r>
      <w:r>
        <w:rPr>
          <w:rFonts w:ascii="Arial" w:cs="Arial" w:eastAsia="Arial" w:hAnsi="Arial"/>
          <w:sz w:val="15"/>
          <w:szCs w:val="15"/>
          <w:color w:val="auto"/>
        </w:rPr>
        <w:t>To re-elect Dr. Martin Edwards as a director of the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Company.</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3</w:t>
      </w:r>
      <w:r>
        <w:rPr>
          <w:sz w:val="20"/>
          <w:szCs w:val="20"/>
          <w:color w:val="auto"/>
        </w:rPr>
        <w:tab/>
      </w:r>
      <w:r>
        <w:rPr>
          <w:rFonts w:ascii="Arial" w:cs="Arial" w:eastAsia="Arial" w:hAnsi="Arial"/>
          <w:sz w:val="15"/>
          <w:szCs w:val="15"/>
          <w:color w:val="auto"/>
        </w:rPr>
        <w:t>To re-elect Dr. Sven Anders Ullman as a director of</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Company.</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4</w:t>
      </w:r>
      <w:r>
        <w:rPr>
          <w:sz w:val="20"/>
          <w:szCs w:val="20"/>
          <w:color w:val="auto"/>
        </w:rPr>
        <w:tab/>
      </w:r>
      <w:r>
        <w:rPr>
          <w:rFonts w:ascii="Arial" w:cs="Arial" w:eastAsia="Arial" w:hAnsi="Arial"/>
          <w:sz w:val="14"/>
          <w:szCs w:val="14"/>
          <w:color w:val="auto"/>
        </w:rPr>
        <w:t>To re-elect Lisa Deschamps as a director of the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Company.</w:t>
      </w:r>
    </w:p>
    <w:p>
      <w:pPr>
        <w:spacing w:after="0" w:line="3" w:lineRule="exact"/>
        <w:rPr>
          <w:sz w:val="20"/>
          <w:szCs w:val="20"/>
          <w:color w:val="auto"/>
        </w:rPr>
      </w:pPr>
    </w:p>
    <w:p>
      <w:pPr>
        <w:ind w:left="1600" w:right="3959" w:hanging="1054"/>
        <w:spacing w:after="0" w:line="239" w:lineRule="auto"/>
        <w:tabs>
          <w:tab w:leader="none" w:pos="1580" w:val="left"/>
        </w:tabs>
        <w:rPr>
          <w:sz w:val="20"/>
          <w:szCs w:val="20"/>
          <w:color w:val="auto"/>
        </w:rPr>
      </w:pPr>
      <w:r>
        <w:rPr>
          <w:rFonts w:ascii="Arial" w:cs="Arial" w:eastAsia="Arial" w:hAnsi="Arial"/>
          <w:sz w:val="16"/>
          <w:szCs w:val="16"/>
          <w:color w:val="auto"/>
        </w:rPr>
        <w:t>Resolution 5</w:t>
        <w:tab/>
        <w:t>To receive and adopt the U.K. statutory annual accounts and Directors’ report for the year ended 31 December 2020.</w:t>
      </w:r>
    </w:p>
    <w:p>
      <w:pPr>
        <w:spacing w:after="0" w:line="2"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6</w:t>
      </w:r>
      <w:r>
        <w:rPr>
          <w:sz w:val="20"/>
          <w:szCs w:val="20"/>
          <w:color w:val="auto"/>
        </w:rPr>
        <w:tab/>
      </w:r>
      <w:r>
        <w:rPr>
          <w:rFonts w:ascii="Arial" w:cs="Arial" w:eastAsia="Arial" w:hAnsi="Arial"/>
          <w:sz w:val="14"/>
          <w:szCs w:val="14"/>
          <w:color w:val="auto"/>
        </w:rPr>
        <w:t>To receive and approve, as a non-binding advisory</w:t>
      </w:r>
    </w:p>
    <w:p>
      <w:pPr>
        <w:ind w:left="1600"/>
        <w:spacing w:after="0" w:line="235" w:lineRule="auto"/>
        <w:rPr>
          <w:sz w:val="20"/>
          <w:szCs w:val="20"/>
          <w:color w:val="auto"/>
        </w:rPr>
      </w:pPr>
      <w:r>
        <w:rPr>
          <w:rFonts w:ascii="Arial" w:cs="Arial" w:eastAsia="Arial" w:hAnsi="Arial"/>
          <w:sz w:val="16"/>
          <w:szCs w:val="16"/>
          <w:color w:val="auto"/>
        </w:rPr>
        <w:t>resolution, the U.K. statutory Directors’</w:t>
      </w:r>
    </w:p>
    <w:p>
      <w:pPr>
        <w:ind w:left="1600"/>
        <w:spacing w:after="0" w:line="234" w:lineRule="auto"/>
        <w:rPr>
          <w:sz w:val="20"/>
          <w:szCs w:val="20"/>
          <w:color w:val="auto"/>
        </w:rPr>
      </w:pPr>
      <w:r>
        <w:rPr>
          <w:rFonts w:ascii="Arial" w:cs="Arial" w:eastAsia="Arial" w:hAnsi="Arial"/>
          <w:sz w:val="16"/>
          <w:szCs w:val="16"/>
          <w:color w:val="auto"/>
        </w:rPr>
        <w:t>Remuneration Report for the year ended 31</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December 2020.</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7</w:t>
      </w:r>
      <w:r>
        <w:rPr>
          <w:sz w:val="20"/>
          <w:szCs w:val="20"/>
          <w:color w:val="auto"/>
        </w:rPr>
        <w:tab/>
      </w:r>
      <w:r>
        <w:rPr>
          <w:rFonts w:ascii="Arial" w:cs="Arial" w:eastAsia="Arial" w:hAnsi="Arial"/>
          <w:sz w:val="15"/>
          <w:szCs w:val="15"/>
          <w:color w:val="auto"/>
        </w:rPr>
        <w:t>To receive and approve the U.K. Directors’</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Remuneration Policy.</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8</w:t>
      </w:r>
      <w:r>
        <w:rPr>
          <w:sz w:val="20"/>
          <w:szCs w:val="20"/>
          <w:color w:val="auto"/>
        </w:rPr>
        <w:tab/>
      </w:r>
      <w:r>
        <w:rPr>
          <w:rFonts w:ascii="Arial" w:cs="Arial" w:eastAsia="Arial" w:hAnsi="Arial"/>
          <w:sz w:val="14"/>
          <w:szCs w:val="14"/>
          <w:color w:val="auto"/>
        </w:rPr>
        <w:t>To re-appoint PricewaterhouseCoopers LLP as the</w:t>
      </w:r>
    </w:p>
    <w:p>
      <w:pPr>
        <w:ind w:left="1600"/>
        <w:spacing w:after="0" w:line="235" w:lineRule="auto"/>
        <w:rPr>
          <w:sz w:val="20"/>
          <w:szCs w:val="20"/>
          <w:color w:val="auto"/>
        </w:rPr>
      </w:pPr>
      <w:r>
        <w:rPr>
          <w:rFonts w:ascii="Arial" w:cs="Arial" w:eastAsia="Arial" w:hAnsi="Arial"/>
          <w:sz w:val="16"/>
          <w:szCs w:val="16"/>
          <w:color w:val="auto"/>
        </w:rPr>
        <w:t>Company’s auditors, to hold office until the</w:t>
      </w:r>
    </w:p>
    <w:p>
      <w:pPr>
        <w:ind w:left="1600"/>
        <w:spacing w:after="0" w:line="234" w:lineRule="auto"/>
        <w:rPr>
          <w:sz w:val="20"/>
          <w:szCs w:val="20"/>
          <w:color w:val="auto"/>
        </w:rPr>
      </w:pPr>
      <w:r>
        <w:rPr>
          <w:rFonts w:ascii="Arial" w:cs="Arial" w:eastAsia="Arial" w:hAnsi="Arial"/>
          <w:sz w:val="16"/>
          <w:szCs w:val="16"/>
          <w:color w:val="auto"/>
        </w:rPr>
        <w:t>conclusion of the next annual general meeting of</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shareholders.</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9</w:t>
      </w:r>
      <w:r>
        <w:rPr>
          <w:sz w:val="20"/>
          <w:szCs w:val="20"/>
          <w:color w:val="auto"/>
        </w:rPr>
        <w:tab/>
      </w:r>
      <w:r>
        <w:rPr>
          <w:rFonts w:ascii="Arial" w:cs="Arial" w:eastAsia="Arial" w:hAnsi="Arial"/>
          <w:sz w:val="15"/>
          <w:szCs w:val="15"/>
          <w:color w:val="auto"/>
        </w:rPr>
        <w:t>To authorize the Audit and Risk Committee to</w:t>
      </w:r>
    </w:p>
    <w:p>
      <w:pPr>
        <w:ind w:left="1600"/>
        <w:spacing w:after="0" w:line="235" w:lineRule="auto"/>
        <w:rPr>
          <w:sz w:val="20"/>
          <w:szCs w:val="20"/>
          <w:color w:val="auto"/>
        </w:rPr>
      </w:pPr>
      <w:r>
        <w:rPr>
          <w:rFonts w:ascii="Arial" w:cs="Arial" w:eastAsia="Arial" w:hAnsi="Arial"/>
          <w:sz w:val="16"/>
          <w:szCs w:val="16"/>
          <w:color w:val="auto"/>
        </w:rPr>
        <w:t>determine the auditors’ remuneration for the year</w:t>
      </w:r>
    </w:p>
    <w:p>
      <w:pPr>
        <w:ind w:left="1600"/>
        <w:spacing w:after="0"/>
        <w:rPr>
          <w:sz w:val="20"/>
          <w:szCs w:val="20"/>
          <w:color w:val="auto"/>
        </w:rPr>
      </w:pPr>
      <w:r>
        <w:rPr>
          <w:rFonts w:ascii="Arial" w:cs="Arial" w:eastAsia="Arial" w:hAnsi="Arial"/>
          <w:sz w:val="16"/>
          <w:szCs w:val="16"/>
          <w:color w:val="auto"/>
        </w:rPr>
        <w:t>ending December 31, 2021.</w:t>
      </w:r>
    </w:p>
    <w:p>
      <w:pPr>
        <w:spacing w:after="0" w:line="3"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10</w:t>
      </w:r>
      <w:r>
        <w:rPr>
          <w:sz w:val="20"/>
          <w:szCs w:val="20"/>
          <w:color w:val="auto"/>
        </w:rPr>
        <w:tab/>
      </w:r>
      <w:r>
        <w:rPr>
          <w:rFonts w:ascii="Arial" w:cs="Arial" w:eastAsia="Arial" w:hAnsi="Arial"/>
          <w:sz w:val="15"/>
          <w:szCs w:val="15"/>
          <w:color w:val="auto"/>
        </w:rPr>
        <w:t>To authorize the Board of Directors to exercise all</w:t>
      </w:r>
    </w:p>
    <w:p>
      <w:pPr>
        <w:ind w:left="1600"/>
        <w:spacing w:after="0" w:line="235" w:lineRule="auto"/>
        <w:rPr>
          <w:sz w:val="20"/>
          <w:szCs w:val="20"/>
          <w:color w:val="auto"/>
        </w:rPr>
      </w:pPr>
      <w:r>
        <w:rPr>
          <w:rFonts w:ascii="Arial" w:cs="Arial" w:eastAsia="Arial" w:hAnsi="Arial"/>
          <w:sz w:val="16"/>
          <w:szCs w:val="16"/>
          <w:color w:val="auto"/>
        </w:rPr>
        <w:t>the powers of the Company to allot shares in the</w:t>
      </w:r>
    </w:p>
    <w:p>
      <w:pPr>
        <w:ind w:left="1600"/>
        <w:spacing w:after="0" w:line="234" w:lineRule="auto"/>
        <w:rPr>
          <w:sz w:val="20"/>
          <w:szCs w:val="20"/>
          <w:color w:val="auto"/>
        </w:rPr>
      </w:pPr>
      <w:r>
        <w:rPr>
          <w:rFonts w:ascii="Arial" w:cs="Arial" w:eastAsia="Arial" w:hAnsi="Arial"/>
          <w:sz w:val="16"/>
          <w:szCs w:val="16"/>
          <w:color w:val="auto"/>
        </w:rPr>
        <w:t>Company or grant rights to subscribe for or to</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convert any security into shares in the Company up</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to an aggregate nominal amount of £24,415,222.30.</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p>
    <w:p>
      <w:pPr>
        <w:ind w:left="540"/>
        <w:spacing w:after="0"/>
        <w:tabs>
          <w:tab w:leader="none" w:pos="1580" w:val="left"/>
        </w:tabs>
        <w:rPr>
          <w:sz w:val="20"/>
          <w:szCs w:val="20"/>
          <w:color w:val="auto"/>
        </w:rPr>
      </w:pPr>
      <w:r>
        <w:rPr>
          <w:rFonts w:ascii="Arial" w:cs="Arial" w:eastAsia="Arial" w:hAnsi="Arial"/>
          <w:sz w:val="16"/>
          <w:szCs w:val="16"/>
          <w:color w:val="auto"/>
        </w:rPr>
        <w:t>Resolution 11</w:t>
      </w:r>
      <w:r>
        <w:rPr>
          <w:sz w:val="20"/>
          <w:szCs w:val="20"/>
          <w:color w:val="auto"/>
        </w:rPr>
        <w:tab/>
      </w:r>
      <w:r>
        <w:rPr>
          <w:rFonts w:ascii="Arial" w:cs="Arial" w:eastAsia="Arial" w:hAnsi="Arial"/>
          <w:sz w:val="15"/>
          <w:szCs w:val="15"/>
          <w:color w:val="auto"/>
        </w:rPr>
        <w:t>To authorize the Board of Directors to allot equity</w:t>
      </w:r>
    </w:p>
    <w:p>
      <w:pPr>
        <w:ind w:left="1600"/>
        <w:spacing w:after="0" w:line="235" w:lineRule="auto"/>
        <w:rPr>
          <w:sz w:val="20"/>
          <w:szCs w:val="20"/>
          <w:color w:val="auto"/>
        </w:rPr>
      </w:pPr>
      <w:r>
        <w:rPr>
          <w:rFonts w:ascii="Arial" w:cs="Arial" w:eastAsia="Arial" w:hAnsi="Arial"/>
          <w:sz w:val="16"/>
          <w:szCs w:val="16"/>
          <w:color w:val="auto"/>
        </w:rPr>
        <w:t>securities for cash and/or to sell ordinary shares</w:t>
      </w:r>
    </w:p>
    <w:p>
      <w:pPr>
        <w:ind w:left="1600"/>
        <w:spacing w:after="0"/>
        <w:rPr>
          <w:sz w:val="20"/>
          <w:szCs w:val="20"/>
          <w:color w:val="auto"/>
        </w:rPr>
      </w:pPr>
      <w:r>
        <w:rPr>
          <w:rFonts w:ascii="Arial" w:cs="Arial" w:eastAsia="Arial" w:hAnsi="Arial"/>
          <w:sz w:val="15"/>
          <w:szCs w:val="15"/>
          <w:color w:val="auto"/>
        </w:rPr>
        <w:t>held by the Company as treasury shares for cash as</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if section 561(1) of the Companies Act does not</w:t>
      </w:r>
    </w:p>
    <w:p>
      <w:pPr>
        <w:ind w:left="1600"/>
        <w:spacing w:after="0"/>
        <w:rPr>
          <w:sz w:val="20"/>
          <w:szCs w:val="20"/>
          <w:color w:val="auto"/>
        </w:rPr>
      </w:pPr>
      <w:r>
        <w:rPr>
          <w:rFonts w:ascii="Arial" w:cs="Arial" w:eastAsia="Arial" w:hAnsi="Arial"/>
          <w:sz w:val="16"/>
          <w:szCs w:val="16"/>
          <w:color w:val="auto"/>
        </w:rPr>
        <w:t>apply to any such allotment.</w:t>
      </w:r>
    </w:p>
    <w:p>
      <w:pPr>
        <w:spacing w:after="0" w:line="133"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0" w:type="dxa"/>
            <w:vAlign w:val="bottom"/>
          </w:tcPr>
          <w:p>
            <w:pPr>
              <w:spacing w:after="0"/>
              <w:rPr>
                <w:sz w:val="20"/>
                <w:szCs w:val="20"/>
                <w:color w:val="auto"/>
              </w:rPr>
            </w:pPr>
            <w:r>
              <w:rPr>
                <w:rFonts w:ascii="Arial" w:cs="Arial" w:eastAsia="Arial" w:hAnsi="Arial"/>
                <w:sz w:val="16"/>
                <w:szCs w:val="16"/>
                <w:color w:val="auto"/>
                <w:w w:val="94"/>
              </w:rPr>
              <w:t>Date</w:t>
            </w:r>
          </w:p>
        </w:tc>
        <w:tc>
          <w:tcPr>
            <w:tcW w:w="2360" w:type="dxa"/>
            <w:vAlign w:val="bottom"/>
            <w:gridSpan w:val="2"/>
          </w:tcPr>
          <w:p>
            <w:pPr>
              <w:jc w:val="right"/>
              <w:spacing w:after="0"/>
              <w:rPr>
                <w:sz w:val="20"/>
                <w:szCs w:val="20"/>
                <w:color w:val="auto"/>
              </w:rPr>
            </w:pPr>
            <w:r>
              <w:rPr>
                <w:rFonts w:ascii="Arial" w:cs="Arial" w:eastAsia="Arial" w:hAnsi="Arial"/>
                <w:sz w:val="16"/>
                <w:szCs w:val="16"/>
                <w:color w:val="auto"/>
              </w:rPr>
              <w:t>, 2021</w:t>
            </w:r>
          </w:p>
        </w:tc>
      </w:tr>
      <w:tr>
        <w:trPr>
          <w:trHeight w:val="20"/>
        </w:trPr>
        <w:tc>
          <w:tcPr>
            <w:tcW w:w="3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-9525</wp:posOffset>
            </wp:positionV>
            <wp:extent cx="146939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9390" cy="7620"/>
                    </a:xfrm>
                    <a:prstGeom prst="rect">
                      <a:avLst/>
                    </a:prstGeom>
                    <a:noFill/>
                  </pic:spPr>
                </pic:pic>
              </a:graphicData>
            </a:graphic>
          </wp:anchor>
        </w:drawing>
      </w:r>
    </w:p>
    <w:p>
      <w:pPr>
        <w:spacing w:after="0" w:line="92" w:lineRule="exact"/>
        <w:rPr>
          <w:sz w:val="20"/>
          <w:szCs w:val="20"/>
          <w:color w:val="auto"/>
        </w:rPr>
      </w:pPr>
    </w:p>
    <w:p>
      <w:pPr>
        <w:ind w:left="800" w:hanging="324"/>
        <w:spacing w:after="0"/>
        <w:tabs>
          <w:tab w:leader="none" w:pos="800" w:val="left"/>
        </w:tabs>
        <w:numPr>
          <w:ilvl w:val="0"/>
          <w:numId w:val="4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Please tick here if you are appointing more than one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542925</wp:posOffset>
            </wp:positionV>
            <wp:extent cx="606171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3" w:name="page154"/>
    <w:bookmarkEnd w:id="153"/>
    <w:p>
      <w:pPr>
        <w:ind w:left="860"/>
        <w:spacing w:after="0"/>
        <w:rPr>
          <w:sz w:val="20"/>
          <w:szCs w:val="20"/>
          <w:color w:val="auto"/>
        </w:rPr>
      </w:pPr>
      <w:r>
        <w:rPr>
          <w:rFonts w:ascii="Arial" w:cs="Arial" w:eastAsia="Arial" w:hAnsi="Arial"/>
          <w:sz w:val="16"/>
          <w:szCs w:val="16"/>
          <w:b w:val="1"/>
          <w:bCs w:val="1"/>
          <w:color w:val="auto"/>
        </w:rPr>
        <w:t>Notes:</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(1) Resolutions and voting</w:t>
      </w:r>
    </w:p>
    <w:p>
      <w:pPr>
        <w:spacing w:after="0" w:line="132" w:lineRule="exact"/>
        <w:rPr>
          <w:sz w:val="20"/>
          <w:szCs w:val="20"/>
          <w:color w:val="auto"/>
        </w:rPr>
      </w:pPr>
    </w:p>
    <w:p>
      <w:pPr>
        <w:jc w:val="both"/>
        <w:ind w:left="1100" w:right="1079"/>
        <w:spacing w:after="0" w:line="243" w:lineRule="auto"/>
        <w:rPr>
          <w:sz w:val="20"/>
          <w:szCs w:val="20"/>
          <w:color w:val="auto"/>
        </w:rPr>
      </w:pPr>
      <w:r>
        <w:rPr>
          <w:rFonts w:ascii="Arial" w:cs="Arial" w:eastAsia="Arial" w:hAnsi="Arial"/>
          <w:sz w:val="16"/>
          <w:szCs w:val="16"/>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106" w:lineRule="exact"/>
        <w:rPr>
          <w:sz w:val="20"/>
          <w:szCs w:val="20"/>
          <w:color w:val="auto"/>
        </w:rPr>
      </w:pPr>
    </w:p>
    <w:p>
      <w:pPr>
        <w:ind w:left="1100" w:right="919"/>
        <w:spacing w:after="0" w:line="239" w:lineRule="auto"/>
        <w:rPr>
          <w:sz w:val="20"/>
          <w:szCs w:val="20"/>
          <w:color w:val="auto"/>
        </w:rPr>
      </w:pPr>
      <w:r>
        <w:rPr>
          <w:rFonts w:ascii="Arial" w:cs="Arial" w:eastAsia="Arial" w:hAnsi="Arial"/>
          <w:sz w:val="16"/>
          <w:szCs w:val="16"/>
          <w:color w:val="auto"/>
        </w:rPr>
        <w:t>Resolutions 1 to 10 are proposed as ordinary resolutions. On a poll, an ordinary resolution is passed if it is approved by holders representing a simple majority of the total voting rights of shareholders present (in person or by proxy) who (being entitled to vote) vote on the resolution. Resolution 11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1" w:lineRule="exact"/>
        <w:rPr>
          <w:sz w:val="20"/>
          <w:szCs w:val="20"/>
          <w:color w:val="auto"/>
        </w:rPr>
      </w:pPr>
    </w:p>
    <w:p>
      <w:pPr>
        <w:ind w:left="1100" w:right="899"/>
        <w:spacing w:after="0" w:line="261" w:lineRule="auto"/>
        <w:rPr>
          <w:sz w:val="20"/>
          <w:szCs w:val="20"/>
          <w:color w:val="auto"/>
        </w:rPr>
      </w:pPr>
      <w:r>
        <w:rPr>
          <w:rFonts w:ascii="Arial" w:cs="Arial" w:eastAsia="Arial" w:hAnsi="Arial"/>
          <w:sz w:val="15"/>
          <w:szCs w:val="15"/>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81" w:lineRule="exact"/>
        <w:rPr>
          <w:sz w:val="20"/>
          <w:szCs w:val="20"/>
          <w:color w:val="auto"/>
        </w:rPr>
      </w:pPr>
    </w:p>
    <w:p>
      <w:pPr>
        <w:ind w:left="1100" w:right="1119"/>
        <w:spacing w:after="0" w:line="247" w:lineRule="auto"/>
        <w:rPr>
          <w:sz w:val="20"/>
          <w:szCs w:val="20"/>
          <w:color w:val="auto"/>
        </w:rPr>
      </w:pPr>
      <w:r>
        <w:rPr>
          <w:rFonts w:ascii="Arial" w:cs="Arial" w:eastAsia="Arial" w:hAnsi="Arial"/>
          <w:sz w:val="16"/>
          <w:szCs w:val="16"/>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(2) Appointment of proxies</w:t>
      </w:r>
    </w:p>
    <w:p>
      <w:pPr>
        <w:spacing w:after="0" w:line="144" w:lineRule="exact"/>
        <w:rPr>
          <w:sz w:val="20"/>
          <w:szCs w:val="20"/>
          <w:color w:val="auto"/>
        </w:rPr>
      </w:pPr>
    </w:p>
    <w:p>
      <w:pPr>
        <w:ind w:left="1100" w:right="1019"/>
        <w:spacing w:after="0" w:line="272" w:lineRule="auto"/>
        <w:rPr>
          <w:sz w:val="20"/>
          <w:szCs w:val="20"/>
          <w:color w:val="auto"/>
        </w:rPr>
      </w:pPr>
      <w:r>
        <w:rPr>
          <w:rFonts w:ascii="Arial" w:cs="Arial" w:eastAsia="Arial" w:hAnsi="Arial"/>
          <w:sz w:val="15"/>
          <w:szCs w:val="15"/>
          <w:color w:val="auto"/>
        </w:rPr>
        <w:t>Generally, 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w:t>
      </w:r>
    </w:p>
    <w:p>
      <w:pPr>
        <w:spacing w:after="0" w:line="2" w:lineRule="exact"/>
        <w:rPr>
          <w:sz w:val="20"/>
          <w:szCs w:val="20"/>
          <w:color w:val="auto"/>
        </w:rPr>
      </w:pPr>
    </w:p>
    <w:p>
      <w:pPr>
        <w:ind w:left="1100" w:right="899"/>
        <w:spacing w:after="0" w:line="260" w:lineRule="auto"/>
        <w:rPr>
          <w:sz w:val="20"/>
          <w:szCs w:val="20"/>
          <w:color w:val="auto"/>
        </w:rPr>
      </w:pPr>
      <w:r>
        <w:rPr>
          <w:rFonts w:ascii="Arial" w:cs="Arial" w:eastAsia="Arial" w:hAnsi="Arial"/>
          <w:sz w:val="15"/>
          <w:szCs w:val="15"/>
          <w:color w:val="auto"/>
        </w:rPr>
        <w:t xml:space="preserve">appointed to exercise the rights attached to a different share or shares held by that Shareholder. </w:t>
      </w:r>
      <w:r>
        <w:rPr>
          <w:rFonts w:ascii="Arial" w:cs="Arial" w:eastAsia="Arial" w:hAnsi="Arial"/>
          <w:sz w:val="15"/>
          <w:szCs w:val="15"/>
          <w:b w:val="1"/>
          <w:bCs w:val="1"/>
          <w:color w:val="auto"/>
        </w:rPr>
        <w:t>However,</w:t>
      </w:r>
      <w:r>
        <w:rPr>
          <w:rFonts w:ascii="Arial" w:cs="Arial" w:eastAsia="Arial" w:hAnsi="Arial"/>
          <w:sz w:val="15"/>
          <w:szCs w:val="15"/>
          <w:color w:val="auto"/>
        </w:rPr>
        <w:t xml:space="preserve"> </w:t>
      </w:r>
      <w:r>
        <w:rPr>
          <w:rFonts w:ascii="Arial" w:cs="Arial" w:eastAsia="Arial" w:hAnsi="Arial"/>
          <w:sz w:val="15"/>
          <w:szCs w:val="15"/>
          <w:b w:val="1"/>
          <w:bCs w:val="1"/>
          <w:color w:val="auto"/>
        </w:rPr>
        <w:t>as more fully described in the letter from the Chairman accompanying the notice of the AGM, under the current arrangements, proxies (other than the Chairman of the AGM) will not be able to vote at the AGM</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a result, if a member wishes to appoint a proxy, they are strongly advised to appoint the Chairman of the AGM as their proxy in order for their vote to count. </w:t>
      </w:r>
      <w:r>
        <w:rPr>
          <w:rFonts w:ascii="Arial" w:cs="Arial" w:eastAsia="Arial" w:hAnsi="Arial"/>
          <w:sz w:val="15"/>
          <w:szCs w:val="15"/>
          <w:b w:val="1"/>
          <w:bCs w:val="1"/>
          <w:color w:val="auto"/>
        </w:rPr>
        <w:t>To be valid, the form of proxy and the power of</w:t>
      </w:r>
      <w:r>
        <w:rPr>
          <w:rFonts w:ascii="Arial" w:cs="Arial" w:eastAsia="Arial" w:hAnsi="Arial"/>
          <w:sz w:val="15"/>
          <w:szCs w:val="15"/>
          <w:color w:val="auto"/>
        </w:rPr>
        <w:t xml:space="preserve"> </w:t>
      </w:r>
      <w:r>
        <w:rPr>
          <w:rFonts w:ascii="Arial" w:cs="Arial" w:eastAsia="Arial" w:hAnsi="Arial"/>
          <w:sz w:val="15"/>
          <w:szCs w:val="15"/>
          <w:b w:val="1"/>
          <w:bCs w:val="1"/>
          <w:color w:val="auto"/>
        </w:rPr>
        <w:t>attorney or other authority (if any) under which it is signed or a certified copy of such power or authority must be lodged at the office of the Company Secretary, Verona Pharma plc, c/o Shakespeare Martineau LLP, 6</w:t>
      </w:r>
      <w:r>
        <w:rPr>
          <w:rFonts w:ascii="Arial" w:cs="Arial" w:eastAsia="Arial" w:hAnsi="Arial"/>
          <w:sz w:val="22"/>
          <w:szCs w:val="22"/>
          <w:b w:val="1"/>
          <w:bCs w:val="1"/>
          <w:color w:val="auto"/>
          <w:vertAlign w:val="superscript"/>
        </w:rPr>
        <w:t>th</w:t>
      </w:r>
      <w:r>
        <w:rPr>
          <w:rFonts w:ascii="Arial" w:cs="Arial" w:eastAsia="Arial" w:hAnsi="Arial"/>
          <w:sz w:val="15"/>
          <w:szCs w:val="15"/>
          <w:b w:val="1"/>
          <w:bCs w:val="1"/>
          <w:color w:val="auto"/>
        </w:rPr>
        <w:t xml:space="preserve">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Arial" w:cs="Arial" w:eastAsia="Arial" w:hAnsi="Arial"/>
          <w:sz w:val="15"/>
          <w:szCs w:val="15"/>
          <w:color w:val="auto"/>
        </w:rPr>
        <w:t>The attached proxy statement explains proxy voting and the matters to be voted on in more</w:t>
      </w:r>
      <w:r>
        <w:rPr>
          <w:rFonts w:ascii="Arial" w:cs="Arial" w:eastAsia="Arial" w:hAnsi="Arial"/>
          <w:sz w:val="15"/>
          <w:szCs w:val="15"/>
          <w:b w:val="1"/>
          <w:bCs w:val="1"/>
          <w:color w:val="auto"/>
        </w:rPr>
        <w:t xml:space="preserve"> </w:t>
      </w:r>
      <w:r>
        <w:rPr>
          <w:rFonts w:ascii="Arial" w:cs="Arial" w:eastAsia="Arial" w:hAnsi="Arial"/>
          <w:sz w:val="15"/>
          <w:szCs w:val="15"/>
          <w:color w:val="auto"/>
        </w:rPr>
        <w:t>detail. Please read the proxy statement carefully. For specific information regarding the voting of your ordinary shares, please refer to the proxy statement under the section entitled “</w:t>
      </w:r>
      <w:r>
        <w:rPr>
          <w:rFonts w:ascii="Arial" w:cs="Arial" w:eastAsia="Arial" w:hAnsi="Arial"/>
          <w:sz w:val="15"/>
          <w:szCs w:val="15"/>
          <w:i w:val="1"/>
          <w:iCs w:val="1"/>
          <w:color w:val="auto"/>
        </w:rPr>
        <w:t>Questions and Answers</w:t>
      </w:r>
      <w:r>
        <w:rPr>
          <w:rFonts w:ascii="Arial" w:cs="Arial" w:eastAsia="Arial" w:hAnsi="Arial"/>
          <w:sz w:val="15"/>
          <w:szCs w:val="15"/>
          <w:color w:val="auto"/>
        </w:rPr>
        <w:t xml:space="preserve"> </w:t>
      </w:r>
      <w:r>
        <w:rPr>
          <w:rFonts w:ascii="Arial" w:cs="Arial" w:eastAsia="Arial" w:hAnsi="Arial"/>
          <w:sz w:val="15"/>
          <w:szCs w:val="15"/>
          <w:i w:val="1"/>
          <w:iCs w:val="1"/>
          <w:color w:val="auto"/>
        </w:rPr>
        <w:t>About the Annual General Meeting</w:t>
      </w:r>
      <w:r>
        <w:rPr>
          <w:rFonts w:ascii="Arial" w:cs="Arial" w:eastAsia="Arial" w:hAnsi="Arial"/>
          <w:sz w:val="15"/>
          <w:szCs w:val="15"/>
          <w:color w:val="auto"/>
        </w:rPr>
        <w:t>.”</w:t>
      </w:r>
    </w:p>
    <w:p>
      <w:pPr>
        <w:spacing w:after="0" w:line="113" w:lineRule="exact"/>
        <w:rPr>
          <w:sz w:val="20"/>
          <w:szCs w:val="20"/>
          <w:color w:val="auto"/>
        </w:rPr>
      </w:pPr>
    </w:p>
    <w:p>
      <w:pPr>
        <w:ind w:left="1100" w:right="899"/>
        <w:spacing w:after="0" w:line="281" w:lineRule="auto"/>
        <w:rPr>
          <w:sz w:val="20"/>
          <w:szCs w:val="20"/>
          <w:color w:val="auto"/>
        </w:rPr>
      </w:pPr>
      <w:r>
        <w:rPr>
          <w:rFonts w:ascii="Arial" w:cs="Arial" w:eastAsia="Arial" w:hAnsi="Arial"/>
          <w:sz w:val="15"/>
          <w:szCs w:val="15"/>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79" w:lineRule="exact"/>
        <w:rPr>
          <w:sz w:val="20"/>
          <w:szCs w:val="20"/>
          <w:color w:val="auto"/>
        </w:rPr>
      </w:pPr>
    </w:p>
    <w:p>
      <w:pPr>
        <w:ind w:left="1100" w:right="899"/>
        <w:spacing w:after="0" w:line="274" w:lineRule="auto"/>
        <w:rPr>
          <w:sz w:val="20"/>
          <w:szCs w:val="20"/>
          <w:color w:val="auto"/>
        </w:rPr>
      </w:pPr>
      <w:r>
        <w:rPr>
          <w:rFonts w:ascii="Arial" w:cs="Arial" w:eastAsia="Arial" w:hAnsi="Arial"/>
          <w:sz w:val="15"/>
          <w:szCs w:val="15"/>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220980</wp:posOffset>
            </wp:positionV>
            <wp:extent cx="606171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p>
      <w:pPr>
        <w:sectPr>
          <w:pgSz w:w="11900" w:h="16838" w:orient="portrait"/>
          <w:cols w:equalWidth="0" w:num="1">
            <w:col w:w="9019"/>
          </w:cols>
          <w:pgMar w:left="1440" w:top="998" w:right="1440" w:bottom="1440" w:gutter="0" w:footer="0" w:header="0"/>
        </w:sectPr>
      </w:pPr>
    </w:p>
    <w:bookmarkStart w:id="154" w:name="page155"/>
    <w:bookmarkEnd w:id="154"/>
    <w:p>
      <w:pPr>
        <w:ind w:left="1100" w:right="939"/>
        <w:spacing w:after="0" w:line="238" w:lineRule="auto"/>
        <w:rPr>
          <w:sz w:val="20"/>
          <w:szCs w:val="20"/>
          <w:color w:val="auto"/>
        </w:rPr>
      </w:pPr>
      <w:r>
        <w:rPr>
          <w:rFonts w:ascii="Arial" w:cs="Arial" w:eastAsia="Arial" w:hAnsi="Arial"/>
          <w:sz w:val="16"/>
          <w:szCs w:val="16"/>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60 Gracechurch Street, London EC3V 0HR, no less than 48 hours (excluding non-working days) before the time fixed for the holding of the AGM or any adjournment thereof (as the case may be).</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(3) Appointment of proxy by joint members</w:t>
      </w:r>
    </w:p>
    <w:p>
      <w:pPr>
        <w:spacing w:after="0" w:line="132" w:lineRule="exact"/>
        <w:rPr>
          <w:sz w:val="20"/>
          <w:szCs w:val="20"/>
          <w:color w:val="auto"/>
        </w:rPr>
      </w:pPr>
    </w:p>
    <w:p>
      <w:pPr>
        <w:ind w:left="1100" w:right="939"/>
        <w:spacing w:after="0" w:line="259" w:lineRule="auto"/>
        <w:rPr>
          <w:sz w:val="20"/>
          <w:szCs w:val="20"/>
          <w:color w:val="auto"/>
        </w:rPr>
      </w:pPr>
      <w:r>
        <w:rPr>
          <w:rFonts w:ascii="Arial" w:cs="Arial" w:eastAsia="Arial" w:hAnsi="Arial"/>
          <w:sz w:val="16"/>
          <w:szCs w:val="16"/>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(4) Issued shares and total voting rights</w:t>
      </w:r>
    </w:p>
    <w:p>
      <w:pPr>
        <w:spacing w:after="0" w:line="144" w:lineRule="exact"/>
        <w:rPr>
          <w:sz w:val="20"/>
          <w:szCs w:val="20"/>
          <w:color w:val="auto"/>
        </w:rPr>
      </w:pPr>
    </w:p>
    <w:p>
      <w:pPr>
        <w:ind w:left="1100" w:right="1099"/>
        <w:spacing w:after="0" w:line="281" w:lineRule="auto"/>
        <w:rPr>
          <w:sz w:val="20"/>
          <w:szCs w:val="20"/>
          <w:color w:val="auto"/>
        </w:rPr>
      </w:pPr>
      <w:r>
        <w:rPr>
          <w:rFonts w:ascii="Arial" w:cs="Arial" w:eastAsia="Arial" w:hAnsi="Arial"/>
          <w:sz w:val="15"/>
          <w:szCs w:val="15"/>
          <w:color w:val="auto"/>
        </w:rPr>
        <w:t>As at the close of business on March 12, 2021 (being the latest practicable date prior to publication of this document), the Company’s issued ordinary share capital comprised 440,215,550 voting ordinary shares. Each voting ordinary share carries the right to one vote at the AGM and therefore the total number of voting rights at the close of business on March 12, 2021 is 440,215,550.</w:t>
      </w:r>
    </w:p>
    <w:p>
      <w:pPr>
        <w:spacing w:after="0" w:line="87" w:lineRule="exact"/>
        <w:rPr>
          <w:sz w:val="20"/>
          <w:szCs w:val="20"/>
          <w:color w:val="auto"/>
        </w:rPr>
      </w:pPr>
    </w:p>
    <w:p>
      <w:pPr>
        <w:jc w:val="both"/>
        <w:ind w:left="860" w:right="959"/>
        <w:spacing w:after="0" w:line="321" w:lineRule="auto"/>
        <w:rPr>
          <w:sz w:val="20"/>
          <w:szCs w:val="20"/>
          <w:color w:val="auto"/>
        </w:rPr>
      </w:pPr>
      <w:r>
        <w:rPr>
          <w:rFonts w:ascii="Arial" w:cs="Arial" w:eastAsia="Arial" w:hAnsi="Arial"/>
          <w:sz w:val="14"/>
          <w:szCs w:val="14"/>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49" w:lineRule="exact"/>
        <w:rPr>
          <w:sz w:val="20"/>
          <w:szCs w:val="20"/>
          <w:color w:val="auto"/>
        </w:rPr>
      </w:pPr>
    </w:p>
    <w:p>
      <w:pPr>
        <w:ind w:left="860" w:right="879"/>
        <w:spacing w:after="0" w:line="331" w:lineRule="auto"/>
        <w:rPr>
          <w:sz w:val="20"/>
          <w:szCs w:val="20"/>
          <w:color w:val="auto"/>
        </w:rPr>
      </w:pPr>
      <w:r>
        <w:rPr>
          <w:rFonts w:ascii="Arial" w:cs="Arial" w:eastAsia="Arial" w:hAnsi="Arial"/>
          <w:sz w:val="13"/>
          <w:szCs w:val="13"/>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220980</wp:posOffset>
            </wp:positionV>
            <wp:extent cx="606171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61710" cy="40640"/>
                    </a:xfrm>
                    <a:prstGeom prst="rect">
                      <a:avLst/>
                    </a:prstGeom>
                    <a:noFill/>
                  </pic:spPr>
                </pic:pic>
              </a:graphicData>
            </a:graphic>
          </wp:anchor>
        </w:drawing>
      </w:r>
    </w:p>
    <w:sectPr>
      <w:pgSz w:w="11900" w:h="16838" w:orient="portrait"/>
      <w:cols w:equalWidth="0" w:num="1">
        <w:col w:w="9019"/>
      </w:cols>
      <w:pgMar w:left="1440" w:top="10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abstractNum>
  <w:abstractNum w:abstractNumId="3">
    <w:nsid w:val="2D1D5AE9"/>
    <w:multiLevelType w:val="hybridMultilevel"/>
    <w:lvl w:ilvl="0">
      <w:lvlJc w:val="left"/>
      <w:lvlText w:val="\emdash "/>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1."/>
      <w:numFmt w:val="decimal"/>
      <w:start w:val="10"/>
    </w:lvl>
  </w:abstractNum>
  <w:abstractNum w:abstractNumId="9">
    <w:nsid w:val="B03E0C6"/>
    <w:multiLevelType w:val="hybridMultilevel"/>
    <w:lvl w:ilvl="0">
      <w:lvlJc w:val="left"/>
      <w:lvlText w:val="%1."/>
      <w:numFmt w:val="decimal"/>
      <w:start w:val="1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a"/>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lvl w:ilvl="1">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emdash "/>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3"/>
    </w:lvl>
  </w:abstractNum>
  <w:abstractNum w:abstractNumId="38">
    <w:nsid w:val="580BD78F"/>
    <w:multiLevelType w:val="hybridMultilevel"/>
    <w:lvl w:ilvl="0">
      <w:lvlJc w:val="left"/>
      <w:lvlText w:val="(%1)"/>
      <w:numFmt w:val="decimal"/>
      <w:start w:val="6"/>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lowerRoman"/>
      <w:start w:val="2"/>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2021-03-19T15:10:22Z</dcterms:created>
  <dcterms:modified xsi:type="dcterms:W3CDTF">2021-03-19T15:10:22Z</dcterms:modified>
</cp:coreProperties>
</file>