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Rickard Kathleen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 MORE LONDON</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Verona Pharma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VRNA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11/25/2024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80" w:type="dxa"/>
            <w:vAlign w:val="bottom"/>
            <w:gridSpan w:val="7"/>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LONDON</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X0</w:t>
            </w:r>
          </w:p>
        </w:tc>
        <w:tc>
          <w:tcPr>
            <w:tcW w:w="840" w:type="dxa"/>
            <w:vAlign w:val="bottom"/>
          </w:tcPr>
          <w:p>
            <w:pPr>
              <w:spacing w:after="0"/>
              <w:rPr>
                <w:sz w:val="10"/>
                <w:szCs w:val="10"/>
                <w:color w:val="auto"/>
              </w:rPr>
            </w:pPr>
          </w:p>
        </w:tc>
        <w:tc>
          <w:tcPr>
            <w:tcW w:w="14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SE1 2RE</w:t>
            </w: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42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gridSpan w:val="4"/>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5"/>
                <w:szCs w:val="15"/>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3"/>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20" w:type="dxa"/>
            <w:vAlign w:val="bottom"/>
            <w:gridSpan w:val="4"/>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60" w:type="dxa"/>
            <w:vAlign w:val="bottom"/>
            <w:tcBorders>
              <w:bottom w:val="single" w:sz="8" w:color="2C2C2C"/>
            </w:tcBorders>
            <w:gridSpan w:val="4"/>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8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4"/>
          </w:tcPr>
          <w:p>
            <w:pPr>
              <w:ind w:left="720"/>
              <w:spacing w:after="0"/>
              <w:rPr>
                <w:sz w:val="20"/>
                <w:szCs w:val="20"/>
                <w:color w:val="auto"/>
              </w:rPr>
            </w:pPr>
            <w:r>
              <w:rPr>
                <w:rFonts w:ascii="Times New Roman" w:cs="Times New Roman" w:eastAsia="Times New Roman" w:hAnsi="Times New Roman"/>
                <w:sz w:val="17"/>
                <w:szCs w:val="17"/>
                <w:color w:val="0000FF"/>
              </w:rPr>
              <w:t>11/25/2024</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240,000</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4.9015</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2,671,480</w:t>
            </w:r>
            <w:r>
              <w:rPr>
                <w:rFonts w:ascii="Times New Roman" w:cs="Times New Roman" w:eastAsia="Times New Roman" w:hAnsi="Times New Roman"/>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Reported securities are represented by American Depositary Shares ("ADSs"), each of which represents eight (8) Ordinary Shares of the Issuer.</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in this Form 4 was effected pursuant to a Rule 10b5-1 plan adopted on February 17, 2023.</w:t>
      </w:r>
    </w:p>
    <w:p>
      <w:pPr>
        <w:spacing w:after="0" w:line="5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a weighted average price of the ADSs divided by eight (8). The securities were sold in multiple transactions at prices ranging from $4.875 to $4.9075 per Ordinary Share, inclusive (or $39.00 to $39.26 per ADS, inclusive). The Reporting Person undertakes to provide to the Issuer, any securityholder of the Issuer, or the staff of the Securities and Exchange Commission, upon request, full information regarding the number of securities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(i) 784,992 Ordinary Shares underlying Restricted Share Units, each of which represents a contingent right to receive one (1) Ordinary Share of the Issuer (which are represented by 98,124 ADSs); and (ii) 1,886,488 Ordinary Shares underlying 235,811 ADSs.</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Andrew Fisher,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66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6619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Kathleen A.</w:t>
      </w:r>
      <w:r>
        <w:rPr>
          <w:sz w:val="20"/>
          <w:szCs w:val="20"/>
          <w:color w:val="auto"/>
        </w:rPr>
        <w:tab/>
      </w:r>
      <w:r>
        <w:rPr>
          <w:rFonts w:ascii="Times New Roman" w:cs="Times New Roman" w:eastAsia="Times New Roman" w:hAnsi="Times New Roman"/>
          <w:sz w:val="17"/>
          <w:szCs w:val="17"/>
          <w:color w:val="0000FF"/>
        </w:rPr>
        <w:t>11/26/2024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Rickard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479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4798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36883" TargetMode="External"/><Relationship Id="rId14"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2024-11-26T19:45:02Z</dcterms:created>
  <dcterms:modified xsi:type="dcterms:W3CDTF">2024-11-26T19:45:02Z</dcterms:modified>
</cp:coreProperties>
</file>