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Washington, D.C. 20549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76" w:before="0" w:after="0"/>
        <w:jc w:val="center"/>
        <w:rPr>
          <w:color w:val="000000"/>
        </w:rPr>
      </w:pPr>
      <w:r>
        <w:rPr>
          <w:color w:val="000000"/>
        </w:rPr>
        <w:t>☒    </w:t>
      </w:r>
      <w:r>
        <w:rPr>
          <w:rFonts w:ascii="Times New Roman;sans-serif" w:hAnsi="Times New Roman;sans-serif"/>
          <w:b/>
          <w:color w:val="000000"/>
          <w:sz w:val="24"/>
        </w:rPr>
        <w:t>QUARTERLY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September 30, 2023</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OR </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4"/>
        </w:rPr>
        <w:t xml:space="preserve">TRANSITION REPORT PURSUANT TO SECTION 13 OR 15(d) OF THE SECURITIES EXCHANGE ACT OF 1934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__________ TO 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001-38067</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Verona Pharma plc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7958" w:type="dxa"/>
        <w:jc w:val="center"/>
        <w:tblInd w:w="0" w:type="dxa"/>
        <w:tblLayout w:type="fixed"/>
        <w:tblCellMar>
          <w:top w:w="28" w:type="dxa"/>
          <w:left w:w="28" w:type="dxa"/>
          <w:bottom w:w="28" w:type="dxa"/>
          <w:right w:w="28" w:type="dxa"/>
        </w:tblCellMar>
      </w:tblPr>
      <w:tblGrid>
        <w:gridCol w:w="1653"/>
        <w:gridCol w:w="1449"/>
        <w:gridCol w:w="1458"/>
        <w:gridCol w:w="109"/>
        <w:gridCol w:w="109"/>
        <w:gridCol w:w="109"/>
        <w:gridCol w:w="109"/>
        <w:gridCol w:w="109"/>
        <w:gridCol w:w="109"/>
        <w:gridCol w:w="801"/>
        <w:gridCol w:w="801"/>
        <w:gridCol w:w="1142"/>
      </w:tblGrid>
      <w:tr>
        <w:trPr/>
        <w:tc>
          <w:tcPr>
            <w:tcW w:w="165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98-1489389</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 More London Riverside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London SE1 2RE 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45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+44 203 283 4200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237" w:type="dxa"/>
        <w:jc w:val="left"/>
        <w:tblInd w:w="0" w:type="dxa"/>
        <w:tblLayout w:type="fixed"/>
        <w:tblCellMar>
          <w:top w:w="28" w:type="dxa"/>
          <w:left w:w="28" w:type="dxa"/>
          <w:bottom w:w="28" w:type="dxa"/>
          <w:right w:w="28" w:type="dxa"/>
        </w:tblCellMar>
      </w:tblPr>
      <w:tblGrid>
        <w:gridCol w:w="1268"/>
        <w:gridCol w:w="1114"/>
        <w:gridCol w:w="1127"/>
        <w:gridCol w:w="564"/>
        <w:gridCol w:w="564"/>
        <w:gridCol w:w="566"/>
        <w:gridCol w:w="1179"/>
        <w:gridCol w:w="1179"/>
        <w:gridCol w:w="1676"/>
      </w:tblGrid>
      <w:tr>
        <w:trPr/>
        <w:tc>
          <w:tcPr>
            <w:tcW w:w="126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Ordinary shares, nominal value £0.05 per share*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VRNA</w:t>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 (Nasdaq Global Market)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The ordinary shares are represented by American Depositary Shares (each representing 8 ordinary shares), which are exempt from the operation of Section 12(a) of the Securities Exchange Act of 1934, as amended, pursuant to Rule 12a-8 thereunder.</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27, 2023, the registrant had 639,520,054 ordinary shares, nominal value £0.05 per share, outstanding, which if all held in ADS form, would be represented by 79,940,007 American Depositary Shares, each representing eight (8) ordinary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9"/>
        <w:gridCol w:w="518"/>
        <w:gridCol w:w="518"/>
        <w:gridCol w:w="2567"/>
        <w:gridCol w:w="2561"/>
        <w:gridCol w:w="2571"/>
        <w:gridCol w:w="109"/>
        <w:gridCol w:w="109"/>
        <w:gridCol w:w="109"/>
        <w:gridCol w:w="158"/>
        <w:gridCol w:w="158"/>
        <w:gridCol w:w="228"/>
      </w:tblGrid>
      <w:tr>
        <w:trPr/>
        <w:tc>
          <w:tcPr>
            <w:tcW w:w="59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33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 -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25">
              <w:r>
                <w:rPr>
                  <w:rStyle w:val="InternetLink"/>
                  <w:rFonts w:ascii="Times New Roman;sans-serif" w:hAnsi="Times New Roman;sans-serif"/>
                  <w:b w:val="false"/>
                  <w:color w:val="0000FF"/>
                  <w:sz w:val="20"/>
                  <w:u w:val="single"/>
                </w:rPr>
                <w:t>Item 1</w:t>
              </w:r>
            </w:hyperlink>
          </w:p>
        </w:tc>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25">
              <w:r>
                <w:rPr>
                  <w:rStyle w:val="InternetLink"/>
                  <w:rFonts w:ascii="Times New Roman;sans-serif" w:hAnsi="Times New Roman;sans-serif"/>
                  <w:b w:val="false"/>
                  <w:strike w:val="false"/>
                  <w:dstrike w:val="false"/>
                  <w:color w:val="000000"/>
                  <w:sz w:val="20"/>
                  <w:u w:val="none"/>
                  <w:effect w:val="none"/>
                </w:rPr>
                <w:t>2</w:t>
              </w:r>
            </w:hyperlink>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94">
              <w:r>
                <w:rPr>
                  <w:rStyle w:val="InternetLink"/>
                  <w:rFonts w:ascii="Times New Roman;sans-serif" w:hAnsi="Times New Roman;sans-serif"/>
                  <w:b w:val="false"/>
                  <w:color w:val="0000FF"/>
                  <w:sz w:val="20"/>
                  <w:u w:val="single"/>
                </w:rPr>
                <w:t>Item 2</w:t>
              </w:r>
            </w:hyperlink>
          </w:p>
        </w:tc>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94">
              <w:r>
                <w:rPr>
                  <w:rStyle w:val="InternetLink"/>
                  <w:rFonts w:ascii="Times New Roman;sans-serif" w:hAnsi="Times New Roman;sans-serif"/>
                  <w:b w:val="false"/>
                  <w:strike w:val="false"/>
                  <w:dstrike w:val="false"/>
                  <w:color w:val="000000"/>
                  <w:sz w:val="20"/>
                  <w:u w:val="none"/>
                  <w:effect w:val="none"/>
                </w:rPr>
                <w:t>11</w:t>
              </w:r>
            </w:hyperlink>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109">
              <w:r>
                <w:rPr>
                  <w:rStyle w:val="InternetLink"/>
                  <w:rFonts w:ascii="Times New Roman;sans-serif" w:hAnsi="Times New Roman;sans-serif"/>
                  <w:b w:val="false"/>
                  <w:color w:val="0000FF"/>
                  <w:sz w:val="20"/>
                  <w:u w:val="single"/>
                </w:rPr>
                <w:t>Item 3</w:t>
              </w:r>
            </w:hyperlink>
          </w:p>
        </w:tc>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109">
              <w:r>
                <w:rPr>
                  <w:rStyle w:val="InternetLink"/>
                  <w:rFonts w:ascii="Times New Roman;sans-serif" w:hAnsi="Times New Roman;sans-serif"/>
                  <w:b w:val="false"/>
                  <w:strike w:val="false"/>
                  <w:dstrike w:val="false"/>
                  <w:color w:val="000000"/>
                  <w:sz w:val="20"/>
                  <w:u w:val="none"/>
                  <w:effect w:val="none"/>
                </w:rPr>
                <w:t>23</w:t>
              </w:r>
            </w:hyperlink>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112">
              <w:r>
                <w:rPr>
                  <w:rStyle w:val="InternetLink"/>
                  <w:rFonts w:ascii="Times New Roman;sans-serif" w:hAnsi="Times New Roman;sans-serif"/>
                  <w:b w:val="false"/>
                  <w:color w:val="0000FF"/>
                  <w:sz w:val="20"/>
                  <w:u w:val="single"/>
                </w:rPr>
                <w:t>Item 4</w:t>
              </w:r>
            </w:hyperlink>
          </w:p>
        </w:tc>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112">
              <w:r>
                <w:rPr>
                  <w:rStyle w:val="InternetLink"/>
                  <w:rFonts w:ascii="Times New Roman;sans-serif" w:hAnsi="Times New Roman;sans-serif"/>
                  <w:b w:val="false"/>
                  <w:strike w:val="false"/>
                  <w:dstrike w:val="false"/>
                  <w:color w:val="000000"/>
                  <w:sz w:val="20"/>
                  <w:u w:val="none"/>
                  <w:effect w:val="none"/>
                </w:rPr>
                <w:t>23</w:t>
              </w:r>
            </w:hyperlink>
          </w:p>
        </w:tc>
      </w:tr>
      <w:tr>
        <w:trPr/>
        <w:tc>
          <w:tcPr>
            <w:tcW w:w="93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 - 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118">
              <w:r>
                <w:rPr>
                  <w:rStyle w:val="InternetLink"/>
                  <w:rFonts w:ascii="Times New Roman;sans-serif" w:hAnsi="Times New Roman;sans-serif"/>
                  <w:b w:val="false"/>
                  <w:color w:val="0000FF"/>
                  <w:sz w:val="20"/>
                  <w:u w:val="single"/>
                </w:rPr>
                <w:t>Item 1</w:t>
              </w:r>
            </w:hyperlink>
          </w:p>
        </w:tc>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118">
              <w:r>
                <w:rPr>
                  <w:rStyle w:val="InternetLink"/>
                  <w:rFonts w:ascii="Times New Roman;sans-serif" w:hAnsi="Times New Roman;sans-serif"/>
                  <w:b w:val="false"/>
                  <w:strike w:val="false"/>
                  <w:dstrike w:val="false"/>
                  <w:color w:val="000000"/>
                  <w:sz w:val="20"/>
                  <w:u w:val="none"/>
                  <w:effect w:val="none"/>
                </w:rPr>
                <w:t>24</w:t>
              </w:r>
            </w:hyperlink>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121">
              <w:r>
                <w:rPr>
                  <w:rStyle w:val="InternetLink"/>
                  <w:rFonts w:ascii="Times New Roman;sans-serif" w:hAnsi="Times New Roman;sans-serif"/>
                  <w:b w:val="false"/>
                  <w:color w:val="0000FF"/>
                  <w:sz w:val="20"/>
                  <w:u w:val="single"/>
                </w:rPr>
                <w:t>Item 1A.</w:t>
              </w:r>
            </w:hyperlink>
          </w:p>
        </w:tc>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121">
              <w:r>
                <w:rPr>
                  <w:rStyle w:val="InternetLink"/>
                  <w:rFonts w:ascii="Times New Roman;sans-serif" w:hAnsi="Times New Roman;sans-serif"/>
                  <w:b w:val="false"/>
                  <w:strike w:val="false"/>
                  <w:dstrike w:val="false"/>
                  <w:color w:val="000000"/>
                  <w:sz w:val="20"/>
                  <w:u w:val="none"/>
                  <w:effect w:val="none"/>
                </w:rPr>
                <w:t>24</w:t>
              </w:r>
            </w:hyperlink>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124">
              <w:r>
                <w:rPr>
                  <w:rStyle w:val="InternetLink"/>
                  <w:rFonts w:ascii="Times New Roman;sans-serif" w:hAnsi="Times New Roman;sans-serif"/>
                  <w:b w:val="false"/>
                  <w:color w:val="0000FF"/>
                  <w:sz w:val="20"/>
                  <w:u w:val="single"/>
                </w:rPr>
                <w:t>Item 2</w:t>
              </w:r>
            </w:hyperlink>
          </w:p>
        </w:tc>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Use of Proceeds, and Issuer Purchases of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124">
              <w:r>
                <w:rPr>
                  <w:rStyle w:val="InternetLink"/>
                  <w:rFonts w:ascii="Times New Roman;sans-serif" w:hAnsi="Times New Roman;sans-serif"/>
                  <w:b w:val="false"/>
                  <w:strike w:val="false"/>
                  <w:dstrike w:val="false"/>
                  <w:color w:val="000000"/>
                  <w:sz w:val="20"/>
                  <w:u w:val="none"/>
                  <w:effect w:val="none"/>
                </w:rPr>
                <w:t>68</w:t>
              </w:r>
            </w:hyperlink>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127">
              <w:r>
                <w:rPr>
                  <w:rStyle w:val="InternetLink"/>
                  <w:rFonts w:ascii="Times New Roman;sans-serif" w:hAnsi="Times New Roman;sans-serif"/>
                  <w:b w:val="false"/>
                  <w:color w:val="0000FF"/>
                  <w:sz w:val="20"/>
                  <w:u w:val="single"/>
                </w:rPr>
                <w:t>Item 3</w:t>
              </w:r>
            </w:hyperlink>
          </w:p>
        </w:tc>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Defaults Upon Senior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127">
              <w:r>
                <w:rPr>
                  <w:rStyle w:val="InternetLink"/>
                  <w:rFonts w:ascii="Times New Roman;sans-serif" w:hAnsi="Times New Roman;sans-serif"/>
                  <w:b w:val="false"/>
                  <w:strike w:val="false"/>
                  <w:dstrike w:val="false"/>
                  <w:color w:val="000000"/>
                  <w:sz w:val="20"/>
                  <w:u w:val="none"/>
                  <w:effect w:val="none"/>
                </w:rPr>
                <w:t>68</w:t>
              </w:r>
            </w:hyperlink>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130">
              <w:r>
                <w:rPr>
                  <w:rStyle w:val="InternetLink"/>
                  <w:rFonts w:ascii="Times New Roman;sans-serif" w:hAnsi="Times New Roman;sans-serif"/>
                  <w:b w:val="false"/>
                  <w:color w:val="0000FF"/>
                  <w:sz w:val="20"/>
                  <w:u w:val="single"/>
                </w:rPr>
                <w:t>Item 4</w:t>
              </w:r>
            </w:hyperlink>
          </w:p>
        </w:tc>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130">
              <w:r>
                <w:rPr>
                  <w:rStyle w:val="InternetLink"/>
                  <w:rFonts w:ascii="Times New Roman;sans-serif" w:hAnsi="Times New Roman;sans-serif"/>
                  <w:b w:val="false"/>
                  <w:strike w:val="false"/>
                  <w:dstrike w:val="false"/>
                  <w:color w:val="000000"/>
                  <w:sz w:val="20"/>
                  <w:u w:val="none"/>
                  <w:effect w:val="none"/>
                </w:rPr>
                <w:t>68</w:t>
              </w:r>
            </w:hyperlink>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133">
              <w:r>
                <w:rPr>
                  <w:rStyle w:val="InternetLink"/>
                  <w:rFonts w:ascii="Times New Roman;sans-serif" w:hAnsi="Times New Roman;sans-serif"/>
                  <w:b w:val="false"/>
                  <w:color w:val="0000FF"/>
                  <w:sz w:val="20"/>
                  <w:u w:val="single"/>
                </w:rPr>
                <w:t>Item 5</w:t>
              </w:r>
            </w:hyperlink>
          </w:p>
        </w:tc>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133">
              <w:r>
                <w:rPr>
                  <w:rStyle w:val="InternetLink"/>
                  <w:rFonts w:ascii="Times New Roman;sans-serif" w:hAnsi="Times New Roman;sans-serif"/>
                  <w:b w:val="false"/>
                  <w:strike w:val="false"/>
                  <w:dstrike w:val="false"/>
                  <w:color w:val="000000"/>
                  <w:sz w:val="20"/>
                  <w:u w:val="none"/>
                  <w:effect w:val="none"/>
                </w:rPr>
                <w:t>68</w:t>
              </w:r>
            </w:hyperlink>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136">
              <w:r>
                <w:rPr>
                  <w:rStyle w:val="InternetLink"/>
                  <w:rFonts w:ascii="Times New Roman;sans-serif" w:hAnsi="Times New Roman;sans-serif"/>
                  <w:b w:val="false"/>
                  <w:color w:val="0000FF"/>
                  <w:sz w:val="20"/>
                  <w:u w:val="single"/>
                </w:rPr>
                <w:t>Item 6</w:t>
              </w:r>
            </w:hyperlink>
          </w:p>
        </w:tc>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136">
              <w:r>
                <w:rPr>
                  <w:rStyle w:val="InternetLink"/>
                  <w:rFonts w:ascii="Times New Roman;sans-serif" w:hAnsi="Times New Roman;sans-serif"/>
                  <w:b w:val="false"/>
                  <w:strike w:val="false"/>
                  <w:dstrike w:val="false"/>
                  <w:color w:val="000000"/>
                  <w:sz w:val="20"/>
                  <w:u w:val="none"/>
                  <w:effect w:val="none"/>
                </w:rPr>
                <w:t>69</w:t>
              </w:r>
            </w:hyperlink>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pPr>
            <w:hyperlink w:anchor="ia2d27abc3b954ebfb1ee85fefa661ad3_139">
              <w:r>
                <w:rPr>
                  <w:rStyle w:val="InternetLink"/>
                  <w:rFonts w:ascii="Times New Roman;sans-serif" w:hAnsi="Times New Roman;sans-serif"/>
                  <w:b w:val="false"/>
                  <w:color w:val="0000FF"/>
                  <w:sz w:val="20"/>
                  <w:u w:val="single"/>
                </w:rPr>
                <w:t>Signatures</w:t>
              </w:r>
            </w:hyperlink>
          </w:p>
        </w:tc>
        <w:tc>
          <w:tcPr>
            <w:tcW w:w="7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center"/>
              <w:rPr/>
            </w:pPr>
            <w:hyperlink w:anchor="ia2d27abc3b954ebfb1ee85fefa661ad3_139">
              <w:r>
                <w:rPr>
                  <w:rStyle w:val="InternetLink"/>
                  <w:rFonts w:ascii="Times New Roman;sans-serif" w:hAnsi="Times New Roman;sans-serif"/>
                  <w:b w:val="false"/>
                  <w:strike w:val="false"/>
                  <w:dstrike w:val="false"/>
                  <w:color w:val="000000"/>
                  <w:sz w:val="20"/>
                  <w:u w:val="none"/>
                  <w:effect w:val="none"/>
                </w:rPr>
                <w:t>70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Verona Pharma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78"/>
        <w:gridCol w:w="2224"/>
        <w:gridCol w:w="2210"/>
        <w:gridCol w:w="109"/>
        <w:gridCol w:w="109"/>
        <w:gridCol w:w="109"/>
        <w:gridCol w:w="211"/>
        <w:gridCol w:w="826"/>
        <w:gridCol w:w="109"/>
        <w:gridCol w:w="109"/>
        <w:gridCol w:w="109"/>
        <w:gridCol w:w="109"/>
        <w:gridCol w:w="211"/>
        <w:gridCol w:w="826"/>
        <w:gridCol w:w="156"/>
      </w:tblGrid>
      <w:tr>
        <w:trPr/>
        <w:tc>
          <w:tcPr>
            <w:tcW w:w="277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incentive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Commitments and contingencies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Ordinary £0.05 par value shares; 651,659,630 and 631,338,246 issued, and 639,520,054 and 606,301,054 outstanding, at September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deficit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Verona Pharma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459"/>
        <w:gridCol w:w="1098"/>
        <w:gridCol w:w="1104"/>
        <w:gridCol w:w="109"/>
        <w:gridCol w:w="109"/>
        <w:gridCol w:w="109"/>
        <w:gridCol w:w="264"/>
        <w:gridCol w:w="922"/>
        <w:gridCol w:w="110"/>
        <w:gridCol w:w="110"/>
        <w:gridCol w:w="110"/>
        <w:gridCol w:w="110"/>
        <w:gridCol w:w="264"/>
        <w:gridCol w:w="922"/>
        <w:gridCol w:w="110"/>
        <w:gridCol w:w="109"/>
        <w:gridCol w:w="109"/>
        <w:gridCol w:w="109"/>
        <w:gridCol w:w="264"/>
        <w:gridCol w:w="922"/>
        <w:gridCol w:w="109"/>
        <w:gridCol w:w="109"/>
        <w:gridCol w:w="109"/>
        <w:gridCol w:w="109"/>
        <w:gridCol w:w="264"/>
        <w:gridCol w:w="922"/>
        <w:gridCol w:w="160"/>
      </w:tblGrid>
      <w:tr>
        <w:trPr/>
        <w:tc>
          <w:tcPr>
            <w:tcW w:w="145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Total other income/(expense),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ordinary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638,238,749 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544,134,136 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631,447,851 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503,751,844 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Verona Pharma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1628"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593"/>
        <w:gridCol w:w="593"/>
        <w:gridCol w:w="231"/>
        <w:gridCol w:w="109"/>
        <w:gridCol w:w="109"/>
        <w:gridCol w:w="109"/>
        <w:gridCol w:w="211"/>
        <w:gridCol w:w="721"/>
        <w:gridCol w:w="109"/>
        <w:gridCol w:w="109"/>
        <w:gridCol w:w="109"/>
        <w:gridCol w:w="109"/>
        <w:gridCol w:w="211"/>
        <w:gridCol w:w="826"/>
        <w:gridCol w:w="109"/>
        <w:gridCol w:w="109"/>
        <w:gridCol w:w="109"/>
        <w:gridCol w:w="109"/>
        <w:gridCol w:w="211"/>
        <w:gridCol w:w="631"/>
        <w:gridCol w:w="109"/>
        <w:gridCol w:w="109"/>
        <w:gridCol w:w="109"/>
        <w:gridCol w:w="109"/>
        <w:gridCol w:w="259"/>
        <w:gridCol w:w="776"/>
        <w:gridCol w:w="136"/>
        <w:gridCol w:w="109"/>
        <w:gridCol w:w="109"/>
        <w:gridCol w:w="109"/>
        <w:gridCol w:w="211"/>
        <w:gridCol w:w="841"/>
        <w:gridCol w:w="109"/>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 held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631,338,246 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20,321,384 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651,659,630 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units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651,659,630 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651,659,630 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tbl>
      <w:tblPr>
        <w:tblW w:w="11478" w:type="dxa"/>
        <w:jc w:val="left"/>
        <w:tblInd w:w="0" w:type="dxa"/>
        <w:tblLayout w:type="fixed"/>
        <w:tblCellMar>
          <w:top w:w="28" w:type="dxa"/>
          <w:left w:w="28" w:type="dxa"/>
          <w:bottom w:w="28" w:type="dxa"/>
          <w:right w:w="28" w:type="dxa"/>
        </w:tblCellMar>
      </w:tblPr>
      <w:tblGrid>
        <w:gridCol w:w="638"/>
        <w:gridCol w:w="311"/>
        <w:gridCol w:w="312"/>
        <w:gridCol w:w="109"/>
        <w:gridCol w:w="109"/>
        <w:gridCol w:w="109"/>
        <w:gridCol w:w="593"/>
        <w:gridCol w:w="593"/>
        <w:gridCol w:w="231"/>
        <w:gridCol w:w="109"/>
        <w:gridCol w:w="109"/>
        <w:gridCol w:w="109"/>
        <w:gridCol w:w="211"/>
        <w:gridCol w:w="721"/>
        <w:gridCol w:w="109"/>
        <w:gridCol w:w="109"/>
        <w:gridCol w:w="109"/>
        <w:gridCol w:w="109"/>
        <w:gridCol w:w="211"/>
        <w:gridCol w:w="826"/>
        <w:gridCol w:w="109"/>
        <w:gridCol w:w="109"/>
        <w:gridCol w:w="109"/>
        <w:gridCol w:w="109"/>
        <w:gridCol w:w="211"/>
        <w:gridCol w:w="481"/>
        <w:gridCol w:w="109"/>
        <w:gridCol w:w="109"/>
        <w:gridCol w:w="109"/>
        <w:gridCol w:w="109"/>
        <w:gridCol w:w="259"/>
        <w:gridCol w:w="776"/>
        <w:gridCol w:w="136"/>
        <w:gridCol w:w="109"/>
        <w:gridCol w:w="109"/>
        <w:gridCol w:w="109"/>
        <w:gridCol w:w="211"/>
        <w:gridCol w:w="841"/>
        <w:gridCol w:w="109"/>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 held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489,177,550 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under at-the-market sales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ordinary shares to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withheld for taxes on vested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settled share-based compensation reclassified as cash-settled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494,058,246 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units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withheld for taxes on vested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settled share-based compensation reclassified as cash-settled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494,058,246 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ordinary shares,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ordinary shares from restricted share units or 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withheld for taxes on vested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settled share-based compensation reclassified as cash-settled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608,138,246 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Verona Pharma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320" w:type="dxa"/>
        <w:jc w:val="center"/>
        <w:tblInd w:w="0" w:type="dxa"/>
        <w:tblLayout w:type="fixed"/>
        <w:tblCellMar>
          <w:top w:w="28" w:type="dxa"/>
          <w:left w:w="28" w:type="dxa"/>
          <w:bottom w:w="28" w:type="dxa"/>
          <w:right w:w="28" w:type="dxa"/>
        </w:tblCellMar>
      </w:tblPr>
      <w:tblGrid>
        <w:gridCol w:w="2288"/>
        <w:gridCol w:w="2014"/>
        <w:gridCol w:w="2027"/>
        <w:gridCol w:w="109"/>
        <w:gridCol w:w="109"/>
        <w:gridCol w:w="109"/>
        <w:gridCol w:w="211"/>
        <w:gridCol w:w="826"/>
        <w:gridCol w:w="109"/>
        <w:gridCol w:w="109"/>
        <w:gridCol w:w="109"/>
        <w:gridCol w:w="109"/>
        <w:gridCol w:w="211"/>
        <w:gridCol w:w="826"/>
        <w:gridCol w:w="154"/>
      </w:tblGrid>
      <w:tr>
        <w:trPr/>
        <w:tc>
          <w:tcPr>
            <w:tcW w:w="228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Adjustments to reconcile net income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redemption premium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incentive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furniture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offering costs in connection with the issuance of 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draw under the Oxford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withholding taxes from share-based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Verona Pharma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Note 1 - Organization and description of business operations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Verona Pharma plc (the “Company”) is incorporated and domiciled in the United Kingdom. Verona Pharma plc has one wholly-owned subsidiary, Verona Pharma, Inc., a Delaware corporation. The address of the registered office is 1 Central Square, Cardiff, CF10 1FS, United Kingdom.</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clinical-stage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the U.S. Food and Drug Administration (“FDA”) accepted for review the Company’s New Drug Application (“NDA”) seeking approval of ensifentrine for the maintenance treatment of chronic obstructive pulmonary disease (“COPD”) and assigned a Prescription Drug User Fee Act (“PDUFA”) target action date of June 26, 2024. The FDA filing stated it is not currently planning to hold an advisory committee meeting to discuss the application. The Company is preparing for a potential commercial launch in 2024, subject to approval of the NDA.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submission of the NDA in June 2023, the Company paid a $3.2 million PDUFA application fee to the FDA. The Company requested a small business waiver of this application fee which was approved by the FDA and, as such, the amount has been recorded within Other current assets in the Condensed Consolidated Balance Sheets. </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incurred recurring losses and negative cash flows from operations since inception, and has an accumulated deficit of $374.1 million as of September 30, 2023. The Company expects to incur additional losses and negative cash flows from operations until its products potentially gain regulatory approval and reach commercial profitability, if at all.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its cash and cash equivalents as of September 30, 2023, will be sufficient to fund its operating expenses and capital expenditure requirements for at least the next 12 months from the date of issuance.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Company sold 20,321,384 ordinary shares (equivalent to 2,540,173 ADSs) under the at-the-market offering program entered into in March 2021 (the “2021 ATM Program”). The shares sold were at an average price of approximately $2.88 per share (equivalent to $23.08 per ADS), raising aggregate net proceeds of approximately $56.9 million after deducting issuance costs.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through a registration statement on Form S-3, the Company replaced the 2021 ATM Program, with an open market sale agreement with Jefferies LLC (“Jefferies”) to sell its ordinary shares, in the form of ADSs, with aggregate gross proceeds of up to $200.0 million, from time-to-time, through an “at the market” equity offering program under which Jefferies will act as sales agent (the “2023 ATM Program”). Jefferies is entitled to a commission at a rate of up to 3.0% of the gross proceeds.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commercial revenue, if any, will be derived from sales of products that are not expected to be commercially available until the second half of 2024, if ever. Additionally, the Company may enter into out-licensing transactions from time to time but there can be no assurance that the Company can secure such transactions in the future. Accordingly, the Company may need to obtain substantial additional funds to achieve its business objectives including to further advance clinical and regulatory activities, to fund launch related costs and to create an effective sales and marketing organization to commercialize ensifentrine, if approved. Any such funding will need to be obtained through public or private financings, debt financing, collaboration or licensing arrangements or other arrangements. However, there is no guarantee the Company will be successful in securing additional capital on acceptable terms,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consolidation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include the accounts of Verona Pharma plc and its wholly-owned subsidiary Verona Pharma, Inc. All inter-company balances and transactions have been eliminated.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included in this Quarterly Report on Form 10-Q have been prepared in conformity with accounting principles generally accepted in the U.S. (“U.S. GAAP”) and should be read in conjunction with the consolidated financial statements and accompanying notes included in the Company’s Annual Report on Form 10-K filed on March 7, 2023 (the “2022 Form 10-K”). The Consolidated Balance Sheet as of December 31, 2022, was derived from audited consolidated financial statements included in the 2022 Form 10-K but does not include all disclosures required by U.S. GAAP for complete financial statements. The Company’s significant accounting policies are described in Note 2 to those consolidated financial statements.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shareholders' equity for the periods presented. Except as otherwise disclosed, all such adjustments are of a normal recurring nature. Operating results for the interim periods are not necessarily indicative of the results that may be expected for the full year. </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one operating and reportable segment, pharmaceutical development.</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and the fair value of share-based compensation. Estimates are periodically reviewed in light of changes in circumstances, facts and experience. Changes in estimates are recorded in the period in which they become known, and actual results could differ from the Company’s estimates.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standards and recent accounting standards not yet adopted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FASB issued ASU 2016-13, Financial Instruments-Credit Losses (Topic 326)-Measurement of Credit Losses on Financial Instruments. This guidance replaces the current incurred loss impairment methodology.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this model, on initial recognition and at each reporting period, an entity is required to recognize an allowance that reflects its current estimate of credit losses expected to be incurred over the life of the financial instrument based on historical experience, current conditions and reasonable and supportable forecasts. The guidance requires a modified retrospective transition approach through a cumulative-effect adjustment to retained earnings as of the beginning of the period of adoption. This update became effective for the Company on January 1, 2023 and the adoption of this update did not have a material impact on the Company’s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Verona Pharma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Note 3 - Equity interest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equity interest is recorded at cost as the Company has elected to use the measurement alternative for equity investments without readily determinable fair values. The Company evaluates this investment for indicators of impairment quarterly. The Company did not identify events or changes in circumstances that may have a significant effect on the fair value of the investment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Note 4 - Accrued expenses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 (in thousands):</w:t>
      </w:r>
    </w:p>
    <w:tbl>
      <w:tblPr>
        <w:tblW w:w="6651" w:type="dxa"/>
        <w:jc w:val="left"/>
        <w:tblInd w:w="0" w:type="dxa"/>
        <w:tblLayout w:type="fixed"/>
        <w:tblCellMar>
          <w:top w:w="28" w:type="dxa"/>
          <w:left w:w="28" w:type="dxa"/>
          <w:bottom w:w="28" w:type="dxa"/>
          <w:right w:w="28" w:type="dxa"/>
        </w:tblCellMar>
      </w:tblPr>
      <w:tblGrid>
        <w:gridCol w:w="1349"/>
        <w:gridCol w:w="1182"/>
        <w:gridCol w:w="1188"/>
        <w:gridCol w:w="109"/>
        <w:gridCol w:w="109"/>
        <w:gridCol w:w="109"/>
        <w:gridCol w:w="257"/>
        <w:gridCol w:w="750"/>
        <w:gridCol w:w="132"/>
        <w:gridCol w:w="109"/>
        <w:gridCol w:w="109"/>
        <w:gridCol w:w="109"/>
        <w:gridCol w:w="221"/>
        <w:gridCol w:w="757"/>
        <w:gridCol w:w="161"/>
      </w:tblGrid>
      <w:tr>
        <w:trPr/>
        <w:tc>
          <w:tcPr>
            <w:tcW w:w="134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 and other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and general corporate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Note 5 - Term loan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14, 2022 (the “Effective Date”), the Company entered into a loan and security agreement (the “Loan Agreement”) with Oxford Finance Luxembourg S.À R.L. (“Oxford”) for an aggregate amount of up to $150.0 million (the “Oxford Term Loan”). The Oxford Term Loan provides for an initial term loan advance in an aggregate amount of $10.0 million, which was funded on the Effective Date (the “Oxford Term A Loan”), and up to four additional term loan advances in an aggregate amount of $140.0 million. The Oxford Term Loan has a maturity date of October 1, 2027. On March 24, 2023, the Company received $10.0 million under the second term loan advance (the “Oxford Term B Loan”).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Oxford Term A Loan and Oxford Term B Loan (together, the “Oxford Term Loan Advances”) bear interest at a variable rate equal to (a) the greater of (i) the 1-Month CME Term SOFR reference rate on the last day of the month that immediately precedes the month in which the interest will accrue and (ii) 2.38%, plus (b) 5.50% (the “Basic Rate”) and shall not increase by more than 2.00% above the Basic Rate as of the funding date of each such term loan. For the nine months ended September 30, 2023, the effective interest rate was approximately 12% per annum. There was no material difference between the carrying value and the estimated fair value of the Oxford Term Loan Advances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Verona Pharma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Note 6 - Share-based compensation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allocation of share-based compensation between research and development and selling, general and administrative costs (in thousands):</w:t>
      </w:r>
    </w:p>
    <w:tbl>
      <w:tblPr>
        <w:tblW w:w="8879" w:type="dxa"/>
        <w:jc w:val="left"/>
        <w:tblInd w:w="0" w:type="dxa"/>
        <w:tblLayout w:type="fixed"/>
        <w:tblCellMar>
          <w:top w:w="28" w:type="dxa"/>
          <w:left w:w="28" w:type="dxa"/>
          <w:bottom w:w="28" w:type="dxa"/>
          <w:right w:w="28" w:type="dxa"/>
        </w:tblCellMar>
      </w:tblPr>
      <w:tblGrid>
        <w:gridCol w:w="1087"/>
        <w:gridCol w:w="953"/>
        <w:gridCol w:w="959"/>
        <w:gridCol w:w="109"/>
        <w:gridCol w:w="109"/>
        <w:gridCol w:w="109"/>
        <w:gridCol w:w="253"/>
        <w:gridCol w:w="739"/>
        <w:gridCol w:w="130"/>
        <w:gridCol w:w="130"/>
        <w:gridCol w:w="130"/>
        <w:gridCol w:w="130"/>
        <w:gridCol w:w="253"/>
        <w:gridCol w:w="739"/>
        <w:gridCol w:w="130"/>
        <w:gridCol w:w="109"/>
        <w:gridCol w:w="109"/>
        <w:gridCol w:w="109"/>
        <w:gridCol w:w="233"/>
        <w:gridCol w:w="796"/>
        <w:gridCol w:w="120"/>
        <w:gridCol w:w="120"/>
        <w:gridCol w:w="120"/>
        <w:gridCol w:w="120"/>
        <w:gridCol w:w="233"/>
        <w:gridCol w:w="680"/>
        <w:gridCol w:w="170"/>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options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share option activity, in ordinary shares, in the period:</w:t>
      </w:r>
    </w:p>
    <w:tbl>
      <w:tblPr>
        <w:tblW w:w="6770"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929"/>
        <w:gridCol w:w="929"/>
        <w:gridCol w:w="932"/>
        <w:gridCol w:w="109"/>
        <w:gridCol w:w="109"/>
        <w:gridCol w:w="109"/>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 options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19,276,496 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(1,050,192)</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19,306,304 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2,824,000 </w:t>
            </w:r>
          </w:p>
        </w:tc>
        <w:tc>
          <w:tcPr>
            <w:tcW w:w="9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21,930,304 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1,400,000 </w:t>
            </w:r>
          </w:p>
        </w:tc>
        <w:tc>
          <w:tcPr>
            <w:tcW w:w="9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23,022,304 </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 activity</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restricted stock unit (“RSU”) activity, in ordinary shares, in the period:</w:t>
      </w:r>
    </w:p>
    <w:tbl>
      <w:tblPr>
        <w:tblW w:w="6199"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739"/>
        <w:gridCol w:w="739"/>
        <w:gridCol w:w="741"/>
        <w:gridCol w:w="109"/>
        <w:gridCol w:w="109"/>
        <w:gridCol w:w="109"/>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RSUs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34,542,344 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(4,305,120)</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30,237,224 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(3,680,224)</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26,557,000 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(3,644,752)</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22,912,248 </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Verona Pharma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Note 7 - Net loss per share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loss per share is calculated on an ordinary share basis. The Company’s ADSs that are listed on Nasdaq each represent eight ordinary shares. The following table shows the computation of basic and diluted net loss per share for the three and nine months ended September 30, 2023 and 2022 (in thousands except per share amounts):</w:t>
      </w:r>
    </w:p>
    <w:tbl>
      <w:tblPr>
        <w:tblW w:w="10205" w:type="dxa"/>
        <w:jc w:val="left"/>
        <w:tblInd w:w="0" w:type="dxa"/>
        <w:tblLayout w:type="fixed"/>
        <w:tblCellMar>
          <w:top w:w="28" w:type="dxa"/>
          <w:left w:w="28" w:type="dxa"/>
          <w:bottom w:w="28" w:type="dxa"/>
          <w:right w:w="28" w:type="dxa"/>
        </w:tblCellMar>
      </w:tblPr>
      <w:tblGrid>
        <w:gridCol w:w="1567"/>
        <w:gridCol w:w="1381"/>
        <w:gridCol w:w="1399"/>
        <w:gridCol w:w="109"/>
        <w:gridCol w:w="109"/>
        <w:gridCol w:w="109"/>
        <w:gridCol w:w="216"/>
        <w:gridCol w:w="811"/>
        <w:gridCol w:w="111"/>
        <w:gridCol w:w="111"/>
        <w:gridCol w:w="111"/>
        <w:gridCol w:w="111"/>
        <w:gridCol w:w="216"/>
        <w:gridCol w:w="811"/>
        <w:gridCol w:w="111"/>
        <w:gridCol w:w="109"/>
        <w:gridCol w:w="109"/>
        <w:gridCol w:w="109"/>
        <w:gridCol w:w="211"/>
        <w:gridCol w:w="789"/>
        <w:gridCol w:w="109"/>
        <w:gridCol w:w="109"/>
        <w:gridCol w:w="109"/>
        <w:gridCol w:w="109"/>
        <w:gridCol w:w="211"/>
        <w:gridCol w:w="789"/>
        <w:gridCol w:w="159"/>
      </w:tblGrid>
      <w:tr>
        <w:trPr/>
        <w:tc>
          <w:tcPr>
            <w:tcW w:w="15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and 2022, outstanding share options, RSUs and warrants over 45.9 million and 57.7 million ordinary shares, respectively, were not included in the computation of diluted earnings per ordinary share, because to do so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Note 8 - Commitments and contingencies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the Company accrued up to the maximum exposure of $6.9 million related to a matter with a supplier and also had certain invoices in the amount of $1.5 million in accounts payable to the same supplier. Both items were settled in June 2023 for $2.1 million. This resulted in a net reversal of $6.3 million in the three months ended June 30, 2023 and a net reversal of $1.5 million in the nine months ended September 30, 2023 in Research and development costs in the Condensed Consolidated Statement of Operations and Comprehensive Loss.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 entered into an Agreement of Sublease (the “Sublease”), pursuant to which the Company will sublease approximately 31,845 square feet of office space in Raleigh, NC. The term of the Sublease will commence on December 1, 2023, and shall expire on October 31, 2027. The total minimum future lease payments will be $2.8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2022 filed with the Securities and Exchange Commission on March 7, 2023 (the “2022 Form 10-K”).</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development of ensifentrine or any other product candidates for COPD and other respiratory indications, including statements regarding the expected initiation, timing, progress and availability of data from our clinical trials and potential regulatory approvals and commercialization, research and development costs, timing and likelihood of success, the potential impact and benefits of ensifentrine or any other product candidates, potential collaborations, our estimates regarding expenses, future revenues, capital requirements, debt service obligations and our need for additional financing, the funding we expect to become available from cash receipts from U.K. tax credits and the remaining $130 million expected under the debt facility secured in October 2022 and related timing, and the sufficiency of our cash and cash equivalents to fund operations, are forward-looking statements.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II, Item 1A of this Quarterly Report on Form 10-Q under the heading “Risk Factors” and Part I, Item 1A of the 2022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pStyle w:val="TextBody"/>
        <w:bidi w:val="0"/>
        <w:spacing w:before="24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clinical-stage biopharmaceutical company focused on developing and commercializing innovative therapeutics for the treatment of respiratory diseases with significant unmet medical need. Our product candidate, ensifentrine, is an investigational, first-in-class, inhaled, selective, dual inhibitor of the enzymes phosphodiesterase 3 and 4 (“PDE3” and “PDE4”), combining bronchodilator and non-steroidal anti-inflammatory activities in one molecule.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Initially, we are developing inhaled ensifentrine for the maintenance treatment of chronic obstructive pulmonary disease (“COPD”), a common, chronic, progressive, and life-threatening respiratory disease without a cure. If successfully developed and approved, ensifentrine is expected to be the first therapeutic with a novel mode of action for the maintenance treatment of COPD in over a decade.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the U.S. Food and Drug Administration (“FDA”) accepted for review our New Drug Application (“NDA”) seeking approval of ensifentrine for the maintenance treatment of COPD and assigned a Prescription Drug User Fee Act (“PDUFA”) target action date of June 26, 2024. The FDA stated it is not currently planning to hold an advisory committee meeting to discuss the application.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from our successful Phase 3 ENHANCE (“Ensifentrine as a Novel inHAled Nebulized COPD thErapy”) program, we believe ensifentrine, if approved, has the potential to change the treatment paradigm for COPD. Ensifentrine met the primary endpoint in both the ENHANCE-1 and ENHANCE-2 trials demonstrating statistically significant and clinically meaningful improvements in measures of lung function. In addition, other endpoint data demonstrated that ensifentrine substantially reduced the rate and risk of COPD exacerbations in ENHANCE-1 and ENHANCE-2. Ensifentrine was well tolerated in both trials.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recently presented additional analyses of data from the ENHANCE trials at international scientific conferences:</w:t>
      </w:r>
    </w:p>
    <w:p>
      <w:pPr>
        <w:pStyle w:val="TextBody"/>
        <w:bidi w:val="0"/>
        <w:spacing w:lineRule="auto" w:line="264" w:before="120" w:after="120"/>
        <w:jc w:val="both"/>
        <w:rPr/>
      </w:pPr>
      <w:r>
        <w:rPr>
          <w:color w:val="000000"/>
        </w:rPr>
        <w:t>•</w:t>
      </w:r>
      <w:r>
        <w:rPr>
          <w:rFonts w:ascii="Times New Roman;sans-serif" w:hAnsi="Times New Roman;sans-serif"/>
          <w:b w:val="false"/>
          <w:color w:val="000000"/>
          <w:sz w:val="20"/>
        </w:rPr>
        <w:t xml:space="preserve">In October 2023, we gave 4 presentations on pooled and subgroup analyses from ENHANCE-1 and ENHANCE-2 covering data related to exacerbations, lung function, symptoms and quality of life endpoints and use of daily medication, at CHEST Annual Meeting 2023. The data are published in the CHEST Annual Meeting online supplement. </w:t>
      </w:r>
    </w:p>
    <w:p>
      <w:pPr>
        <w:pStyle w:val="TextBody"/>
        <w:bidi w:val="0"/>
        <w:spacing w:lineRule="auto" w:line="264" w:before="120" w:after="120"/>
        <w:jc w:val="both"/>
        <w:rPr/>
      </w:pPr>
      <w:r>
        <w:rPr>
          <w:color w:val="000000"/>
        </w:rPr>
        <w:t>•</w:t>
      </w:r>
      <w:r>
        <w:rPr>
          <w:rFonts w:ascii="Times New Roman;sans-serif" w:hAnsi="Times New Roman;sans-serif"/>
          <w:b w:val="false"/>
          <w:color w:val="000000"/>
          <w:sz w:val="20"/>
        </w:rPr>
        <w:t xml:space="preserve">Also at CHEST Annual Meeting, we launched a disease awareness campaign highlighting that despite suffering symptoms that have a substantial impact on everyday life, many COPD patients struggle to fully disclose to their healthcare provider the true extent or severity of their symptoms. This campaign was designed to encourage healthcare providers to find out how patients are coping with COPD. </w:t>
      </w:r>
    </w:p>
    <w:p>
      <w:pPr>
        <w:pStyle w:val="TextBody"/>
        <w:bidi w:val="0"/>
        <w:spacing w:lineRule="auto" w:line="264" w:before="120" w:after="120"/>
        <w:jc w:val="both"/>
        <w:rPr/>
      </w:pPr>
      <w:r>
        <w:rPr>
          <w:color w:val="000000"/>
        </w:rPr>
        <w:t>•</w:t>
      </w:r>
      <w:r>
        <w:rPr>
          <w:rFonts w:ascii="Times New Roman;sans-serif" w:hAnsi="Times New Roman;sans-serif"/>
          <w:b w:val="false"/>
          <w:color w:val="000000"/>
          <w:sz w:val="20"/>
        </w:rPr>
        <w:t xml:space="preserve">In September 2023, we gave a presentation on an analysis of the ENHANCE-1 24-week exacerbation data at ERS International Congress 2023. The abstract is published in the peer reviewed publication, </w:t>
      </w:r>
      <w:r>
        <w:rPr>
          <w:rFonts w:ascii="Times New Roman;sans-serif" w:hAnsi="Times New Roman;sans-serif"/>
          <w:b w:val="false"/>
          <w:i/>
          <w:color w:val="000000"/>
          <w:sz w:val="20"/>
        </w:rPr>
        <w:t>European Respiratory Journal.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approved, we intend to commercialize inhaled ensifentrine for the maintenance treatment of COPD in the United States (“U.S.”). Ensifentrine is not considered a drug device combination because patients use a readily available standard jet nebulizer to take ensifentrine. Outside the U.S., we intend to license ensifentrine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 Greater China.</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recurring losses and negative cash flows from operations since inception, and have an accumulated deficit of $374.1 million as of September 30, 2023. We expect to incur additional losses and negative cash flows from operations until our product candidates potentially gain regulatory approval and reach commercial profitability, if at all.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significant expenses in connection with our ongoing activities, if and as we: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establish a sales, marketing and distribution infrastructure, ramp up production to commercial scale with our manufacturing and other Chemistry, Manufacturing and Controls activities to potentially commercialize any products for which we may obtain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continue the clinical development of our DPI and pMDI formulations of ensifentrine and research and development of other formulations of ensifentrine, as well as a fixed-dose combination of ensifentrine and a long-acting muscarinic antagonist;</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initiate and conduct further clinical trials for ensifentrine for the treatment of non-CF bronchiectasis, acute COPD, CF or any other indication;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initiate and progress pre-clinical studies relating to other potential indications of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seek to discover and develop additional product candidates;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seek regulatory approvals for any of our product candidates that successfully complete clinical trials;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add clinical, scientific, operational, financial and management information systems and personnel, including personnel to support our product development and potential future commercialization efforts and to support our continuing operations as a U.S. public company;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experience any delays or encounter any issues from any of the above, including but not limited to failed studies, complex results, safety issues or other regulatory challenges.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as of September 30, 2023, together with expected cash receipts from U.K. tax credit program and the remaining $130.0 million funding expected to become available under the debt financing facility secured in October 2022 (the “Oxford Term Loan”), will enable us to fund our planned operating expenses and capital expenditure requirements through at least the end of 2025, including the commercial launch of ensifentrine in the U.S., if approved. The Oxford Term Loan advances are contingent upon achievement of certain clinical and regulatory milestones and other specified conditions. Refer to Note 5 - Term Loan for additional information on the Oxford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Clinical development update</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Phase 3 ENHANCE program</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positive top-line results from ENHANCE-2 and ENHANCE-1, in August and December 2022, respectively. Ensifentrine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ENHANCE-1. Other endpoint data showed ensifentrine substantially reduced the rate and risk of moderate to severe COPD exacerbations and was well tolerated in both trials.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ENHANCE trials were designed to evaluate ensifentrine as monotherapy and added onto a single bronchodilator. 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 demographics and disease characteristics were well balanced between treatment groups in both trials.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 ENHANCE-1 approximately 69% of subjects received background COPD therapy, either a long-acting muscarinic antagonist (“LAMA”) or a long-acting beta-antagonist (“LABA”). Additionally, approximately 20% of all subjects received inhaled corticosteroids (“ICS”) with concomitant LAMA or LABA.</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 ENHANCE-2 approximately 55% of subjects received background COPD therapy, either a LAMA or a LABA. Additionally, approximately 15% of all subjects received ICS with concomitant LAMA or LABA.</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Highlights</w:t>
      </w:r>
    </w:p>
    <w:p>
      <w:pPr>
        <w:pStyle w:val="TextBody"/>
        <w:bidi w:val="0"/>
        <w:spacing w:lineRule="auto" w:line="288" w:before="0" w:after="0"/>
        <w:jc w:val="left"/>
        <w:rPr/>
      </w:pPr>
      <w:r>
        <w:rPr>
          <w:rFonts w:ascii="Times New Roman;sans-serif" w:hAnsi="Times New Roman;sans-serif"/>
          <w:b/>
          <w:color w:val="000000"/>
          <w:sz w:val="20"/>
        </w:rPr>
        <w:t>Primary endpoint met (FEV</w:t>
      </w:r>
      <w:r>
        <w:rPr>
          <w:rFonts w:ascii="Times New Roman;sans-serif" w:hAnsi="Times New Roman;sans-serif"/>
          <w:b/>
          <w:color w:val="000000"/>
          <w:sz w:val="13"/>
        </w:rPr>
        <w:t>1</w:t>
      </w:r>
      <w:r>
        <w:rPr>
          <w:rFonts w:ascii="Times New Roman;sans-serif" w:hAnsi="Times New Roman;sans-serif"/>
          <w:b w:val="false"/>
          <w:color w:val="000000"/>
          <w:sz w:val="20"/>
        </w:rPr>
        <w:t>*</w:t>
      </w:r>
      <w:r>
        <w:rPr>
          <w:rFonts w:ascii="Times New Roman;sans-serif" w:hAnsi="Times New Roman;sans-serif"/>
          <w:b/>
          <w:color w:val="000000"/>
          <w:sz w:val="20"/>
        </w:rPr>
        <w:t>AUC 0-12 hr)</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Placebo corrected, change from baseline in average FEV</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area under the curve 0-12 hours post dose at week 12 was 87 mL (p&lt;0.0001) for ensifentrine in ENHANCE-1 and 94 mL (p&lt;0.0001) for ensifentrine in ENHANCE-2.</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Demonstrated consistent improvements with ensifentrine in all subgroups including gender, age, smoking status, COPD severity, background medication, ICS use, chronic bronchitis, FEV</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reversibility and geographic region.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Secondary endpoints evaluating lung function met:</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Placebo corrected, increase in peak FEV</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of 147 mL (p&lt;0.0001) 0-4 hours post dose at week 12 in ENHANCE-1 and 146 mL (p&lt;0.0001) in ENHANCE-2.</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Placebo corrected, increase in morning trough FEV</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of 35 mL (p=0.0413) at week 12 in ENHANCE-1 and 49 mL (p=0.0016) in ENHANCE-2, supporting twice daily dosing regimen.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Exacerbation rate and risk reduced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Subjects receiving ensifentrine demonstrated a 36% reduction in the rate of moderate to severe COPD exacerbations over 24 weeks (p=0.0503) compared to those receiving placebo in ENHANCE-1 and a 43% reduction (p=0.0090) in ENHANCE-2.</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 xml:space="preserve">In pooled exacerbation data from ENHANCE-1 and ENHANCE-2, ensifentrine demonstrated a 40% reduction in the rate of moderate to severe COPD exacerbations over 24 weeks (p=0.0012) compared to those receiving placebo. </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Treatment with ensifentrine significantly decreased the risk of a moderate/severe exacerbation as measured by time to first exacerbation when compared with placebo by 38% (p=0.0382) in ENHANCE-1 and by 42% (p=0.0089) in ENHANCE-2.</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 pooled exacerbation data from ENHANCE-1 and ENHANCE-2, ensifentrine significantly decreased the risk of a moderate/severe exacerbation as measured by time to first exacerbation when compared with placebo by 41% (p=0.0009).</w:t>
      </w:r>
    </w:p>
    <w:p>
      <w:pPr>
        <w:pStyle w:val="TextBody"/>
        <w:bidi w:val="0"/>
        <w:spacing w:lineRule="auto" w:line="288" w:before="0" w:after="0"/>
        <w:ind w:left="0" w:right="0" w:firstLine="720"/>
        <w:jc w:val="left"/>
        <w:rPr/>
      </w:pPr>
      <w:r>
        <w:rPr>
          <w:rFonts w:ascii="Times New Roman;sans-serif" w:hAnsi="Times New Roman;sans-serif"/>
          <w:b/>
          <w:color w:val="000000"/>
          <w:sz w:val="20"/>
        </w:rPr>
        <w:t xml:space="preserve">COPD symptoms and Quality of Life </w:t>
      </w:r>
      <w:r>
        <w:rPr>
          <w:rFonts w:ascii="Times New Roman;sans-serif" w:hAnsi="Times New Roman;sans-serif"/>
          <w:b w:val="false"/>
          <w:color w:val="000000"/>
          <w:sz w:val="20"/>
        </w:rPr>
        <w:t>(“QOL”)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 ENHANCE-1, daily symptoms as measured by E-RS** Total Score in the ensifentrine group improved from baseline to greater than the minimal clinically important difference (“MCID”) of -2 units with a statistically significant improvement compared to placebo at week 24. Improvements in symptoms were early and sustained with statistical significance versus placebo at weeks 6, 12 and 24. Similar improvements were demonstrated in ENHANCE-2 but statistical significance was not achieved due to improvements observed in the placebo group over time.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 ENHANCE-1, QOL as measured by SGRQ** Total Score in the ensifentrine group improved from baseline to greater than the MCID of -4 units with a statistically significant improvement compared to placebo at week 24. Improvements in QOL were early and sustained with statistical significance versus placebo at weeks 6, 12 and 24. In ENHANCE-2, QOL as measured by SGRQ* Total Score in the ensifentrine group also improved from baseline to greater than the MCID of -4 units at weeks 12 and 24, numerically exceeding placebo at each measurement, but statistical significance was not achieved due to improvements observed in the placebo group over time.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Favorable safety profile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Ensifentrine was well tolerated with very few adverse events occurring in more than 1% of subjects and greater than placebo over 24 and 48 weeks.</w:t>
      </w:r>
    </w:p>
    <w:p>
      <w:pPr>
        <w:pStyle w:val="TextBody"/>
        <w:bidi w:val="0"/>
        <w:spacing w:lineRule="auto" w:line="268" w:before="0" w:after="0"/>
        <w:jc w:val="left"/>
        <w:rPr/>
      </w:pPr>
      <w:r>
        <w:rPr>
          <w:rFonts w:ascii="Times New Roman;sans-serif" w:hAnsi="Times New Roman;sans-serif"/>
          <w:b w:val="false"/>
          <w:color w:val="000000"/>
          <w:sz w:val="20"/>
        </w:rPr>
        <w:t>*FEV</w:t>
      </w:r>
      <w:r>
        <w:rPr>
          <w:rFonts w:ascii="Times New Roman;sans-serif" w:hAnsi="Times New Roman;sans-serif"/>
          <w:b w:val="false"/>
          <w:color w:val="000000"/>
          <w:sz w:val="13"/>
        </w:rPr>
        <w:t>1</w:t>
      </w:r>
      <w:r>
        <w:rPr>
          <w:rFonts w:ascii="Times New Roman;sans-serif" w:hAnsi="Times New Roman;sans-serif"/>
          <w:b w:val="false"/>
          <w:color w:val="000000"/>
          <w:sz w:val="20"/>
        </w:rPr>
        <w:t>: Forced Expiratory Volume in one second, a standard measure of lung function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**E-RS, Evaluating Respiratory Symptoms, and SGRQ, St. George’s Respiratory Questionnaire, are validated patient reported outcome tools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7124700" cy="384810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7124700" cy="3848100"/>
                    </a:xfrm>
                    <a:prstGeom prst="rect">
                      <a:avLst/>
                    </a:prstGeom>
                  </pic:spPr>
                </pic:pic>
              </a:graphicData>
            </a:graphic>
          </wp:inline>
        </w:drawing>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Planned Clinical Development Activities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Ensifentrine / Long-Acting Muscarinic Antagonist (“LAMA”) fixed-dose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Fixed-dosed combination therapies, such as LABA/LAMA, LABA/ICS and LABA/LAMA/ICS, are commonly used in the treatment of COPD. These combinations are currently only available as DPI and pMDI therapies. Based on market research, there is an unmet need for a nebulized fixed-dose combination therapy. We believe the combination of ensifentrine with a LAMA will provide COPD patients with the first nebulized fixed-dosed combination that provides bronchodilation through a dual mechanism and also non-steroidal anti-inflammatory effects via PDE inhibition. We are developing a fixed-dose combination formulation with ensifentrine and glycopyrrolate, a LAMA, for the maintenance treatment of patients with COPD via delivery in a nebulizer format. If a feasible formulation is developed, we plan to submit to the FDA an investigational new drug application (“IND”) and, if cleared by the FDA, commence a Phase 2 clinical program in the second half of 2024 assessing the efficacy and safety of the fixed-dose combination compared with each single drug component in patients with COPD. </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Non-cystic fibrosis bronchiectasis (“NCFB”)</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NCFB is a severe chronic condition where the airways of the lung become abnormally widened, leading to a cycle of infection, inflammation, and exacerbations that cause lung tissue damage. The condition affects approximately 370,000 patients in the U.S. and there are currently no therapies approved specifically for the treatment of NCFB. The current standard of care treatment for patients with NCFB comprises bronchodilators, antibiotics, steroids and surgery. Based on the clinical profile of ensifentrine in patients with COPD, including reduction in exacerbation burden, improvements in lung function and a mechanism of action supporting enhanced mucociliary clearance, we believe that ensifentrine, if approved, could be an effective treatment of NCFB. If the FDA approves our NDA for ensifentrine as a maintenance treatment of COPD, we plan to commence a Phase 2 clinical trial to assess the efficacy and safety of nebulized ensifentrine in patients with NCFB in the second half of 2024, if cleared by the FDA.</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Nuance Pharma</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2021, we entered into an agreement with Nuance Pharma for exclusive rights to develop and commercialize ensifentrine in Greater China, with future potential milestone payments up to $179 million plus royalties. In August 2022, Nuance Pharma received clearance from the Center of Drug Evaluation for its IND application to conduct both Phase 1 and Phase 3 studies with ensifentrine for the maintenance treatment of COPD in mainland China. Nuance Pharma initiated a Phase 1 trial with ensifentrine in healthy volunteers in March 2023. In April 2023, Nuance Pharma dosed the first subject in its pivotal Phase 3 clinical trial evaluating ensifentrine for the maintenance treatment of COPD in mainland China.</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the Company’s critical accounting estimates described in the Company’s 2022 Form 10-K during the nine months ended September 30, 2023.</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costs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consist of salary and personnel related costs and third party costs for our research and development activities for ensifentrine. Personnel related costs include a share-based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the Phase 3 ENHANCE program has completed study conduct and analysis, we expect our research and development costs to decrease as compared to the prior year same period over the next several quarters until we add new compounds or develop ensifentrine further in other delivery methods or indications. Due to the nature of research and development, the expected costs are inherently uncertain and may vary significantly from our current expectations.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costs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costs consist of salary and personnel related costs, including share-based compensation, expenses relating to operating as a public company, including professional fees, insurance and commercial related costs, as well as other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commercial costs to increase as we continue to develop our commercial operations, prepare for a potential launch and, in the event of successful regulatory approval, incur sales force, marketing and other launch related costs. As we develop our knowledge of the market and refine our commercialization plans, expected costs may vary significantly from our current expectations.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income/(expense)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income/(expense) are driven by interest income and expense, foreign exchange movements on cash and cash equivalents and taxes receivable, and the U.K. research and development tax credits (the “R&amp;D tax credit”).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participate in the U.K. Small and Medium Enterprises research and development tax relief program. The tax credits are calculated as a percentage of qualifying research and development expenditure and are payable in cash by the U.K. government to us. Credits recorded in the 2022 financial year are expected to be received in the fourth quarter of 2023.</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Taxation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corporate taxation in the U.S. and the U.K. We have generated losses since inception and have therefore not paid U.K. corporation tax. The income taxes presented in our Condensed Consolidated Statements of Operations and Comprehensive Loss represent the tax impact from our operating activities in the U.S., which generates taxable income based on intercompany service arrangements.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U.K. losses may be carried forward indefinitely to be offset against future taxable profits, subject to various utilization criteria and restrictions. The amount that can be offset each year is limited to £5.0 million plus an incremental 50% of U.K. taxable profits.</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Results of operations for the three months ended September 30, 2023 and 2022</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statements of operations for the three months ended September 30, 2023 and 2022 (in thousands):</w:t>
      </w:r>
    </w:p>
    <w:tbl>
      <w:tblPr>
        <w:tblW w:w="7623" w:type="dxa"/>
        <w:jc w:val="left"/>
        <w:tblInd w:w="0" w:type="dxa"/>
        <w:tblLayout w:type="fixed"/>
        <w:tblCellMar>
          <w:top w:w="28" w:type="dxa"/>
          <w:left w:w="28" w:type="dxa"/>
          <w:bottom w:w="28" w:type="dxa"/>
          <w:right w:w="28" w:type="dxa"/>
        </w:tblCellMar>
      </w:tblPr>
      <w:tblGrid>
        <w:gridCol w:w="1130"/>
        <w:gridCol w:w="993"/>
        <w:gridCol w:w="997"/>
        <w:gridCol w:w="109"/>
        <w:gridCol w:w="109"/>
        <w:gridCol w:w="109"/>
        <w:gridCol w:w="217"/>
        <w:gridCol w:w="821"/>
        <w:gridCol w:w="112"/>
        <w:gridCol w:w="112"/>
        <w:gridCol w:w="112"/>
        <w:gridCol w:w="112"/>
        <w:gridCol w:w="217"/>
        <w:gridCol w:w="821"/>
        <w:gridCol w:w="112"/>
        <w:gridCol w:w="109"/>
        <w:gridCol w:w="109"/>
        <w:gridCol w:w="109"/>
        <w:gridCol w:w="211"/>
        <w:gridCol w:w="691"/>
        <w:gridCol w:w="311"/>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(14,687)</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costs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were $3.0 million for the three months ended September 30, 2023, compared to costs of $9.8 million for the three months ended September 30, 2022, a decrease of $6.9 million. This decrease was primarily due to a $7.9 million decrease in clinical trial and other development costs as, at the end of the third quarter of 2023, all study conduct and analysis of the Phase 3 ENHANCE program was complete, whereas in the same period in the prior year significant costs were incurred associated with the then ongoing study conduct. The current period clinical trial and other development costs also include the impact of $2.2 million of credits received related to the final financial reconciliation of a Phase 3 ENHANCE program supplier. This decrease was partially offset by an increase of $0.7 million in people related costs, inclusive of share-based compensation.</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costs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costs were $13.4 million for the three months ended September 30, 2023, compared to $5.3 million for the three months ended September 30, 2022, an increase of $8.1 million. This increase was primarily due to a $4.7 million increase in people related costs, inclusive of share-based compensation, as well as an increase of $2.9 million for costs primarily related to the build out of commercial and information technology infrastructure in preparation for a potential commercial launch. </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income/(expense)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income/(expense) for the three months ended September 30, 2023 was income of $1.7 million compared to expense of $0.5 million for the three months ended September 30, 2022, an increase of $2.1 million. This increase was primarily due to increases of $2.6 million in interest income from higher cash balances and higher interest rates and $2.2 million related to a greater impact of the pound sterling weakening against the dollar in the prior year than the same period of the current year. These increases were partially offset by a decrease in the R&amp;D tax credit compared the same period in the prior year of $2.4 million due to the prior year comparable period having higher qualifying clinical trial and other development costs while the current year period included the impact of the Phase 3 ENHANCE program supplier final reconciliation credits discussed above.</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Results of operations for the nine months ended September 30, 2023 and 2022</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statements of operations for the nine months ended September 30, 2023 and 2022 (in thousands):</w:t>
      </w:r>
    </w:p>
    <w:tbl>
      <w:tblPr>
        <w:tblW w:w="7650" w:type="dxa"/>
        <w:jc w:val="left"/>
        <w:tblInd w:w="0" w:type="dxa"/>
        <w:tblLayout w:type="fixed"/>
        <w:tblCellMar>
          <w:top w:w="28" w:type="dxa"/>
          <w:left w:w="28" w:type="dxa"/>
          <w:bottom w:w="28" w:type="dxa"/>
          <w:right w:w="28" w:type="dxa"/>
        </w:tblCellMar>
      </w:tblPr>
      <w:tblGrid>
        <w:gridCol w:w="1130"/>
        <w:gridCol w:w="992"/>
        <w:gridCol w:w="997"/>
        <w:gridCol w:w="109"/>
        <w:gridCol w:w="109"/>
        <w:gridCol w:w="109"/>
        <w:gridCol w:w="211"/>
        <w:gridCol w:w="796"/>
        <w:gridCol w:w="109"/>
        <w:gridCol w:w="109"/>
        <w:gridCol w:w="109"/>
        <w:gridCol w:w="109"/>
        <w:gridCol w:w="211"/>
        <w:gridCol w:w="796"/>
        <w:gridCol w:w="109"/>
        <w:gridCol w:w="109"/>
        <w:gridCol w:w="109"/>
        <w:gridCol w:w="109"/>
        <w:gridCol w:w="211"/>
        <w:gridCol w:w="796"/>
        <w:gridCol w:w="311"/>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costs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were $13.1 million for the nine months ended September 30, 2023, compared to $42.4 million for the nine months ended September 30, 2022, a decrease of $29.4 million. This decrease was primarily due to a $30.9 million decrease in clinical trial and other development costs as the Phase 3 ENHANCE program had completed study conduct and analysis as of the end of the current period whereas in the same period in the prior year significant costs were incurred associated with the then ongoing study conduct. The current period clinical trial and other development costs also include the impact of $2.2 million of credits received related to the final financial reconciliation of a Phase 3 ENHANCE program supplier. The decrease in clinical trial and other development costs also includes a reversal of $1.5 million of costs which were expensed in the year ended December 31, 2022 related to the resolution of the supplier matter, as discussed in Note 8 - Commitments and contingencies. This decrease was partially offset by a $0.8 million increase in people related costs, inclusive of share-based compensation.</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costs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costs were $35.4 million for the nine months ended September 30, 2023 compared to $18.3 million for the nine months ended September 30, 2022, an increase of $17.1 million. This increase was driven primarily by a $12.4 million increase in people related costs, inclusive of share-based compensation, an increase of $7.0 million related to the build out of information technology and commercial infrastructure in preparation for a potential commercial launch and other corporate costs. These increases were partially offset by a non-recurring $2.0 million charge related to the modification of the assignment and license agreement with Ligand UK Development Limited, which was incurred in the three months ended March 31, 2022.</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income/(expense)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income/(expense) for the nine months ended September 30, 2023 was income of $8.8 million compared to $2.7 million for the nine months ended September 30, 2022, an increase of $6.1 million. This increase was primarily due to an increase of $8.5 million in interest income from a higher average cash balance and higher interest rates as well as an increase of $7.5 million related to the strengthening of the pound sterling while the pound sterling weakened in the comparable period in the prior year. This was partially offset by a $8.8 million decrease in the R&amp;D tax credit due to the relative activity of the Phase 3 ENHANCE program in the current period as compared to the same period in the prior year as well as the impact of the supplier final reconciliation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nine months ended September 30, 2023 and 2022 (in thousands):</w:t>
      </w:r>
    </w:p>
    <w:tbl>
      <w:tblPr>
        <w:tblW w:w="9444" w:type="dxa"/>
        <w:jc w:val="left"/>
        <w:tblInd w:w="0" w:type="dxa"/>
        <w:tblLayout w:type="fixed"/>
        <w:tblCellMar>
          <w:top w:w="28" w:type="dxa"/>
          <w:left w:w="28" w:type="dxa"/>
          <w:bottom w:w="28" w:type="dxa"/>
          <w:right w:w="28" w:type="dxa"/>
        </w:tblCellMar>
      </w:tblPr>
      <w:tblGrid>
        <w:gridCol w:w="1839"/>
        <w:gridCol w:w="1618"/>
        <w:gridCol w:w="1628"/>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$39.8 million in the nine months ended September 30, 2023, compared to $52.1 million during the nine months ended September 30, 2022, a decrease of $12.3 million. The decrease in cash used in operating activities was primarily due to the decrease in clinical trial and other development costs, partially offset by payments made throughout the nine months ended September 30, 2023 related to Accounts payable and Accrued expenses balances included on the Consolidated Balance Sheet as of December 31, 2022, as well as a $3.2 million Prescription Drug User Fee Act (“PDUFA”) application fee paid to the FDA in connection with our NDA submission. We have requested a small business waiver of this application fee and, as such, the amount has been recorded within Other current assets in the Condensed Consolidated Balance Sheets.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$68.9 million in the nine months ended September 30, 2023, compared to net cash provided by in financing activities of $138.2 million in the nine months ended September 30, 2022, a decrease of $69.3 million. The decrease in cash provided by financing activities was primarily due to net proceeds from the August 2022 follow-on offering, partially offset by the 2023 proceeds from issuance of ordinary shares of $56.9 million and the proceeds from our draw under the Oxford Term Loan of $10.0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any approved products and have never generated any revenue from product sales. To date, we have financed our operations primarily through the issuances of our equity securities, including warrants, from borrowings under term loan facilities and from upfront payments from the Nuance Agreement.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recurring losses since inception, including net losses of $40.2 million for the nine months ended September 30, 2023, and $68.7 million for the year ended December 31, 2022. As of September 30, 2023, we had an accumulated deficit of $374.1 million. We expect to continue to generate operating losses for the foreseeable future.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ongoing material financing commitments, such as lines of credit or guarantees, that are expected to affect our liquidity over the next five years, other than leases and the Oxford Term Loan.</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Financing and Capital Transactions</w:t>
      </w:r>
    </w:p>
    <w:p>
      <w:pPr>
        <w:pStyle w:val="TextBody"/>
        <w:bidi w:val="0"/>
        <w:spacing w:lineRule="auto" w:line="264" w:before="120" w:after="120"/>
        <w:jc w:val="both"/>
        <w:rPr/>
      </w:pPr>
      <w:r>
        <w:rPr>
          <w:rFonts w:ascii="Times New Roman;sans-serif" w:hAnsi="Times New Roman;sans-serif"/>
          <w:b w:val="false"/>
          <w:color w:val="000000"/>
          <w:sz w:val="20"/>
        </w:rPr>
        <w:t>During the</w:t>
      </w:r>
      <w:r>
        <w:rPr>
          <w:color w:val="000000"/>
        </w:rPr>
        <w:t xml:space="preserve"> </w:t>
      </w:r>
      <w:r>
        <w:rPr>
          <w:rFonts w:ascii="Times New Roman;sans-serif" w:hAnsi="Times New Roman;sans-serif"/>
          <w:b w:val="false"/>
          <w:color w:val="000000"/>
          <w:sz w:val="20"/>
        </w:rPr>
        <w:t>nine months ended September 30, 2023, we completed the following financing and capital transactions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Received $10.0 million under the second term loan advance related to the Oxford Term Loan;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Sold 20,321,384 ordinary shares (equivalent to 2,540,173 ADSs) under the at-the-market offering program entered into in March 2021 (the “2021 ATM Program”), at an average price of approximately $2.88 per share (equivalent to $23.08 per ADS), raising aggregate net proceeds of approximately $56.9 million after deducting issuance costs;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Replaced the 2021 ATM Program with an open market sale agreement with Jefferies LLC (“Jefferies”) to sell our ordinary shares, in the form of ADSs, with aggregate gross proceeds of up to $200.0 million.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See also Note 5 - Term Loan to the condensed consolidated financial statements for additional information on the Oxford Term Loan and to Note 1 - Organization and description of business operations for additional information on 2023 activity under the 2021 ATM Program.</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Funding requirements</w:t>
      </w:r>
    </w:p>
    <w:p>
      <w:pPr>
        <w:pStyle w:val="TextBody"/>
        <w:bidi w:val="0"/>
        <w:spacing w:lineRule="auto" w:line="264"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as of September 30, 2023, together with, expected cash receipts from U.K. tax credits and additional funding expected to become available under the Oxford Term Loan, will enable us to fund our planned operating expenses and capital expenditure requirements through at least the end of 2025, including the planned commercial launch of nebulized ensifentrine for COPD maintenance treatment in the U.S. Future advances under the Oxford Term Loan are contingent upon the passage of time or achievement of certain regulatory milestones and other specified conditions. Our cash and cash equivalents are maintained at financial institutions in amounts that exceed federally insured limits. In the event of failure of any of the financial institutions where we maintain our cash and cash equivalents, there can be no assurance that we will be able to access uninsured funds in a timely manner or at all.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may require additional capital to commercialize ensifentrine, to continue the clinical development of ensifentrine in other indications or in DPI and pMDI formulations of ensifentrine and to research and develop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programs or any future commercialization efforts or grant rights to develop and market product candidates that we would otherwise prefer to develop and market ourselves.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for ensifentrine or any future product candidates will depend on many factors, including:</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progress, timing and completion of pre-clinical testing and clinical trials for ensifentrine or any future product candidates and the potential that we may be required to conduct additional clinical trials for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number of potential new product candidates we decide to in-license and develop;</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costs involved in growing our organization to the size needed to allow for the research, development and potential commercialization of ensifentrine or any future product candidates;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costs involved in filing patent applications and maintaining and enforcing patents or defending against claims or infringements raised by third parties;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any licensing or milestone fees we might have to pay during future development of ensifentrine or any future product candidates;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selling and marketing activities undertaken in connection with the anticipated commercialization of ensifentrine or any future product candidates, if approved, and costs involved in the creation of an effective sales and marketing organization;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amount of revenue, if any, we may derive either directly or in the form of royalty payments from future sales of ensifentrine or any future product candidates, if approved.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revenue, if any, will be derived from sales of products that we do not expect to be commercially available until the second half of 2024, if ever. Accordingly, we may need to obtain substantial additional funds to achieve our business objectives.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in Rule 12b-2 of the Exchange Act and are not required to provide the information otherwise required under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Limitations on Effectiveness of Controls and Procedures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September 30, 2023, our disclosure controls and procedures were effective at the reasonable assurance level.</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Rules 13a-15(f) and 15d-15(f) under the Exchange Act) occurred during the quarter ended September 30,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subject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64"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ADSs involves a high degree of risk. You should carefully consider the risks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 Additional risks and uncertainties not presently known to us or that we currently deem immaterial also may impair our business operations.</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have a limited operating history and have never generated any product revenue.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biopharmaceutical company with a limited operating history, and have incurred significant operating losses since our inception. We had net losses of $40.2 million for the nine months ended September 30, 2023, and $68.7 million for the year ended December 31, 2022. As of September 30, 2023, we had an accumulated deficit of $374.1 million. Our losses have resulted principally from expenses incurred in research and development of ensifentrine, our only product candidate, and from general and administrative costs that we have incurred while building our business infrastructure. We expect to continue to incur significant operating losses for the foreseeable future as we expand our research and development efforts, advance our clinical development of ensifentrine, and seek to obtain regulatory approval for and commercialize ensifentrine. We anticipate that our expenses will increase substantially as we: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initiate and conduct clinical trials of ensifentrine for the treatment of non-cystic fibrosis bronchiectasis (“NCFB”), cystic fibrosis (“CF”), asthma or other indications;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initiate and conduct other future clinical trials of ensifentrine in other formulations, including in combination with other active ingredients including fixed-dose combinations, for the treatment of COPD or other indications;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initiate and conduct clinical pharmacology studies with any formulation;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seek to discover and develop or in-license additional respiratory product candidates;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conduct pre-clinical studies to support ensifentrine and potentially other future product candidates;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develop the manufacturing processes and produce clinical and commercial supplies of the ensifentrine active pharmaceutical ingredient and formulated drug products derived from it;</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seek regulatory approvals of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grow commercial infrastructure to support the potential commercialization of ensifentrine, including sales, marketing, operations, reimbursement and distribution infrastructure and scale-up manufacturing capabilities to commercialize ensifentrine, if approved;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 xml:space="preserve">maintain, expand and protect our intellectual property portfolio; </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secure, maintain or obtain freedom to operate for our in-licensed technologies and products;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add clinical, scientific, operational, financial and management information systems and personnel, including personnel to support our product development and potential future commercialization efforts;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expand our operations in the United States, the United Kingdom (“UK”) and possibly elsewhere.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expenses may also increase substantially if we experience any delays or encounter any issues with any of the above, including, but not limited to, failed pre-clinical studies or clinical trials, complex results, safety issues or regulatory challenges.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devoted substantially all of our financial resources and efforts to the research and development, pre-clinical studies and clinical trials, and commercialization of nebulized ensifentrine for the maintenance treatment of COPD in the US. We are continuing development of ensifentrine in other formulations and for other indications, and for commercialization in other territories.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become and remain profitable, we must succeed in developing, and eventually commercializing, products that generate significant revenue. This will require us to be successful in a range of challenging activities, including completing clinical trials of ensifentrine in other formulations and other indications, discovering and developing additional product candidates, obtaining regulatory approval for ensifentrine and any future product candidates that successfully complete clinical trials, establishing manufacturing, commercial and marketing capabilities and ultimately distributing and selling any products for which we may obtain regulatory approval. We are only in the preliminary stages of some of these activities. We may never succeed in these activities and, even if we do, we may never generate revenue that is significant enough to achieve profitability.</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pharmaceutical product development, we are unable to accurately predict the timing or amount of increased expenses or when, or if, we will be able to achieve profitability. If we are required by the FDA, the European Medicines Agency (“EMA”), or other regulatory authorities to perform studies in addition to those we currently anticipate, or if there are any delays in completing our clinical trials or the development of ensifentrine or any other product candidates, our expenses could increase and revenue could be further delayed.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do generate product royalties or product sales, we may never achieve or sustain profitability on a quarterly or annual basis. Our failure to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a part of their investment.</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will need additional funding to complete development and commercialization of any future product candidates, or development and commercialization of other formulations or target indications of ensifentrine, if approved.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expenses to increase in connection with our ongoing and planned activities, particularly as we conduct clinical trials and prepare for commercialization of ensifentrine, and develop and prepare for the commercialization of ensifentrine in other formulations or for other indications. In addition, if we obtain regulatory approval for ensifentrine or any other product candidates,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United States and maintaining a listing on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obtain regulatory approval for ensifentrine for the treatment of COPD in the US, we estimate that our existing cash resources, expected cash receipts from the UK tax credit program and additional funding expected to become available under the debt facility with Oxford Finance Luxembourg S.À R.L. (“Oxford Term Loan”) will enable the Company to fund planned operating expenses and capital expenditure requirements through at least the end of 2025 including the commercial launch of ensifentrine. Future advances under the Oxford Term Loan are contingent upon achievement of certain clinical and regulatory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costs, timing and outcome of the regulatory submission and review of ensifentrine, including any post-marketing studies that could be required by regulatory authorities, if regulatory approval is received;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cost, progress and results of any other studies required to support the commercial positioning of ensifentrine for the treatment of COPD, if regulatory approval is received;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cost, progress and results of any clinical trials for the treatment of NCFB, CF, asthma or other indications, or for other formulations of ensifentrine including fixed-dose combination products;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cost of manufacturing clinical and, if approved, commercial supplies of the ensifentrine active ingredient and derived formulated drug products;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scope, progress, results and costs of pre-clinical development, laboratory testing and clinical trials for ensifentrine in other indications and of the development of DPI and pMDI formulations of ensifentrine, or fixed-dose combination formulations of ensifentrine for the maintenance treatment of COPD and potentially NCFB, CF, asthma and other respiratory diseases;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costs, timing and outcome of potential future commercialization activities, including manufacturing, marketing, sales and distribution, for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timing and amount of revenue, if any, received from commercial sales of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sales price and availability of adequate third-party coverage and reimbursement for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effect of competing technological and market developments;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extent to which we acquire or invest in businesses, products and technologies, including entering into licensing or collaboration arrangements for ensifentrine, although we currently have no commitments or agreements to complete any such transactions.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depend solely on the success of ensifentrine, our only product candidate under development. We cannot give any assurance that ensifentrine will receive regulatory approval for any indication, which is necessary before it can be commercialized. If we, and any collaborators with whom we have entered or may enter into agreements for the development and commercialization of ensifentrine, are unable to commercialize ensifentrine, or experience significant delays in doing so, our ability to generate revenue and our financial condition will be adversely affected.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currently generate any revenues from sales of any products, and we may never be able to develop or commercialize a marketable product. We have invested substantially all of our efforts and financial resources in the development of ensifentrine, and we do not have any other product candidate currently under development. Our ability to generate royalty and product revenues, will depend heavily on the successful commercialization of ensifentrine, if approved, which may never occur. Ensifentrine will require regulatory approval, procurement of manufacturing supply, commercialization, substantial additional investment and significant marketing efforts before we generate any revenues from product sales. We are not permitted to market or promote ensifentrine or any product candidates in the United States, Europe or other countries before we receive regulatory approval from the FDA, the European Commission or comparable foreign regulatory authorities, and we may never receive such regulatory approval for ensifentrine or any future product candidate. In August 2023, the FDA accepted for filing our NDA seeking approval of ensifentrine for the maintenance treatment of COPD and assigned a Prescription Drug User Fee Act (“PDUFA”) target action date of June 26, 2024, but we cannot guarantee that it will be approved, or that it will be approved with the labeling claims necessary or desirable for the successful commercialization of ensifentrine.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 we have not submitted a marketing authorization application (“MAA”) to the EMA or comparable applications to other regulatory authorities. The success of ensifentrine will depend on many factors, including the following:</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may not be able to demonstrate that ensifentrine is safe and effective as a treatment for our targeted indications to the satisfaction of the applicable regulatory authorities;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applicable regulatory authorities may require additional pre-clinical or clinical trials, which would increase our costs and prolong our development;</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results of clinical trials of ensifentrine may not meet the level of statistical or clinical significance required by the applicable regulatory authorities for marketing approval;</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applicable regulatory authorities may disagree with the number, design, size, conduct or implementation of our clinical trials;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contract research organizations (“CROs”) that we retain to conduct clinical trials may take actions outside of our control that materially adversely impact our clinical trials;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applicable regulatory authorities may not find the data from pre-clinical studies and clinical trials sufficient to demonstrate that the clinical and other benefits of ensifentrine outweigh its safety risks or may disagree with our interpretation of data;</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our ability to demonstrate a non-clinical safety profile that is acceptable to the applicable regulatory authorities;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unexpected operational or clinical issues may prevent completion or interpretation of clinical study results;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unexpected manufacturing issues, product performance issues or stability issues may delay or otherwise adversely affect the progress of our clinical development program;</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if FDA or other regulatory authorities determine that inspections of the manufacturing facilities or clinical sites for our product candidates are required in connection with a marketing application, and such regulatory authorities are unable to conduct such inspections, whether due to geopolitical conflict, including war and terrorism, such as the ongoing conflicts in Europe and the Middle East, or travel restrictions, such as those imposed during the COVID-19 pandemic;</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applicable regulatory authorities may not accept data generated at our clinical trial sites due to Good Clinical Practice (“GCP”) compliance issues, misconduct, or other reasons;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if our NDA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applicable regulatory authorities may require development of a risk evaluation and mitigation strategy (“REMS”) or similar risk management measures as a condition of approval;</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applicable regulatory authorities may identify deficiencies in the manufacturing processes or facilities of our third-party manufacturers;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applicable regulatory authorities may change their approval policies or adopt new regulations;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if we license ensifentrine to others, the efforts of those parties in completing clinical trials of, receiving regulatory approval for, and commercializing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through our clinical trials, we may discover factors that limit the commercial viability of ensifentrine or make the commercialization of ensifentrine unfeasible;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if we retain rights under a collaboration agreement for ensifentrine, our efforts in completing pre-clinical studies and clinical trials of, receiving marketing approvals for, establishing commercial manufacturing capabilities for, and commercializing ensifentrine;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if approved, acceptance of ensifentrine by patients, the medical community and third-party payors, effectively competing with other therapies, a continued acceptable safety profile following approval and qualifying for, maintaining, enforcing and defending our intellectual property rights and claims.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unfavorable outcome in any of these factors could result in our experiencing significant delays or an inability to successfully commercialize ensifentrine.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ensifentrine or any future product candidates will be successful in clinical trials or receive regulatory approval. Further, ensifentrine or any future product candidates may not receive regulatory approval even if they are successful in clinical trials. If we do not receive regulatory approvals for ensifentrine or any future product candidates, we may not be able to continue our operations. Even if we successfully obtain regulatory approvals to manufacture and market ensifentrine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submitted an NDA for regulatory approval to commercialize ensifentrine in the United States. We may in the future seek regulatory approval to commercialize ensifentrine in the European Union (“EU”) and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Our limited operating history may make it difficult for investors to evaluate the success of our business to date and to assess our future viability.</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in different formulations of ensifentrine and for different indications, and two registrational Phase 3 clinical trials for nebulized ensifentrine for the maintenance treatment of COPD. We have not yet successfully obtained regulatory approvals, manufactured a commercial-scale product or arranged for a third party to do so on our behalf or conducted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The terms of our credit facility place restrictions on our operating and financial flexibility, and our existing and any future indebtedness could adversely affect our ability to operate our business, and our existing and any future indebtedness could adversely affect our ability to operate our business, and our existing and any future indebtedness could adversely affect our ability to operate our business.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and Verona Pharma, Inc. (“Verona U.S.”) entered into a loan and security agreement (the “Loan Agreement”), with Oxford Finance Luxembourg S.À R.L. (“Oxford”), pursuant to which a term loan facility in an aggregate amount of up to $150.0 million, which we refer to as the Oxford Term Loan, is available to us in five tranches. We received the first tranche of $10.0 million (the “Term A Loan”) at closing and a second tranche of $10.0 million on March 24, 2023. Each advance under the Oxford Term Loan accrues interest at a floating per annum rate equal to (a) the greater of (i) the 1-Month CME Term SOFR reference rate on the last business day of the month that immediately precedes the month in which the interest will accrue and (ii) 2.38%, plus (b) 5.50% (the “Basic Rate”); provided, however, that in no event shall the Basic Rate (x) for the Term A Loan be less than 7.88% and (y) for each other advance be less than the Basic Rate on the business day immediately prior to the funding date of such advance.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outstanding indebtedness, including any additional indebtedness beyond our borrowings from Oxford, combined with our other financial obligations and contractual commitments could have significant adverse consequences, including:</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requiring us to dedicate a portion of our cash resources to the payment of interest and principal, reducing money available to fund working capital, capital expenditures, product candidate development and other general corporate purposes;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increasing our vulnerability to adverse changes in general economic, industry and market conditions;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subjecting us to restrictive covenants that may reduce our ability to take certain corporate actions or obtain further debt or equity financing;</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limiting our flexibility in planning for, or reacting to, changes in our business and the industry in which we compete;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placing us at a competitive disadvantage compared to our competitors that have less debt or better debt servicing options.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satisfy our current and future debt service obligations with our then existing cash and cash equivalents. However, we may not have sufficient funds, and may be unable to arrange for additional financing, to pay the amounts due under the Loan Agreement or any other debt instruments. Failure to make payments or comply with other covenants under the Loan Agreement or such other debt instruments could result in an event of default and acceleration of amounts due. For example, the affirmative covenants under our Loan Agreement include, among others, covenants requiring us (and us to cause our subsidiaries) to maintain our legal existence and governmental approvals, deliver certain financial reports and notifications, maintain proper books of record and account, timely file and pay tax returns, and maintain inventory and insurance coverage. Under the Loan Agreement, the occurrence of a material adverse change in our business, operations, or condition is an event of default. If an event of default occurs and Oxford accelerates the amounts due, we may not be able to make accelerated payments and Oxford could seek to enforce security interests in the collateral securing such indebtedness, which could potentially require us to renegotiate our agreement on terms less favorable to us or to immediately cease operations. Further, if we are liquidated, the lenders’ right to repayment would be senior to the rights of holders of our American Depositary Shares (“ADS”) or of our shareholders to receive any proceeds from the liquidation. Any declaration by Oxford of an event of default could significantly harm our business and prospects and could cause the price of our ADSs to decline. In addition, the covenants under the Loan Agreement, the pledge of our assets as collateral and the negative pledge with respect to our intellectual property could limit our ability to obtain additional debt financing. If we raise any additional debt financing, the terms of such additional debt could further restrict our operating and financial flexibility.</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Raising additional capital may cause dilution to our holders, restrict our operations or require us to relinquish rights to our technologies or product candidates.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Our business may become subject to economic, political, regulatory and other risks associated with international operations.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company based in the United Kingdom and listed on Nasdaq, our business is subject to risks associated with conducting business internationally. Many of our suppliers and collaborative and clinical trial relationships are located outside the United Kingdom and the United States. Accordingly, our future results could be harmed by a variety of factors, including:</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economic weakness, including inflation, or political instability in particular non-U.S. economies and markets;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differing regulatory requirements for drug approvals in non-U.S. countries;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differing jurisdictions could present different issues for securing, maintaining or obtaining freedom to operate in such jurisdictions;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potentially reduced protection for intellectual property rights;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difficulties in compliance with non-U.S. laws and regulations;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changes in non-U.S. regulations and customs, tariffs and trade barriers;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changes in non-U.S. currency exchange rates of the euro and currency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changes in a specific country’s or region’s political or economic environment;</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trade protection measures, import or export licensing requirements or other restrictive actions by U.S. or non-U.S. governments;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differing reimbursement regimes and price controls in certain non-U.S. markets;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negative consequences from changes in tax laws;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compliance with tax, employment, immigration and labor laws for employees living or traveling abroad;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workforce uncertainty in countries where labor unrest is more common than in the United States;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difficulties associated with staffing and managing international operations, including differing labor relations;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production shortages resulting from any events affecting raw material supply or manufacturing capabilities abroad;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business interruptions resulting from geopolitical actions, including war and terrorism, such as the ongoing conflicts in Europe and the Middle East, or natural disasters including earthquakes, typhoons, floods and fires, or public health emergencies, such as the COVID-19 pandemic.</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Exchange rate fluctuations may materially affect our results of operations and financial condition.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are based in the United Kingdom, our financial statements are denominated in U.S dollars and many of our business activities are carried out with partners outside the U.S. and United Kingdom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Development, Clinical Testing and Regulatory Approval</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Clinical drug development and regulatory approval involve a lengthy and expensive process, with uncertain outcomes. We may incur additional costs or experience delays in completing, or ultimately be unable to complete, the development and regulatory approval of our product candidates.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Clinical drug development is a lengthy and expensive process with uncertain timelines and uncertain outcomes. If clinical trials of ensifentrine are prolonged or delayed, or if ensifentrine in later stage clinical trials fails to show the safety and efficacy required by regulatory authorities, we or our collaborators may be unable to obtain required regulatory approvals and be unable to commercialize ensifentrine on a timely basis, or at all.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obtain the requisite regulatory approvals to market and sell ensifentrine, we or any collaborator for ensifentrine must demonstrate through extensive pre-clinical studies and clinical trials that ensifentrine is safe and effective in humans. Clinical testing is expensive and can take many years to complete, and its outcome is inherently uncertain. Failure can occur at any time during the clinical trial process. The results of pre-clinical studies and early-stage clinical trials of ensifentrine may not be predictive of the results of later-stage clinical trials. Product candidates in later stages of clinical trials may fail to show the desired safety and efficacy traits despite having progressed through pre-clinical studies and initial clinical trials. Regulators interpretations of results may differ from our own, and expectations can change over time while a product is in clinical development.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companies in the biopharmaceutical industry have suffered significant setbacks in advanced clinical trials due to lack of efficacy or adverse safety profiles, notwithstanding promising results in earlier trials. The FDA may require us to conduct additional pre-clinical studies or clinical trials that may not be successful, or may not be considered successful by regulators. With respect to ensifentrine, our only product candidate, we have completed multiple Phase 1 and 2 clinical trials for different formulations of ensifentrine and for different indications, and two registrational Phase 3 clinical trials for nebulized ensifentrine for the maintenance treatment of COPD. Based on the results from these studies, we submitted an NDA seeking approval of ensifentrine for the maintenance treatment of COPD, and in August 2023, the FDA accepted for filing our NDA and assigned a PDUFA target action date of June 26, 2024. The FDA’s filing communication gave preliminary notice of two potential review issues regarding the degree to which certain secondary data, such as trough, and exploratory data, such as exacerbation, included in the application could be used to support a favorable benefit-risk profile or efficacy finding, respectively. The FDA noted in the communication that potential review issues may be added, deleted, expanded upon, or modified as they review the NDA.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wish to commercialize nebulized ensifentrine for the maintenance treatment of COPD in other territories, the regulatory authorities in such territories may require us to conduct additional pre-clinical studies or clinical trials, and if we wish to commercialize ensifentrine in other formulations or for other indications, we will be required to conduct further clinical studies.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delays in clinical trials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 xml:space="preserve">inability to generate sufficient preclinical, toxicology or other in vivo or in vitro data to support the initiation or continuation of clinical trials; </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delays in or failure to obtain regulatory agreement on clinical trial design or implementation, including dose and frequency of administration;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delays in or failure to obtain regulatory authorization to commence a trial;</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delays in or failure to reach agreement on acceptable terms with prospective CROs and clinical trial sites, the terms of which can be subject to extensive negotiation and may vary significantly among different CROs and trial sites;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inability of a CRO to meet their contracted obligations regarding subject enrollment, data collection, data monitoring, laboratory sample management, programming and analysis or other activities;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delays in or failure to obtain institutional review board (“IRB”), or ethics committee approval or positive opinion at each site;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delays in or failure to recruit suitable patients to participate in a trial;</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failure to have patients complete a trial or return for post-treatment follow-up;</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clinical sites deviating from trial protocol or dropping out of a trial or committing gross misconduct or fraud;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delays to the addition of new clinical trial sites;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inability to achieve or maintain double blinding of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unexpected technical issues during manufacture of ensifentrine and the corresponding drug products;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variability in drug product performance and/or stability;</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discoveries that may reduce the commercial viability of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inability to manufacture sufficient quantities of ensifentrine for use in clinical trials;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quality or stability of ensifentrine falling below acceptable standards for either safety or efficacy;</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third-party actions claiming infringement by ensifentrine in clinical trials and obtaining injunctions interfering with our progress;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business interruptions resulting from geo-political actions, including war and terrorism, such as the ongoing conflicts in Europe and the Middle East, or natural disasters including earthquakes, typhoons, floods and fires;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trade sanctions imposed by the United States or other governments impacting our ability to transfer money to certain countries, such as Russia, to pay clinical trials sites in those countries;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safety or tolerability concerns causing us or our collaborators, as applicable, to suspend or terminate a trial if we or our collaborators find that the participants are being exposed to unacceptable health risks;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changes in regulatory requirements, policies and guidelines;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lower than anticipated retention rates of patients and volunteers in clinical trials;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failure of our third-party research contractors to comply with regulatory requirements or to meet their contractual obligations to us in a timely manner, or at all;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difficulty in certain countries in identifying the sub-populations that we are trying to evaluate in a particular trial, which may delay enrollment.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the completion of any clinical trial of ensifentrine for any indication, or of any other product candidate, or any clinical trial of ensifentrine or any other product candidate is terminated, the commercial prospects of such product candidates may be harmed, and our ability to generate product revenues, if any, will be delayed. Moreover, any delays in completing our clinical trials will increase our costs, slow down the development and approval process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ensifentrine or any other product candidate.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ensifentrine produced under current good manufacturing practice (“cGMP”) and similar foreign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It is currently unclear to what extent the UK will seek to align its regulations with the EU. The UK regulatory framework in relation to clinical trials is derived from existing EU legislation (as implemented into UK law, through secondary legislation).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17, 2022, the UK Medicines and Healthcare products Regulatory Agency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(EU) CTR or diverge from it to maintain regulatory flexibility. Under the terms of the Protocol on Ireland/Northern Ireland, provisions of the (EU) CTR which relate to the manufacture and import of investigational medicinal products and auxiliary medicinal products apply in Northern Ireland. A decision by the UK Government not to closely align its regulations with the new approach that has been adopted in the EU may have an effect on the cost of conducting clinical trials in the UK compared with other countries.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Ensifentrine may have serious adverse, undesirable or unacceptable side effects which may delay or prevent marketing approval. If such side effects are identified during the development of ensifentrine or following approval, if any, we may need to abandon our development of ensifentrine, the commercial profile of any approved label may be limited, or we may be subject to other significant negative consequences following marketing approval, if any.</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Undesirable side effects that may be caused by ensifentrine could cause us or regulatory authorities to interrupt, delay or halt clinical trials and could result in a more restrictive label or the delay or denial of regulatory approval by the FDA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We have completed more than 20 Phase 1, 2 and 3 clinical trials of ensifentrine. In these trials, some patients have experienced mild to moderate adverse reactions, including urinary tract infection, back pain and hypertension.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Results of our future clinical trials could reveal a high and unacceptable severity and prevalence of adverse side effects. In such an event, our trials could be suspended or terminated and the FDA or other comparable foreign regulatory authorities could order us to cease further development of or deny approval of ensifentrine for any or all targeted indications. The drug-related side effects could affect patient recruitment or the ability of enrolled patients to complete the trial or result in potential product liability claims. Additionally, if ensifentrine receives marketing approval and we or others later identify undesirable or unacceptable side effects caused by ensifentrine, a number of potentially significant negative consequences could result, including:</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regulatory authorities may withdraw approvals of such products and require us to take ensifentrine off the market;</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regulatory authorities may require the addition of labeling statements, specific warnings, a contraindication or field alerts to physicians and pharmacies;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regulatory authorities may require a medication guide outlining the risks of such side effects for distribution to patients, or that we implement a REMS plan or similar risk management measures to ensure that the benefits of ensifentrine outweigh its risks;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may be required to change the way ensifentrine is administered, conduct additional clinical trials or change the labeling of ensifentrine;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may be subject to limitations on how we may promote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sales of ensifentrine may decrease significantly;</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may be subject to litigation or product liability claims;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our reputation may suffer.</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or any collaborators from achieving or maintaining market acceptance of ensifentrine or could substantially increase commercialization costs and expenses, which in turn could delay or prevent us from generating significant revenue from the sale of ensifentrine.</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develop ensifentrine in different formulations, including fixed-dose combinations, and/or for multiple indications, including NCFB, CF, asthma or other respiratory diseases.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Part of our strategy is to continue to develop ensifentrine in indications other than COPD, such as NCFB, CF and asthma and other formulations including fixed-dose combinations, MDI and DPI. Although our research and development efforts to date have suggested that ensifentrine has the potential to treat NCFB, CF and asthma, we may not be able to develop ensifentrine in these indications or any other disease, or development may not be successful.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ensifentrine for multiple indications or formulations, we will face difficulty in obtaining product revenues in future periods, which could significantly harm our financial position.</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depend on enrollment of patients in our clinical trials for ensifentrine. If we are unable to enroll patients in our clinical trials, or enrollment is slower than anticipated, our research and development efforts could be adversely affected.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Successful and timely completion of clinical trials for ensifentrine will require that we enroll a sufficient number of patient candidates. Trials may be subject to delays as a result of patient enrollment taking longer than anticipated or patient withdrawal and other external factors.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of ensifentrine or other product candidates will increase our costs, slow down our development and approval of ensifentrine and delay or potentially jeopardize our ability to commence product sales and generate revenue. In addition, some of the factors that cause, or lead to, a delay in the commencement or completion of clinical trials may also ultimately lead to the denial of regulatory approval of ensifentrine.</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become exposed to costly and damaging liability claims, either when testing ensifentrine in the clinic or at the commercial stage, and our product liability insurance may not cover all damages from such claims.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ensifentrine by us and any collaborators in clinical trials, and the sale of ensifentrine, if approved, in the future, may expose us to liability claims. These claims might be made by patients that use the product, healthcare providers, pharmaceutical companies, our collaborators or others selling ensifentrine. Any claims against us, regardless of their merit, could be difficult and costly to defend and could adversely affect the market for ensifentrine or any prospects for commercialization of ensifentrine. In addition, regardless of the merits or eventual outcome, liability claims may result in: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decreased demand for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withdrawal of clinical trial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costs to defend related litigation;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diversion of management’s time and our resources;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substantial monetary awards to trial participants or patients;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regulatory investigation, product recalls or withdrawals, or labeling, marketing or promotional restrictions;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loss of revenue;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inability to commercialize or promote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clinical trial process is designed to identify and assess potential side effects, it is always possible that a drug, even after regulatory approval, may exhibit unforeseen side effects. If ensifentrine were to cause adverse side effects during clinical trials or after approval, we may be exposed to substantial liabilities. Physicians and patients may not comply with any warnings that identify known potential adverse effects and patients who should not use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product liability insurance for ensifentrine, it is possible that our liabilities could exceed our insurance coverage. We intend to expand our insurance coverage to include the sale of commercial products if we obtain marketing approval for ensifentrine.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The regulatory approval processes of the FDA, the EMA and comparable foreign regulatory authorities are lengthy, time consuming and inherently unpredictable, and if we are ultimately unable to obtain regulatory approval for ensifentrine, our business will be substantially harmed.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time required to obtain approval by the FDA, the European Commission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and it is possible that ensifentrine or any product candidates we may develop in the future will never obtain regulatory approval.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 is safe and effective for its intended uses. Results from nonclinical studies and clinical trials can be interpreted in different ways. Even if we believe the nonclinical or clinical data for our product candidate are promising, such data may not be sufficient to support approval by the FDA and other regulatory authorities. The FDA or foreign regulatory agencies may also require us to conduct additional preclinical studies or clinical trials for ensifentrine either prior to or post-approval, or it may object to elements of our clinical development program.</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Ensifentrine could fail to receive regulatory approval for many reasons, including the following:</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may be unable to demonstrate to the satisfaction of the FDA, the EMA or comparable foreign regulatory authorities that ensifentrine is safe and effective, with the required level of statistical significance, for its proposed indication;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may be unable to demonstrate that ensifentrine’s benefits outweigh its safety risks;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FDA, the EMA or comparable foreign regulatory authorities may disagree with our interpretation of data from pre-clinical studies or clinical trials or may find the data to be unacceptable;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FDA, the EMA or comparable foreign regulatory authorities may find that the dose or doses evaluated in Phase 3 clinical trials or the way in which double blinding was effected to be unacceptable;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data collected from clinical trials of ensifentrine may, for various reasons, be insufficient to support the submission or approval of an NDA in the United States, a marketing authorization application (“MAA”) in the EU, or other comparable submission to obtain regulatory approval in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FDA or comparable foreign regulatory authorities may fail to approve the manufacturing processes or facilities of third-party manufacturers with which we contract for clinical and commercial supplies;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FDA or comparable regulatory authorities may identify issues of GCP noncompliance or unacceptable practices at clinical sites or CROs participating in our clinical studies, rendering clinical data insufficient to support approval;</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FDA, the EMA or comparable foreign regulatory authorities may disagree with the design or implementation of our clinical trials;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FDA, the EMA or comparable foreign regulatory authorities may disagree with our proposed product specifications and performance characteristics.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lengthy approval process as well as the unpredictability of future clinical trial results may result in our failing to obtain regulatory approval to market ensifentrine. The FDA, the EMA and other regulatory authorities have substantial discretion in the approval process, and determining when or whether regulatory approval will be obtained for ensifentrine. Even if we believe the data collected from clinical trials of ensifentrine are promising, such data may not be sufficient to support approval by the FDA, the European Commission or any other regulatory authority. For example, in August 2023, the FDA accepted for filing our NDA seeking approval of ensifentrine for the maintenance treatment of COPD and assigned a PDUFA target action date of June 26, 2024. The NDA filing communication gave preliminary notice of two potential review issues regarding the degree to which certain secondary data, such as trough, and exploratory data, such as exacerbation, included in the application could be used to support a favorable benefit-risk profile or efficacy finding, respectively. The FDA noted in the communication that potential review issues may be added, deleted, expanded upon, or modified as they review the NDA.</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if we were to obtain approval for any jurisdiction, regulatory authorities may approve ensifentrine for fewer or more limited indications than we request, may not approve the price we intend to charge for ensifentrine, may grant approval contingent on the performance of costly post-marketing clinical trials, or may approve ensifentrine with a label that does not include the labeling claims necessary or desirable for the successful commercialization of ensifentrine. Any of the foregoing scenarios could materially harm the commercial prospects for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revising the duration of regulatory exclusivity, eligibility for expedited pathways, etc.) is currently expected during the first quarter of 2023. The proposed revisions, once they are agreed and adopted by the European Parliament and European Council (not expected before the end of 2024 or early 2025) may have a significant impact on the biopharmaceutical industry in the long term.</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or modifications to cleared or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inspection-related activities to ensure the safety of its employees and those of the firms it regulates and any resurgence of the virus or emergence of new variants may lead to further inspection-related delays. Regulatory authorities outside the United States have adopted similar restrictions or other policy measures in response to the COVID-19 pandemic.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Even if ensifentrine obtains regulatory approval, we will be subject to ongoing obligations and continued regulatory review, which may result in significant additional expense. Additionally, ensifentrine, if approved, could be subject to labeling and other restrictions and market withdrawal and we may be subject to penalties if we fail to comply with regulatory requirements or experience unanticipated problems with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FDA or a comparable foreign regulatory authority approves ensifentrine, the manufacturing processes, labeling, packaging, distribution, adverse event reporting, storage, advertising, promotion and record keeping for ensifentrine will be subject to extensive and ongoing regulatory requirements. These requirements include payment of annual user fees, submissions of safety and other post-marketing information and reports, facility registration and drug listing, as well as continued compliance with cGMP and similar foreign requirements for the manufacture of ensifentrine and GCP requirements for any clinical trials that we conduct post-approval, all of which may result in significant expense and limit our ability to commercialize ensifentrine. In addition, any approval we may obtain for ensifentrine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contract manufacturers will also be subject to periodic inspection by the FDA and other regulatory authorities to monitor compliance with these requirements and the terms of any product approval we may obtain.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delays in or the rejection of product approvals;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restrictions on our ability to conduct clinical trials, including full or partial clinical holds on ongoing or planned trials;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restrictions on the products, manufacturers or manufacturing process;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warning or untitled letters;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civil and criminal penalties;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injunctions;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suspension or withdrawal of regulatory approvals;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product seizures, detentions or import bans;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voluntary or mandatory product recalls and publicity requirements;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total or partial suspension of production;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imposition of restrictions on operations, including costly new manufacturing requirements.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event or penalty described above may inhibit our ability to commercialize ensifentrine and generate revenue and could require us to expend significant time and resources in response and could generate negative publicity.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The FDA and other foreign regulatory agencies actively enforce the laws and regulations prohibiting the promotion of off-label uses.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ensifentrine is approved for any indication and we are found to have improperly promoted off-label uses for ensifentrine,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ensifentrine, if approved, we could become subject to significant liability, which would materially adversely affect our business and financial condition.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Even if we obtain marketing approval of ensifentrine for any indication in a major pharmaceutical market such as the United States or EU, we may never obtain approval or commercialize ensifentrine in other major markets, which would limit our ability to realize its full market potential.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ensifentrine will be compromised.</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Our employees and independent contractors, including principal investigators, CROs, consultants, vendors and collaboration partners may engage in misconduct or other improper activities, including noncompliance with regulatory standards and requirements.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and independent contractors, including principal investigators, CROs, consultants, vendors and collaboration partners may engage in fraudulent conduct or other illegal activities. Misconduct by these parties could include intentional, reckless or negligent conduct or unauthorized activities that violate: (i) the laws and regulations of the FDA, the EU and other similar regulatory bodies and the EU,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Healthcare Laws and Other Legal Compliance Matters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Enacted and future legislation may increase the difficulty and cost for us to obtain marketing approval of and commercialize ensifentrine and may affect the prices we may set.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an annual, non-deductible fee payable by any entity that manufactures or imports certain branded prescription drugs and biologic agents, which is apportioned among these entities according to their market share in certain government healthcare programs;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an increase in the statutory minimum rebates a manufacturer must pay under the Medicaid Drug Rebate Program to 23.1% and 13.0% of the average manufacturer price for branded and generic drugs, respectively;</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 new methodology by which rebates owed by manufacturers under the Medicaid Drug Rebate Program are calculated for drugs that are inhaled, infused, instilled, implanted or injected;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extension of a manufacturer’s Medicaid rebate liability to covered drugs dispensed to individuals who are enrolled in Medicaid managed care organizations;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 new Patient-Centered Outcomes Research Institute to oversee, identify priorities in, and conduct comparative clinical effectiveness research, along with funding for such research;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establishment of a Center for Medicare and Medicaid Innovation at the Centers for Medicare and Medicaid Services, or CMS, to test innovative payment and service delivery models to lower Medicare and Medicaid spending, potentially including prescription drug spending.</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changes have been proposed and adopted in the United States since the ACA was enacted. For example, the Budget Control Act of 2011 has, among other things, led to aggregate reductions of Medicare payments to providers, which, due to subsequent legislative amendments to the statute, will remain in effect through 2032,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American Rescue Plan Act of 2021 was signed into law, which eliminates the statutory Medicaid drug rebate cap, currently set at 100% of a drug’s average manufacturer price, beginning January 1, 2024. These laws and any laws enacted in the future may result in additional reductions in Medicare and other health care funding, which could have a material adverse effect on our customers and accordingly, our financial operations.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Biden administration released an additional executive order on October 14, 2022, directing HHS to submit a report within 90 days on how the Center for Medicare and Medicaid Innovation can be further leveraged to test new models for lowering drug costs for Medicare and Medicaid beneficiaries. In response to the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ensifentrine or put pressure on our product pricing.</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EU, similar political, economic and regulatory developments may affect our ability to profitably commercialize ensifentrine,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ensifentrine, restrict or regulate post-approval activities and affect our ability to commercialize ensifentrine, if approved. In international markets, reimbursement and healthcare payment systems vary significantly by country, and many countries have instituted price ceilings on specific products and therapies.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ensifentrine may lose any regulatory approval that may have been obtained and we may not achieve or sustain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Our business operations and current and future relationships with investigators, healthcare professionals, consultants, third-party payors and customers will be subject to applicable healthcare regulatory laws, which could expose us to penalties.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 xml:space="preserve">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 </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FDCA, which prohibits, among other things, the adulteration or misbranding of drugs, biologics and medical devices;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the physicians described above and their immediate family members;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 xml:space="preserve">in the EU, interactions between pharmaceutical companies and health care professionals and health 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our operations and business grow, we may become subject to or affected by new or additional data protection laws and regulations and face increased scrutiny or attention from regulatory authorities. In the United States, HIPAA, as amended by the Health Information Technology for Economic and Clinical Health Act of 2009, and regulations implemented thereunder, or collectively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(“CCPA”), which went into effect on January 1, 2020. The CCPA, among other things, creates data privacy obligations for covered companies and provides privacy rights to California consumers, including rights to access and delete their information, to opt out of certain information sharing, and receive detailed information about how their personal information is used. The CCPA also creates a private right of action with statutory damages for certain data breaches, thereby potentially increasing risks associated with a data breach. Although the law includes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exceptions for health-related information, it may regulate or impact our processing of personal information depending on the context.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will likely result in increased privacy and information security enforcement. Additional compliance investment and potential business process changes may be required. Similar laws have passed in Virginia, Connecticut, Utah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diverse laws and regulations relating to data privacy and security in the EU and the EEA, including the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fines, a breach of the GDPR may result in regulatory investigations, reputational damage, orders to cease/change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(the “DPF”), as released on December 13, 2022. The DPF also introduced a new redress mechanism for EU and UK citizens which addresses a key concern in the previous CJEU judgments and may mean transfers under standard contractual clauses are less likely to be challenged in the future. The European Commission adopted its Adequacy Decision in relation to the DPF on July 10, 2023, rendering the DPF effective as a GDPR transfer mechanism to U.S. entities self-certified under the DPF. We currently rely on the EU standard contractual clauses, the UK Addendum to the EU standard contractual clauses and the UK International Data Transfer Agreement, as relevant, to transfer personal data outside the EEA and the UK, including to the United States, with respect to both intragroup and third party transfers. We may also rely on individual consent to transfer personal data in certain circumstances. Following a period of legal complexity and uncertainty regarding international personal data transfers, particularly to the United States, we expect the regulatory guidance and enforcement landscape to continue to develop, in relation to transfers to the United States and elsewhere.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Relatedly, since the beginning of 2021,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On October 12, 2023, the UK Extension to the DPF came into effect (as approved by the UK Government), as a UK GDPR data transfer mechanism to U.S. entities self-certified under the UK Extension to the DPF. As we continue to expand into other foreign countries and jurisdictions, we may be subject to additional laws and regulations that may affect how we conduct business.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applicable data protection laws and regulations could require us to take on more onerous obligations in our contracts, restrict our ability to collect, use and disclose data, or in some cases, impact our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operate in certain jurisdictions. Failure by us or our collaborators and third-party providers to comply with applicable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The increasing focus on environmental sustainability and social initiatives could increase our costs, harm our, reputation and adversely impact our financial results.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environmental, health and safety laws and regulations, and we may become exposed to liability and substantial expenses in connection with environmental compliance or remediation activities.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sub-contracted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 In particular, we engaged a number of clinical trial sites in Russia in connection with our Phase 3 ENHANCE clinical program and, with the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conflict between Russia and Ukraine, and resulting sanctions imposed by the United States and other governments, there is an increased risk that our ability to pay clinical sites or conduct clinical trials in Russia, may be impacted.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Commercialization</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operate in a highly competitive and rapidly changing industry, which may result in others discovering, developing or commercializing competing products before or more successfully than we do.</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ensifentrine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Given the number of products already on the market to treat COPD, asthma and CF, we expect to face intense competition if ensifentrine is approved for these indications. Companies including Boehringer Ingelheim, GlaxoSmithKline, AstraZeneca, Novartis, Vertex, Viatris, Theravance, Gilead and Genentech currently have treatments on the market for COPD, CF and asthma, and we anticipate that new companies will enter these markets in the future. If we successfully develop and commercialize ensifentrine, it will compete with existing therapies and new therapies that may become available in the future. The highly competitive nature of, and rapid technological changes in, the biopharmaceutical and pharmaceutical industries could render ensifentrine obsolete, less competitive or uneconomical. Our competitors may, among other things: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develop and commercialize products that are safer, more effective, less expensive, more convenient or easier to administer, or have fewer or less severe side effects;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obtain quicker regulatory approval;</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establish superior proprietary positions covering our products and technologies;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implement more effective approaches to sales, marketing and distribution; or</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form more advantageous strategic alliances.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ensifentrine. Our commercial opportunity could be reduced or eliminated if our competitors develop and commercialize products that are more effective, have fewer or less severe side effects, are more convenient or are less expensive than ensifentrine. Our competitors may also obtain FDA or other regulatory approval for their product candidates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rapidly than we may obtain approval for ours, which could result in our competitors establishing or strengthening their market position before we are able to enter the market.</w:t>
      </w:r>
    </w:p>
    <w:p>
      <w:pPr>
        <w:pStyle w:val="TextBody"/>
        <w:bidi w:val="0"/>
        <w:spacing w:lineRule="auto" w:line="264" w:before="120" w:after="120"/>
        <w:jc w:val="both"/>
        <w:rPr/>
      </w:pPr>
      <w:r>
        <w:rPr>
          <w:rFonts w:ascii="Times New Roman;sans-serif" w:hAnsi="Times New Roman;sans-serif"/>
          <w:b/>
          <w:i/>
          <w:color w:val="000000"/>
          <w:sz w:val="20"/>
        </w:rPr>
        <w:t>We may be unable to obtain orphan drug designation from the FDA or similar foreign authorities for ensifentrine for the treatment of CF, and even if we do obtain such designations, we may be unable to obtain or maintain the benefits associated with orphan drug designation, including the potential for orphan drug exclusivity</w:t>
      </w:r>
      <w:r>
        <w:rPr>
          <w:rFonts w:ascii="Times New Roman;sans-serif" w:hAnsi="Times New Roman;sans-serif"/>
          <w:b w:val="false"/>
          <w:color w:val="000000"/>
          <w:sz w:val="20"/>
        </w:rPr>
        <w: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orphan designation may be granted by the European Commission after receiving the opinion of the EMA’s Committee for Orphan Medicinal Products to promote the development of products (1) that are intended for the diagnosis, prevention or treatment that is life-threatening or chronically debilitating, and (2) either (a) such condition affects no more than five in 10,000 persons in the EU when the application is made, or (b) the product, without the benefits derived from orphan status, would be unlikely to generate sufficient returns in the EU to justify the necessary investment, and (3) there exists no satisfactory method of diagnosis, prevention or treatment of such condition authorized for marketing in the EU, or, if such a method exists, the medicine must be of significant benefit to those affected by the condition.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orphan drug designation entitles a party to financial incentives such as opportunities for grant funding toward clinical trial costs, tax credits for qualified clinical testing and application 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Upon grant of a marketing authorization, orphan medicinal products are entitled to ten years of market exclusivity for the approved therapeutic indication, during which time no similar medicinal product for the same indication may be placed on the market. However, during such period, marketing authorizations may be granted to a similar medicinal product with the same orphan indication if: (i) the applicant can establish that the second medicinal product, although similar to the orphan medicinal product already authorized is safer, more effective or otherwise clinically superior to the orphan medicinal product already authorized; (ii) the marketing authorization holder for the orphan medicinal product is unable to supply sufficient quantities of product. The European exclusivity period may be reduced to six years if, at the end of the fifth year, it is established that the product no longer meets the orphan designation criteria, including where it is shown that the product is sufficiently profitable not to justify maintenance of market exclusivity, or when the prevalence of the condition has increased above the orphan designation threshold.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orphan drug designation from the FDA and the European Commission (and comparable authorities) for ensifentrine for the treatment of CF. Even if we are able to obtain orphan designation for ensifentrine in the United States and/or the EU (and/or other foreign jurisdictions), we may not be the first to obtain marketing approval for any particular orphan indication due to the uncertainties associated with developing pharmaceutical products, which could prevent us from marketing ensifentrine if another company is able to obtain orphan drug exclusivity before we do. In addition, exclusive marketing rights in the United States and/or the EU may be unavailable if we seek approval for an indication broader than the orphan-designated indication or may be lost if the FDA and/or foreign regulatory authorities later determine that the request for designation was materially defective or if we are unable to assure sufficient quantities of the product to meet the needs of patients with the rare disease or condition following approval. Further, even if we obtain orphan drug exclusivity for ensifentrine, that exclusivity may not effectively protect ensifentrine from competition because different drugs with different active moieties can be approved for the same condition.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FDA or foreign regulatory authorities can subsequently approve products with the same active moiety for the same condition if the FDA or foreign regulatory authorities conclude that the later drug is clinically superior on the basis of greater safety, greater effectiveness, or a major contribution to patient care. Orphan drug designation neither shortens the development time or regulatory review time of a drug nor gives the drug any advantage in the regulatory review or approval process. In addition, while we intend to seek orphan drug designation for ensifentrine for the treatment of CF, we may never receive such designation.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The successful commercialization of ensifentrine will depend in part on the extent to which governmental authorities and health insurers establish adequate coverage, reimbursement levels and pricing policies for ensifentrine. Failure to obtain or maintain adequate coverage and reimbursement for ensifentrine, if approved, could limit our ability to market ensifentrine and decrease our ability to generate revenue.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adequacy of coverage and reimbursement by governmental healthcare programs such as Medicare and Medicaid, private health insurers and other third-party payors are essential for most patients to be able to afford prescription medications such as ensifentrine, assuming approval. Our ability to achieve acceptable levels of coverage and reimbursement by governmental authorities, private health insurers and other organizations will have an effect on our ability to successfully commercialize ensifentrine. Assuming we obtain coverage for ensifentrine by a third-party payor, the resulting reimbursement payment rates may not be adequate or may require co-payments that patients find unacceptably high. Moreover, for drugs and biologics administered under the supervision of a physician, obtaining coverage and adequate reimbursement may be particularly difficult because of the higher prices often associated with such products. We cannot be sure that coverage and reimbursement in the United States, the EU or elsewhere will be available for ensifentrine or any product that we may develop, and any reimbursement that may become available may be decreased or eliminated in the future.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ensifentrine as substitutable and only offer to reimburse patients for the less expensive product. Even if we show improved efficacy or improved convenience of administration with ensifentrine, pricing of existing drugs may limit the amount we will be able to charge for ensifentrine.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ensifentrine, and may not be able to obtain a satisfactory financial return on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Obtaining and maintaining reimbursement status is time 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ensifentrine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Specifically, we believe that Medicare Part B will play an important role in the reimbursement of ensifentrine. Changes within how products are reimbursed through Medicare Part B could occur and those changes may affect the overall coverage of ensifentrine in the future.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ensifentrine.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United States, the reimbursement for ensifentrine may be reduced compared with the United States and may be insufficient to generate commercially reasonable revenue and profits.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ensifentrine.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expect to experience pricing pressures in connection with the sale of ensifentrine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even if a pharmaceutical product obtains a marketing authorization in the EU, there can be no assurance that reimbursement for such product will be secured on a timely basis or at all. </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Ensifentrine may not gain market acceptance, in which case our ability to generate product revenues will be compromised.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if the FDA or any other regulatory authority approves the marketing of ensifentrine, whether developed on our own or with a collaborator, physicians, healthcare providers, patients or the medical community may not accept or use ensifentrine. If ensifentrine does not achieve an adequate level of acceptance, we may not generate significant product revenues or any profits from operations. The degree of market acceptance of ensifentrine will depend on a variety of factors, including:</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timing of market introduction;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number and clinical profile of competing products;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clinical indications for which ensifentrine is approved;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our ability to provide acceptable evidence of safety and efficacy;</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relative convenience, frequency, and ease of administration;</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cost effectiveness;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marketing, sales, and distribution support;</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availability of adequate coverage, reimbursement and adequate payment from health maintenance organizations and other insurers, both public and private; and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other potential advantages over alternative treatment methods.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ensifentrine fails to gain market acceptance, this will adversely impact our ability to generate revenues. Even if ensifentrine achieves market acceptance, the market may prove not to be large enough to allow us to generate significant revenues.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currently developing our commercial capabilities and infrastructure, including sales, marketing, operations, distribution, and reimbursement infrastructure. If we are not successful in developing commercial capabilities and infrastructure, including sales, marketing, operations, distribution and reimbursement capabilities on our own or through collaborations, we may not be successful in commercializing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developing sales, marketing, and operations, distribution and reimbursement capabilities and infrastructure and we have not previously marketed, sold or distributed pharmaceutical products. The establishment of commercial capabilities and infrastructure, including sales, marketing, operations, distribution, and reimbursement with technical expertise and supporting distribution capabilities to commercialize ensifentrine, is expensive and time consuming. Some or all of these costs are incurred in advance of any approval of ensifentrine.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enter into collaboration agreements with respect to marketing, sales or distribution, our product revenue may be lower than if we directly marketed or sold ensifentrine,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ensifentrine. If we are not successful in commercializing ensifentrine, either on our own or through collaborations with one or more third parties, our future product revenue will suffer and we may incur significant additional losses.</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Our Dependence on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ensifentrine and our business could be substantially harmed.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and similar foreign regulations. Our failure to comply with these regulations may require us to repeat clinical trials, which would delay the regulatory approval process.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these investigators and CROs are not our employees and we will not be able to control, other than by contract, the amount of resources, including time, which they devote to ensifentrine and clinical trials. If independent investigators or CROs fail to devote sufficient resources to the development of ensifentrine, or if their performance is substandard, it may delay or compromise the prospects for approval and commercialization of ensifentrine. In addition, the use of third-party service providers requires us to disclose our proprietary information to these parties, which could increase the risk that this information will be misappropriated.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commercialize, ensifentrine. As a result, our results of operations and the commercial prospects for ensifentrine would be harmed, our costs could increase and our ability to generate revenues could be delayed.</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 collaboration and license agreement with Nuance Pharma effective June 9, 2021 (the “Nuance Agreement”) under which we granted Nuance Pharma the exclusive rights to develop and commercialize products containing ensifentrine (the “Nuance Licensed Products”) in Greater China (China, Taiwan, Hong Kong and Macau).</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 Nuance Licensed Products in Greater China. If the Nuance Agreement were to be terminated, and whether or not we identify another suitable collaborator, we may need to seek additional financing to support the clinical development and commercialization of the Nuance Licensed Products in Greater China, which could have a material adverse effect on our business.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 In addition, under the Nuance Agreement, we have an obligation to supply Nuance Pharma with the ensifentrine drug product for their development and commercialization activities in Greater China and if our supply price is too high, the price at which Nuance Pharma sells the drug product in Greater China may not be competitive, which could have a material adverse effect on Nuance Pharma’s ability to successfully commercialize Nuance Licensed Products and the returns that we generate under the Nuance Agreement. Furthermore, the safety and/or efficacy data from Nuance Pharma’s clinical development activities could for various reasons differ from our data and could potentially impact our clinical development and commercialization activities, including our ability to obtain regulatory approval of ensifentrine in the United States and other countries. </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If we fail to enter into new strategic relationships for ensifentrine, our business, research and development and commercialization prospects could be adversely affected.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 ensifentrine. For example, we may seek a collaborator for development of our DPI or pMDI formulation of ensifentrine for the maintenance treatment of COPD and potentially asthma and other respiratory diseases.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may not be able to control the amount and timing of resources that the collaborator devotes to the development of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collaborator may experience financial difficulties;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may be required to relinquish important rights such as marketing, distribution and intellectual property rights;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 collaborator could move forward with a competing product developed either independently or in collaboration with third parties, including our competitors;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safety and/or efficacy data from a collaborator’s clinical development activities may conflict with our data and could potentially impact our global clinical development and commercialization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a collaborator may unlawfully use or disclose confidential information and materials in breach of confidentiality obligations to us;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business combinations or significant changes in a collaborator’s business strategy may adversely affect our willingness to complete our obligations under any arrangement;</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or a collaborator could fail to adequately perform our obligations under the agreement and/or the agreement could fall into dispute;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may be involved in lawsuits to protect or enforce patents covering ensifentrine, or relating to the terms of our collaborations, which could be expensive, time consuming and unsuccessful; or</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collaboration may not provide sufficient funds to be profitable for us after we fulfill our payment liabilities under our agreement with Ligand Pharmaceuticals, Inc., or Ligand, which acquired Vernalis Development Limited, or Vernalis, in October 2018.</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 Moreover, we intend to rely on third parties to produce commercial supplies of ensifentrine, if approved, and commercialization could be stopped, delayed or made less profitable if those third parties fail to obtain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personnel with experience in manufacturing, and we do not own facilities for manufacturing ensifentrine and its derived formulated products. Instead, we rely on and expect to continue to rely on third-party contract manufacturing organizations (“CMOs”), for the supply of cGMP- or GMP-grade clinical trial materials and commercial quantities of ensifentrine and its derived formulated products, if approved.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directly control the manufacturing process of, and are or will be essentially dependent on, our CMOs for compliance with cGMP and similar foreign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obtain regulatory approval for or market ensifentrine and its derived formulated products, if approved.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and will continue to rely on CMOs to purchase from third-party suppliers the materials necessary to produce ensifentrine and its derived formulated products and the inhalation and nebulization devices to deliver ensifentrine. We do not and will not have any direct control over the process or timing of the acquisition and delivery of these supplies by any CMO or its third-party suppliers, or the quality or quantity of such supplies. These supplies could be interrupted from time to time and, if interrupted, we cannot be certain that alternative supplies could be obtained within a reasonable timeframe, at an acceptable cost or quality, or at all. There are a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number of suppliers for the raw materials that we may use to manufacture ensifentrine and for the drug delivery devices (e.g. nebulizers) that we use for clinical trials with ensifentrine, and we will need to assess alternate suppliers to prevent a possible disruption to our clinical trials, and if approved, ultimately to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after regulatory approval has been obtained for ensifentrine, the commercial launch of ensifentrine would be delayed or there would be a shortage in supply, which would impair our ability to generate revenues from the sale of ensifentrine. In addition, growth in the costs and expenses of these supplies may impair our ability to cost-effectively manufacture ensifentrine. Additionally, CMOs are experiencing labor constraints which could impact their ability to manufacture and deliver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 if approved.</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 and Information Technology</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rely on patents and other intellectual property rights to protect ensifentrine, the enforcement, defense and maintenance of which may be challenging and costly. Failure to enforce or protect these rights adequately could harm our ability to compete and impair our business.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obtaining and maintaining patents and other forms of intellectual property rights for ensifentrine, formulations of ensifentrine, polymorphs, salts and analogs of ensifentrine, methods used to manufacture ensifentrine, methods for manufacturing of final drug product for different inhalation devices such as nebulizer, DPI, pMDI, and the methods for treating patients with respiratory diseases using ensifentrine alone or in combination with other available products, or on in-licensing such rights.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applications cannot be enforced against third parties practicing the technology claimed in such applications unless and until a patent issues from such applications, and then only to the extent the issued claims cover the technology.</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not identify relevant third-party patents or may incorrectly interpret the relevance, scope or expiration of a third-party patent which might adversely affect our ability to develop, manufacture and market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ensifentrine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ensifentrine could have been filed by others without our knowledge. Additionally, pending patent applications that have been published can, subject to certain limitations, be later amended in a manner that could cover ensifentrine or the use of ensifentrine.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ensifentrine. We may incorrectly determine that ensifentrine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ensifentrine. Our failure to identify and correctly interpret relevant patents may negatively impact our ability to develop and market ensifentrine.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ensifentrine. We might, if possible, also be forced to redesign ensifentrine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patents covering ensifentrine, which could be expensive, time consuming and unsuccessful, and issued patents could be found invalid or unenforceable if challenged in court.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ensifentrine,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were to initiate legal proceedings against a third party to enforce a patent covering one of our products, the defendant could counterclaim that our patent is invalid or unenforceable. In patent litigation in the United States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ensifentrine. Patents and other intellectual property rights also will not protect our technology if competitors design around our protected technology without infringing our patents or other intellectual property rights.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Third parties may initiate legal proceedings alleging that we are infringing their intellectual property rights, the outcome of which would be uncertain and could have a negative impact on the success of our business.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ensifentrine may be subject to claims of infringement of the intellectual property rights of third parties.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become party to, or be threatened with, adversarial proceedings or litigation regarding intellectual property rights with respect to ensifentrine and any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ensifentrine or from selling, incorporating, manufacturing or using our products in the United States and/or other jurisdictions that use the subject intellectual property. We might, if possible, also be forced to redesign ensifentrine so that we no longer infringe the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challenging the inventorship of our patents and other intellectual property.</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Intellectual property litigation could cause us to spend substantial resources and distract our personnel from their normal responsibilities.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our obligations under our existing and any future intellectual property licenses with third parties, we could lose license rights that are important to our business.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ensifentrine or any future product candidates. Under our agreement with Ligand, we may not abandon any of the assigned patents or allow any of the assigned patents to lapse without consent from Ligand, which is not to be unreasonably delayed or withheld. If we do not obtain such consent in a timely manner or at all and such assigned patent rights lapse or are abandoned, our agreement with Ligand may be terminated in its entirety. For example, if we decide for commercial reasons to let an assigned patent lapse in a country of little commercial importance, but Ligand does not provide consent and such patent rights lapse, we may lose all intellectual property rights covering ensifentrine in multiple markets. Moreover, our future licensors may own or control intellectual property that has not been licensed to us and, as a result, we may be subject to claims, regardless of their merit, that we are infringing or otherwise violating the licensor’s rights.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maintaining the necessary rights to ensifentrine or obtaining other intellectual property rights important to our business through acquisitions and in-licenses.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own and have in-licensed rights to intellectual property, including patents, patent applications and know-how, relating to ensifentrine, and our success will likely depend on maintaining these rights. Because our programs may require the use of proprietary rights held by third parties, the growth of our business will likely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depend in part on our ability to acquire, in-license, maintain or use these proprietary rights. In addition, ensifentrine may require specific formulations to work effectively and the rights to these formulations may be held by others. We may be unable to acquire or in-license any compositions, methods of use, processes, or other third-party intellectual property rights that we identify as necessary for ensifentrine.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ensifentrine or a development program on acceptable terms, we may have to abandon development of ensifentrine or that development program.</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competitive position may be adversely affected.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registered trademarks in some territories and made applications to register the trademarks in other territories for potential trade names for our business and proposed drug products. We may not be able to obtain trademark protection for our trade names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If we do not obtain protection under the Hatch-Waxman Amendments and similar non-U.S. legislation for extending the term of patents covering ensifentrine and any other product candidates, our ability to compete effectively could be impaired.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The issued patents covering the composition of matter for ensifentrine expired in 2020, and our other issued patents will expire in 2031 to 2041, subject to any patent extensions that may be available for such patents. If patents are issued on our pending patent applications, the resulting patents are projected to expire on dates ranging from 2031 to 2036. Various extensions may be available, but the life of a patent, and the protection it affords, is limited. Even if patents covering ensifentrine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conditions of the FDA marketing approval of ensifentrine,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enjoy only limited geographical protection with respect to certain patents and may face difficulties in certain jurisdictions, which may diminish the value of our intellectual property rights in those jurisdictions.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file our first patent application, or priority filing, at the United Kingdom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ensifentrine in all national and regional jurisdictions where such protection may be available. Filing, prosecuting and defending patents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Others may be able to make compounds that are the same as or similar to our product candidates but that are not covered by the claims of the patents that we own or have exclusively licensed;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patents of third parties may impair our ability to develop or commercialize our product candidates.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or our licensors or any future strategic collaborators might not have been the first to conceive or reduce to practice the inventions covered by the issued patent or pending patent application that we own or have exclusively licensed.</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or our licensors or any future collaborators might not have been the first to file patent applications covering certain of our inventions.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Issued patents that we own or have exclusively licensed may not provide us with any competitive advantage, or may be held invalid or unenforceable, as a result of legal challenges by our competitors.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Third parties performing manufacturing or testing for us using our product candidates or technologies could use the intellectual property of others without obtaining a proper license.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We may not develop additional technologies that are patentable.</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patent laws or patent jurisprudence could diminish the value of patents in general, thereby impairing our ability to protect ensifentrine or any future product candidates.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Confidentiality agreements with employees and others may not adequately prevent disclosure of trade secrets and protect other proprietary information.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which would hurt our competitive position and could impair our ability to successfully commercialize any product candidate.</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Our information technology systems, and those of our manufacturers, suppliers and other third parties that we use to conduct our pre-clinical and clinical trials or otherwise collaborate with, may fail or suffer security breaches, which could distract our operations and cause delays in our research and development work, and may adversely affect our business, operations and financial performance. </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and our manufacturers, suppliers and third parties that we use to conduct our pre-clinical and clinical trials or otherwise collaborate with, collect and store sensitive data, including intellectual property, clinical trial data, proprietary business information and personally identifiable information of our clinical trial subjects and employees, in our and third-party data centers and on our and third-party networks. The secure processing, maintenance and transmission of this information is critical to our operations. Our information technology and other internal infrastructure systems, including corporate firewalls, servers, leased lines and connection to the Internet, and that of our manufacturers, suppliers and other third parties that we use to conduct our pre-clinical and clinical trials or otherwise collaborate with, face the risk of systemic failure that could disrupt our operations. A significant disruption in the availability of these information technology and other internal infrastructure systems could cause interruptions in our collaborations and delays in our research and development work. Further, our information technology systems and those of our third-party service providers, strategic partners and other contractors or consultants are vulnerable to damage, attack or interruption from computer viruses, malware (e.g ransomware),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We and certain of our service providers are from time to time subject to cyberattacks and security incidents. Although to our knowledge we have not experienced any significant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data, regulatory penalties, disrupt our operations, damage our reputation, and cause a loss of confidence in us and our ability to conduct clinical trials, which could adversely affect our reputation and delay clinical development of our product candidates. Any losses, costs or liabilities may not be covered by, or may exceed the coverage limits of, any or all applicable insurance policies.</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Employee Matters and Managing Growth</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Our future growth and ability to compete depends on our ability to retain our key personnel and recruit additional qualified personnel.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upon the contributions of our key management, scientific and technical personnel, many of whom have been instrumental for us and have substantial experience with ensifentrine and related technologies. Our key management individuals include our chief executive officer, David Zaccardelli, our chief financial officer, Mark Hahn, our general counsel, Claire Poll, our chief medical officer, Kathleen Rickard, our senior vice president,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chemistry manufacturing and controls, Peter Spargo, our senior vice president, regulatory affairs, Caroline Diaz, our senior vice president of commercial, Christopher Martin, and our senior vice president, R&amp;D, Tara Rheault. 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expect to expand our development, regulatory, commercial, sales, marketing, reimbursement and distribution capabilities, and as a result, we may encounter difficulties in managing our growth, which could disrupt our operations.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experience significant growth in the number of our employees and the scope of our operations, particularly in the areas of drug development, regulatory affairs, commercial operations and sales, marketing, reimbursement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Our ADSs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Certain of our shareholders, members of our board of directors, and senior management own a majority of our ordinary shares (including ordinary shares represented by ADSs) and as a result, are able to exercise significant control over us.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our senior management, board of directors and greater than 5% shareholders and their respective affiliates, in the aggregate, owned approximately 32% of our outstanding voting ordinary shares (including ordinary shares represented by ADSs) assuming no exercise of outstanding options. 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Holders of our ADSs may not have the same voting rights as the holders of our ordinary shares and may not receive voting materials in time to be able to exercise their right to vote.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our ADSs are not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Holders of our ADSs may not receive distributions on our ordinary shares represented by our ADSs or any value for them if it is illegal or impractical to make them available to them.</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Holders of our ADSs may be subject to limitations on transfer of their ADSs.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The rights of our shareholders may differ from the rights typically offered to shareholders of a U.S. corporation.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Claims of U.S. civil liabilities may not be enforceable against us.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U.S. investors may not be able to enforce against us or our senior management, board of directors or certain experts named herein who are residents of the United Kingdom or countries other than the United States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judgments obtained in U.S. courts in civil and commercial matters, including judgments under the U.S. federal securities laws.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required to assess the effectiveness of our internal controls annually. However, for as long as we are a non-accelerated filer,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have inadvertently violated Section 13(k) of the Exchange Act (implementing Section 402 of the Sarbanes-Oxley Act of 2002) and may be subject to sanctions as a result.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Section 13(k) of the Exchange Act provides that it is unlawful for a company, such as ours, that has a class of securities registered under Section 12 of the Exchange Act to, directly or indirectly, including through any subsidiary, extend or maintain credit in the form of a personal loan to or for any director or executive officer of the company. In August 2018, a receivable arose with respect to taxes due upon the vesting of restricted share units held by one of our directors and two of our executive officers, which may have violated Section 13(k) of the Exchange Act. The receivable was repaid, with interest, in March 2019, as soon as management became aware of the possible violation. Issuers that are found to have violated Section 13(k) of the Exchange Act may be subject to civil sanctions, including injunctive remedies and monetary penalties, as well as criminal sanctions. The imposition of any of such sanctions on us could have a material adverse effect on our business, financial position, results of operations or cash flows.</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Taxation</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our tax rates, unavailability of certain tax credits or reliefs or exposure to additional tax liabilities or assessments could affect our profitability, and audits by tax authorities could result in additional tax payments for prior periods.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flows. For example, beginning in 2022, the Tax Cuts and Jobs Act of 2017 eliminates the option to deduct research and development expenditures and requires taxpayers to amortize them over five years pursuant to Section 174 of the U.S. Internal Revenue Code of 1986, as amended, or the Code, or 15 years for expenditures attributable to research and development conducted outside the United States. If the requirement is not modified or deferred, it may materially reduce our cash flows.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carry out research and development activities including, but not limited to, developing ensifentrine for various indications and delivery methods, and as a result we benefit in the U.K. from the HM Revenue and Customs, or HMRC, small and medium sized enterprises research and development relief, or SME R&amp;D Relief, which provides relief against U.K. Corporation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Broadly, SME R&amp;D Relief comprises two elements, (a) allowing qualifying SMEs to deduct a total of 230% expected to reduce to 186% for expenditure incurred on or after April 1, 2023 of their qualifying expenditure from their yearly profit for U.K. Corporation Tax purposes (the deduction is given by allowing an additional 130% deduction (expected to reduce to 86% for expenditure incurred after April 1, 2023) plus the usual 100% deduction), or the SME R&amp;D Additional Deduction and, (b) where there are not sufficient profits for U.K. Corporation Tax purposes to fully utilize the SME R&amp;D Additional Deduction, the excess (“surrenderable losses”) can be carried forward to offset against future taxable profits, or a tax credit currently equal to 10%, reduced from 14.5% beginning April 1, 2023, of such surrenderable loss can be claimed in cash, or the SME R&amp;D Tax Credit.</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financial statements for the year ended December 31, 2021, we recorded an SME R&amp;D Tax Credit of $15.6 million which was subsequently received in cash in the year ended December 31, 2022. For the year ended December 31, 2022, we recorded an SME R&amp;D Tax Credit of $9.6 million which we expect to receive in the year ending December 31, 2023.</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the UK’s SME R&amp;D Relief regime may adversely affect our financial condition. In particular, HM Treasury and HMRC launched a consultation in January 2023 entitled “R&amp;D Tax Reliefs Review, Consultation on a single scheme” which seeks views on the possible merger of the SME R&amp;D Relief scheme and the “RDEC” scheme applicable to “large” companies, the outcome of which is currently uncertain. If it is decided to merge the schemes, any new regime is expected to apply with effect from April 1, 2024.</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If we were classified as a passive foreign investment company, it would result in adverse U.S. federal income tax consequences to U.S. holders.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non-U.S. company will be considered a passive foreign investment company, or PFIC, for any taxable year in which (i) 75% or more of its gross income consists of passive income or (ii) 50% or more of the average quarterly value of its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A “U.S. Holder” is a holder who, for U.S. federal income tax purposes, is a beneficial owner of our ordinary shares or ADSs who is a citizen or individual resident of the United States, a corporation, or other entity taxable as a corporation, created or organized in or under the laws of the United States, any state therein or the District of Columbia; an estate the income of which is subject to U.S. federal income taxation regardless of its source; or a trust that (i) is subject to the supervision of a U.S. court and all substantial decisions of which are subject to the control of one or more “United States persons” (within the meaning of Section 7701(a)(30) of the Code), or (ii) has a valid election in effect to be treated as a United States person. No assurances regarding our PFIC status can be provided for the current taxable year or any future taxable years.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in the future and our corporate structure. The composition of our income and assets is also affected by the spending of the cash we raise in any offering. Each U.S. Holder should consult its own tax advisors with respect to the potential adverse U.S. tax consequences to it if we are or were to become a PFIC.</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PFIC test described above, unless the U.S. Holder makes a specified election once we cease to be a PFIC.</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current and expected composition of our income and assets and the value of our assets, we believe that we were not a PFIC for U.S. federal income tax purposes for our taxable year ended December 31, 2022.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 assurances regarding our PFIC status can be provided for any past taxable years, the taxable year ending December 31, 2022, or any future taxable years.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If a U.S. Holder is treated as owning at least 10% of our ordinary shares or ADSs, such holder may be subject to adverse U.S. federal income tax consequences.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a U.S. Holder (as defined above) is treated as owning, directly, indirectly or constructively, at least 10% of the value or voting power of our ordinary shares or ADSs, such U.S. Holder may be treated as a “United States shareholder” with respect to each “controlled foreign corporation” or “CFC” in our group, if any. Because our group includes one or more U.S. subsidiaries, certain of our non-U.S. subsidiaries could be treated as CFCs, regardless of whether we are treated as a CFC. A United States shareholder of a controlled foreign corporation may be required to annually report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our investors in determining whether we or any of our non-U.S. subsidiaries are treated as a CFC or whether such investor is treated as a United States shareholder with respect to any of such CFCs. Further, we cannot provide any assurances that we will furnish to any United States shareholder information that may be necessary to comply with the reporting and tax paying obligations described in this risk factor. U.S. Holders should consult their tax advisors regarding the potential application of these rules to their investment in our ordinary shares or ADSs.</w:t>
      </w: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The price of our ADSs may be volatile and may fluctuate due to factors beyond our control.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positive or negative results from, or delays in, clinical trials of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developments in our competitors’ businesses;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delays in entering into collaborations and strategic relationships with respect to development or commercialization of ensifentrine or entry into collaborations and strategic relationships on terms that are not deemed to be favorable to us;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technological innovations or commercial product introductions by us or competitors;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changes in government regulations;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developments concerning proprietary rights, including patents and litigation matters;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public concern relating to the commercial value or safety of ensifentrine;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financing or other corporate transactions;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publication of research reports or comments by securities or industry analysts or commentators;</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general market conditions in the pharmaceutical industry or in the economy as a whole;</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the loss of any of our key scientific or senior management personnel;</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sales of our ADSs by us, our senior management or board members, and significant holders of our ADSs; or</w:t>
      </w:r>
    </w:p>
    <w:p>
      <w:pPr>
        <w:pStyle w:val="TextBody"/>
        <w:bidi w:val="0"/>
        <w:spacing w:lineRule="auto" w:line="264" w:before="120" w:after="120"/>
        <w:ind w:left="0" w:right="0" w:hanging="360"/>
        <w:jc w:val="both"/>
        <w:rPr/>
      </w:pPr>
      <w:r>
        <w:rPr>
          <w:color w:val="000000"/>
        </w:rPr>
        <w:t>•</w:t>
      </w:r>
      <w:r>
        <w:rPr>
          <w:rFonts w:ascii="Times New Roman;sans-serif" w:hAnsi="Times New Roman;sans-serif"/>
          <w:b w:val="false"/>
          <w:color w:val="000000"/>
          <w:sz w:val="20"/>
        </w:rPr>
        <w:t>other events and factors, many of which are beyond our control.</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Future sales, or the possibility of future sales, of a substantial number of our ADSs or ordinary shares could adversely affect the price of our ADSs.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Future sales of a substantial number of our ADSs or ordinary shares, or the perception that such sales will occur, could cause a decline in the market price of our ADSs. Sales in the United States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Unstable market and economic conditions may have serious adverse consequences on our business and financial condition and the price of our ADSs.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If the equity and credit markets continue to deteriorate or the United Kingdom or the United States enters a recession, it may make any necessary debt or equity financing more difficult to obtain in a timely manner or on favorable terms, more costly or more dilutive. In addition, there is a risk that one or more of our CROs, suppliers or other third-party providers may not survive an economic downturn or recession. As a result, our business, results of operations and price of our ADSs may be adversely affected.</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or commentators publish inaccurate or unfavorable research, about our business, the price of our ADSs and ordinary shares and our trading volume could decline.</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ADSs and ordinary shares depends in part on the research and reports that securities or industry analysts or commentators publish about us or our business.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We have incurred and expect to continue to incur increased costs as a result of operating as a public company in the United States, and our senior management are required to devote substantial time to new compliance initiatives and corporate governance practices.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U.S. public company, we have incurred and expect to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404 of the Sarbanes-Oxley Act of 2002, or Section 404, we are required to furnish a report by our senior management on our internal control over financial reporting. However, while we remain a non-accelerated filer, we will not be required to include an attestation report on internal control over financial reporting issued by our independent registered public accounting firm. To prepare for and maintain compliance with Section 404(b), we are in the process of documenting and evaluating our internal control over financial reporting, which is both costly and challenging. In this regard, we have dedicated, and will need to continue to dedicate, internal resources, engage outside consultants and pursue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pStyle w:val="TextBody"/>
        <w:bidi w:val="0"/>
        <w:spacing w:lineRule="auto" w:line="264" w:before="120" w:after="120"/>
        <w:jc w:val="both"/>
        <w:rPr>
          <w:rFonts w:ascii="Times New Roman;sans-serif" w:hAnsi="Times New Roman;sans-serif"/>
          <w:b/>
          <w:i/>
          <w:color w:val="000000"/>
          <w:sz w:val="20"/>
        </w:rPr>
      </w:pPr>
      <w:r>
        <w:rPr>
          <w:rFonts w:ascii="Times New Roman;sans-serif" w:hAnsi="Times New Roman;sans-serif"/>
          <w:b/>
          <w:i/>
          <w:color w:val="000000"/>
          <w:sz w:val="20"/>
        </w:rPr>
        <w:t>Business interruptions could adversely affect our operations.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potentially vulnerable to interruption by fire, severe weather conditions, power loss, telecommunications failure, terrorist activity, public health crises and pandemic diseases, such as COVID-19, and other natural and man-made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24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120" w:after="120"/>
        <w:jc w:val="both"/>
        <w:rPr/>
      </w:pPr>
      <w:r>
        <w:rPr/>
      </w:r>
    </w:p>
    <w:p>
      <w:pPr>
        <w:pStyle w:val="TextBody"/>
        <w:bidi w:val="0"/>
        <w:spacing w:lineRule="auto" w:line="264"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74"/>
        <w:gridCol w:w="329"/>
        <w:gridCol w:w="331"/>
        <w:gridCol w:w="1572"/>
        <w:gridCol w:w="1572"/>
        <w:gridCol w:w="1575"/>
        <w:gridCol w:w="175"/>
        <w:gridCol w:w="175"/>
        <w:gridCol w:w="176"/>
        <w:gridCol w:w="326"/>
        <w:gridCol w:w="256"/>
        <w:gridCol w:w="201"/>
        <w:gridCol w:w="338"/>
        <w:gridCol w:w="321"/>
        <w:gridCol w:w="213"/>
        <w:gridCol w:w="334"/>
        <w:gridCol w:w="246"/>
        <w:gridCol w:w="209"/>
        <w:gridCol w:w="454"/>
        <w:gridCol w:w="454"/>
        <w:gridCol w:w="574"/>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Filings Indicated </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Number</w:t>
            </w:r>
          </w:p>
        </w:tc>
        <w:tc>
          <w:tcPr>
            <w:tcW w:w="4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Description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No. </w:t>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Filed/Furnished Herewith</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r:id="rId3">
              <w:r>
                <w:rPr>
                  <w:rStyle w:val="InternetLink"/>
                  <w:rFonts w:ascii="Times New Roman;sans-serif" w:hAnsi="Times New Roman;sans-serif"/>
                  <w:b w:val="false"/>
                  <w:color w:val="0000FF"/>
                  <w:sz w:val="20"/>
                  <w:u w:val="single"/>
                </w:rPr>
                <w:t>3.1</w:t>
              </w:r>
            </w:hyperlink>
          </w:p>
        </w:tc>
        <w:tc>
          <w:tcPr>
            <w:tcW w:w="4719"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r:id="rId4">
              <w:r>
                <w:rPr>
                  <w:rStyle w:val="InternetLink"/>
                  <w:rFonts w:ascii="Times New Roman;sans-serif" w:hAnsi="Times New Roman;sans-serif"/>
                  <w:b w:val="false"/>
                  <w:color w:val="0000FF"/>
                  <w:sz w:val="20"/>
                  <w:u w:val="single"/>
                </w:rPr>
                <w:t>Articles of Association, as amended and as currently in effect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001-38067</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12/30/2020</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r:id="rId5">
              <w:r>
                <w:rPr>
                  <w:rStyle w:val="InternetLink"/>
                  <w:rFonts w:ascii="Times New Roman;sans-serif" w:hAnsi="Times New Roman;sans-serif"/>
                  <w:b w:val="false"/>
                  <w:color w:val="0000FF"/>
                  <w:sz w:val="20"/>
                  <w:u w:val="single"/>
                </w:rPr>
                <w:t>10.1</w:t>
              </w:r>
            </w:hyperlink>
          </w:p>
        </w:tc>
        <w:tc>
          <w:tcPr>
            <w:tcW w:w="4719"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r:id="rId6">
              <w:r>
                <w:rPr>
                  <w:rStyle w:val="InternetLink"/>
                  <w:rFonts w:ascii="Times New Roman;sans-serif" w:hAnsi="Times New Roman;sans-serif"/>
                  <w:b w:val="false"/>
                  <w:color w:val="0000FF"/>
                  <w:sz w:val="20"/>
                  <w:u w:val="single"/>
                </w:rPr>
                <w:t>Agreement of Sublease, dated August 28, 2023, by and between Verona Pharma, Inc. and insightsoftware, LLC.</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001-38067</w:t>
            </w:r>
          </w:p>
        </w:tc>
        <w:tc>
          <w:tcPr>
            <w:tcW w:w="6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09/01/2023</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w:anchor="exhibit311q323.htm">
              <w:r>
                <w:rPr>
                  <w:rStyle w:val="InternetLink"/>
                  <w:rFonts w:ascii="Times New Roman;sans-serif" w:hAnsi="Times New Roman;sans-serif"/>
                  <w:b w:val="false"/>
                  <w:color w:val="0000FF"/>
                  <w:sz w:val="20"/>
                  <w:u w:val="single"/>
                </w:rPr>
                <w:t>31.1</w:t>
              </w:r>
            </w:hyperlink>
          </w:p>
        </w:tc>
        <w:tc>
          <w:tcPr>
            <w:tcW w:w="4719"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w:anchor="exhibit311q323.htm">
              <w:r>
                <w:rPr>
                  <w:rStyle w:val="InternetLink"/>
                  <w:rFonts w:ascii="Times New Roman;sans-serif" w:hAnsi="Times New Roman;sans-serif"/>
                  <w:b w:val="false"/>
                  <w:color w:val="0000FF"/>
                  <w:sz w:val="20"/>
                  <w:u w:val="single"/>
                </w:rPr>
                <w:t>Rule 13a-14(a)/15d-14(a) Certification of Chief Executive Officer</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w:anchor="exhibit312q323.htm">
              <w:r>
                <w:rPr>
                  <w:rStyle w:val="InternetLink"/>
                  <w:rFonts w:ascii="Times New Roman;sans-serif" w:hAnsi="Times New Roman;sans-serif"/>
                  <w:b w:val="false"/>
                  <w:color w:val="0000FF"/>
                  <w:sz w:val="20"/>
                  <w:u w:val="single"/>
                </w:rPr>
                <w:t>31.2</w:t>
              </w:r>
            </w:hyperlink>
          </w:p>
        </w:tc>
        <w:tc>
          <w:tcPr>
            <w:tcW w:w="4719"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w:anchor="exhibit312q323.htm">
              <w:r>
                <w:rPr>
                  <w:rStyle w:val="InternetLink"/>
                  <w:rFonts w:ascii="Times New Roman;sans-serif" w:hAnsi="Times New Roman;sans-serif"/>
                  <w:b w:val="false"/>
                  <w:color w:val="0000FF"/>
                  <w:sz w:val="20"/>
                  <w:u w:val="single"/>
                </w:rPr>
                <w:t>Rule 13a-14(a)/15d-14(a) Certification of Chief Financial Officer</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w:anchor="exhibit321q323.htm">
              <w:r>
                <w:rPr>
                  <w:rStyle w:val="InternetLink"/>
                  <w:rFonts w:ascii="Times New Roman;sans-serif" w:hAnsi="Times New Roman;sans-serif"/>
                  <w:b w:val="false"/>
                  <w:color w:val="0000FF"/>
                  <w:sz w:val="20"/>
                  <w:u w:val="single"/>
                </w:rPr>
                <w:t>32.1</w:t>
              </w:r>
            </w:hyperlink>
          </w:p>
        </w:tc>
        <w:tc>
          <w:tcPr>
            <w:tcW w:w="4719"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w:anchor="exhibit321q323.htm">
              <w:r>
                <w:rPr>
                  <w:rStyle w:val="InternetLink"/>
                  <w:rFonts w:ascii="Times New Roman;sans-serif" w:hAnsi="Times New Roman;sans-serif"/>
                  <w:b w:val="false"/>
                  <w:color w:val="0000FF"/>
                  <w:sz w:val="20"/>
                  <w:u w:val="single"/>
                </w:rPr>
                <w:t>Section 1350 Certification of Chief Executive Officer</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w:anchor="exhibit322q323.htm">
              <w:r>
                <w:rPr>
                  <w:rStyle w:val="InternetLink"/>
                  <w:rFonts w:ascii="Times New Roman;sans-serif" w:hAnsi="Times New Roman;sans-serif"/>
                  <w:b w:val="false"/>
                  <w:color w:val="0000FF"/>
                  <w:sz w:val="20"/>
                  <w:u w:val="single"/>
                </w:rPr>
                <w:t>32.2</w:t>
              </w:r>
            </w:hyperlink>
          </w:p>
        </w:tc>
        <w:tc>
          <w:tcPr>
            <w:tcW w:w="4719" w:type="dxa"/>
            <w:gridSpan w:val="3"/>
            <w:tcBorders/>
            <w:tcMar>
              <w:top w:w="0" w:type="dxa"/>
              <w:left w:w="0" w:type="dxa"/>
              <w:bottom w:w="0" w:type="dxa"/>
              <w:right w:w="0" w:type="dxa"/>
            </w:tcMar>
            <w:vAlign w:val="center"/>
          </w:tcPr>
          <w:p>
            <w:pPr>
              <w:pStyle w:val="TableContents"/>
              <w:bidi w:val="0"/>
              <w:spacing w:lineRule="auto" w:line="240" w:before="120" w:after="120"/>
              <w:jc w:val="left"/>
              <w:rPr/>
            </w:pPr>
            <w:hyperlink w:anchor="exhibit322q323.htm">
              <w:r>
                <w:rPr>
                  <w:rStyle w:val="InternetLink"/>
                  <w:rFonts w:ascii="Times New Roman;sans-serif" w:hAnsi="Times New Roman;sans-serif"/>
                  <w:b w:val="false"/>
                  <w:color w:val="0000FF"/>
                  <w:sz w:val="20"/>
                  <w:u w:val="single"/>
                </w:rPr>
                <w:t>Section 1350 Certification of Chief Financial Officer</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4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4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4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4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4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4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120" w:after="120"/>
        <w:jc w:val="both"/>
        <w:rPr/>
      </w:pPr>
      <w:r>
        <w:rPr/>
      </w:r>
    </w:p>
    <w:p>
      <w:pPr>
        <w:pStyle w:val="TextBody"/>
        <w:bidi w:val="0"/>
        <w:spacing w:before="240" w:after="24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64"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120" w:after="120"/>
        <w:jc w:val="both"/>
        <w:rPr/>
      </w:pPr>
      <w:r>
        <w:rPr/>
      </w:r>
    </w:p>
    <w:tbl>
      <w:tblPr>
        <w:tblW w:w="667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345"/>
        <w:gridCol w:w="345"/>
        <w:gridCol w:w="345"/>
        <w:gridCol w:w="938"/>
        <w:gridCol w:w="938"/>
        <w:gridCol w:w="133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VERONA PHARMA PLC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Zaccardelli</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Zaccardelli, Pharm. 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W. Hahn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 Hahn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120" w:after="120"/>
        <w:jc w:val="both"/>
        <w:rPr/>
      </w:pPr>
      <w:r>
        <w:rPr/>
      </w:r>
    </w:p>
    <w:p>
      <w:pPr>
        <w:pStyle w:val="TextBody"/>
        <w:bidi w:val="0"/>
        <w:spacing w:before="12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David Zaccardelli, Pharm.D.,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Verona Pharma plc;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17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781"/>
        <w:gridCol w:w="781"/>
        <w:gridCol w:w="110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Zaccardelli, Pharm.D.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Zaccardelli, Pharm.D.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Chief Executive Officer </w:t>
            </w:r>
          </w:p>
          <w:p>
            <w:pPr>
              <w:pStyle w:val="TableContents"/>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Mark W. Hahn,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Verona Pharma plc;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682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1265"/>
        <w:gridCol w:w="1265"/>
        <w:gridCol w:w="178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W. Hahn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W. Hahn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shd w:fill="FFFFFF" w:val="clear"/>
              </w:rPr>
              <w:t>Chief Financial Officer (</w:t>
            </w:r>
            <w:r>
              <w:rPr>
                <w:rFonts w:ascii="Times New Roman;sans-serif" w:hAnsi="Times New Roman;sans-serif"/>
                <w:b w:val="false"/>
                <w:i/>
                <w:color w:val="000000"/>
                <w:sz w:val="20"/>
                <w:shd w:fill="FFFFFF" w:val="clear"/>
              </w:rPr>
              <w:t>principal financial officer</w:t>
            </w:r>
            <w:r>
              <w:rPr>
                <w:rFonts w:ascii="Times New Roman;sans-serif" w:hAnsi="Times New Roman;sans-serif"/>
                <w:b w:val="false"/>
                <w:color w:val="000000"/>
                <w:sz w:val="20"/>
                <w:shd w:fill="FFFFFF" w:val="clear"/>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Verona Pharma plc (the “Company”) for the period ended September 30, 2023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517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781"/>
        <w:gridCol w:w="781"/>
        <w:gridCol w:w="110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Zaccardelli, Pharm.D.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Zaccardelli, Pharm.D.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p>
            <w:pPr>
              <w:pStyle w:val="TableContents"/>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Verona Pharma plc (the “Company”) for the period ended September 30, 2023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682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1265"/>
        <w:gridCol w:w="1265"/>
        <w:gridCol w:w="178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W. Hahn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W. Hahn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shd w:fill="FFFFFF" w:val="clear"/>
              </w:rPr>
              <w:t>Chief Financial Officer (</w:t>
            </w:r>
            <w:r>
              <w:rPr>
                <w:rFonts w:ascii="Times New Roman;sans-serif" w:hAnsi="Times New Roman;sans-serif"/>
                <w:b w:val="false"/>
                <w:i/>
                <w:color w:val="000000"/>
                <w:sz w:val="20"/>
                <w:shd w:fill="FFFFFF" w:val="clear"/>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57312/000110465920140541/tm2039594d1_ex1.htm" TargetMode="External"/><Relationship Id="rId4" Type="http://schemas.openxmlformats.org/officeDocument/2006/relationships/hyperlink" Target="https://www.sec.gov/Archives/edgar/data/1657312/000110465920140541/tm2039594d1_ex1.htm" TargetMode="External"/><Relationship Id="rId5" Type="http://schemas.openxmlformats.org/officeDocument/2006/relationships/hyperlink" Target="https://www.sec.gov/Archives/edgar/data/1657312/000110465923097740/tm2325259d1_ex10-1.htm" TargetMode="External"/><Relationship Id="rId6" Type="http://schemas.openxmlformats.org/officeDocument/2006/relationships/hyperlink" Target="https://www.sec.gov/Archives/edgar/data/1657312/000110465923097740/tm2325259d1_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47249</Words>
  <Characters>266740</Characters>
  <CharactersWithSpaces>312762</CharactersWithSpaces>
  <Paragraphs>1960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