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April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5"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00" w:lineRule="exact"/>
        <w:rPr>
          <w:sz w:val="20"/>
          <w:szCs w:val="20"/>
          <w:color w:val="auto"/>
        </w:rPr>
      </w:pPr>
    </w:p>
    <w:p>
      <w:pPr>
        <w:spacing w:after="0" w:line="2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March 31, 2020, Verona Pharma plc (the “Company”) issued a press release announcing </w:t>
      </w:r>
      <w:r>
        <w:rPr>
          <w:rFonts w:ascii="Arial" w:cs="Arial" w:eastAsia="Arial" w:hAnsi="Arial"/>
          <w:sz w:val="18"/>
          <w:szCs w:val="18"/>
          <w:color w:val="232323"/>
        </w:rPr>
        <w:t>positive efficacy and safety data with a single</w:t>
      </w:r>
      <w:r>
        <w:rPr>
          <w:rFonts w:ascii="Arial" w:cs="Arial" w:eastAsia="Arial" w:hAnsi="Arial"/>
          <w:sz w:val="18"/>
          <w:szCs w:val="18"/>
          <w:color w:val="auto"/>
        </w:rPr>
        <w:t xml:space="preserve"> </w:t>
      </w:r>
      <w:r>
        <w:rPr>
          <w:rFonts w:ascii="Arial" w:cs="Arial" w:eastAsia="Arial" w:hAnsi="Arial"/>
          <w:sz w:val="18"/>
          <w:szCs w:val="18"/>
          <w:color w:val="232323"/>
        </w:rPr>
        <w:t>dose of pressurized metered-dose inhaler (“pMDI”) formulation of ensifentrine in a Phase 2 clinical trial in patients with moderate to severe chronic obstructive pulmonary disease (“COPD”) (the “Trial Announcement”). The Trial Announcement is furnished herewith as Exhibit 1.1 to this Report on Form 6-K.</w:t>
      </w:r>
    </w:p>
    <w:p>
      <w:pPr>
        <w:spacing w:after="0" w:line="1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In the Trial Announcement, the Company reported that </w:t>
      </w:r>
      <w:r>
        <w:rPr>
          <w:rFonts w:ascii="Arial" w:cs="Arial" w:eastAsia="Arial" w:hAnsi="Arial"/>
          <w:sz w:val="18"/>
          <w:szCs w:val="18"/>
          <w:color w:val="232323"/>
        </w:rPr>
        <w:t>results from the single dose part of the study (Part A) demonstrated a statistically</w:t>
      </w:r>
      <w:r>
        <w:rPr>
          <w:rFonts w:ascii="Arial" w:cs="Arial" w:eastAsia="Arial" w:hAnsi="Arial"/>
          <w:sz w:val="18"/>
          <w:szCs w:val="18"/>
          <w:color w:val="auto"/>
        </w:rPr>
        <w:t xml:space="preserve"> </w:t>
      </w:r>
      <w:r>
        <w:rPr>
          <w:rFonts w:ascii="Arial" w:cs="Arial" w:eastAsia="Arial" w:hAnsi="Arial"/>
          <w:sz w:val="18"/>
          <w:szCs w:val="18"/>
          <w:color w:val="232323"/>
        </w:rPr>
        <w:t>significant and clinically meaningful increase in lung function as measured by forced expiratory volume in one second (“FEV</w:t>
      </w:r>
      <w:r>
        <w:rPr>
          <w:rFonts w:ascii="Arial" w:cs="Arial" w:eastAsia="Arial" w:hAnsi="Arial"/>
          <w:sz w:val="21"/>
          <w:szCs w:val="21"/>
          <w:color w:val="232323"/>
          <w:vertAlign w:val="subscript"/>
        </w:rPr>
        <w:t>1</w:t>
      </w:r>
      <w:r>
        <w:rPr>
          <w:rFonts w:ascii="Arial" w:cs="Arial" w:eastAsia="Arial" w:hAnsi="Arial"/>
          <w:sz w:val="18"/>
          <w:szCs w:val="18"/>
          <w:color w:val="232323"/>
        </w:rPr>
        <w:t>”)</w:t>
      </w:r>
      <w:r>
        <w:rPr>
          <w:rFonts w:ascii="Arial" w:cs="Arial" w:eastAsia="Arial" w:hAnsi="Arial"/>
          <w:sz w:val="21"/>
          <w:szCs w:val="21"/>
          <w:color w:val="232323"/>
          <w:vertAlign w:val="superscript"/>
        </w:rPr>
        <w:t>1</w:t>
      </w:r>
      <w:r>
        <w:rPr>
          <w:rFonts w:ascii="Arial" w:cs="Arial" w:eastAsia="Arial" w:hAnsi="Arial"/>
          <w:sz w:val="18"/>
          <w:szCs w:val="18"/>
          <w:color w:val="232323"/>
        </w:rPr>
        <w:t xml:space="preserve"> compared to placebo.</w:t>
      </w:r>
    </w:p>
    <w:p>
      <w:pPr>
        <w:spacing w:after="0" w:line="136" w:lineRule="exact"/>
        <w:rPr>
          <w:sz w:val="20"/>
          <w:szCs w:val="20"/>
          <w:color w:val="auto"/>
        </w:rPr>
      </w:pPr>
    </w:p>
    <w:p>
      <w:pPr>
        <w:jc w:val="both"/>
        <w:ind w:right="260"/>
        <w:spacing w:after="0" w:line="307" w:lineRule="auto"/>
        <w:rPr>
          <w:sz w:val="20"/>
          <w:szCs w:val="20"/>
          <w:color w:val="auto"/>
        </w:rPr>
      </w:pPr>
      <w:r>
        <w:rPr>
          <w:rFonts w:ascii="Arial" w:cs="Arial" w:eastAsia="Arial" w:hAnsi="Arial"/>
          <w:sz w:val="17"/>
          <w:szCs w:val="17"/>
          <w:color w:val="232323"/>
        </w:rPr>
        <w:t>In the first part of the trial, 40 patients with moderate to severe COPD were randomized to receive a single dose of one out of five dosage strengths of ensifentrine: 100 µg</w:t>
      </w:r>
      <w:r>
        <w:rPr>
          <w:rFonts w:ascii="Arial" w:cs="Arial" w:eastAsia="Arial" w:hAnsi="Arial"/>
          <w:sz w:val="20"/>
          <w:szCs w:val="20"/>
          <w:color w:val="232323"/>
          <w:vertAlign w:val="superscript"/>
        </w:rPr>
        <w:t>2</w:t>
      </w:r>
      <w:r>
        <w:rPr>
          <w:rFonts w:ascii="Arial" w:cs="Arial" w:eastAsia="Arial" w:hAnsi="Arial"/>
          <w:sz w:val="17"/>
          <w:szCs w:val="17"/>
          <w:color w:val="232323"/>
        </w:rPr>
        <w:t>, 300 µg, 1000 µg, 3000 µg, 6000 µg or placebo. In these patients, the Company observed the following:</w:t>
      </w:r>
    </w:p>
    <w:p>
      <w:pPr>
        <w:spacing w:after="0" w:line="63" w:lineRule="exact"/>
        <w:rPr>
          <w:sz w:val="20"/>
          <w:szCs w:val="20"/>
          <w:color w:val="auto"/>
        </w:rPr>
      </w:pPr>
    </w:p>
    <w:p>
      <w:pPr>
        <w:ind w:left="660" w:right="200" w:hanging="328"/>
        <w:spacing w:after="0" w:line="30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232323"/>
        </w:rPr>
        <w:t>Improvements in peak 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corrected for placebo demonstrated a general dose response (ranging from 47 mL to 391 mL, p&lt;0.05 for doses 300 µg and above).</w:t>
      </w:r>
    </w:p>
    <w:p>
      <w:pPr>
        <w:spacing w:after="0" w:line="1" w:lineRule="exact"/>
        <w:rPr>
          <w:rFonts w:ascii="Arial" w:cs="Arial" w:eastAsia="Arial" w:hAnsi="Arial"/>
          <w:sz w:val="18"/>
          <w:szCs w:val="18"/>
          <w:color w:val="auto"/>
        </w:rPr>
      </w:pPr>
    </w:p>
    <w:p>
      <w:pPr>
        <w:ind w:left="660" w:right="120" w:hanging="328"/>
        <w:spacing w:after="0" w:line="32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232323"/>
        </w:rPr>
        <w:t>Improvements in average 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over 4 hours corrected for placebo also showed a general dose response (average 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AUC</w:t>
      </w:r>
      <w:r>
        <w:rPr>
          <w:rFonts w:ascii="Arial" w:cs="Arial" w:eastAsia="Arial" w:hAnsi="Arial"/>
          <w:sz w:val="21"/>
          <w:szCs w:val="21"/>
          <w:color w:val="232323"/>
          <w:vertAlign w:val="subscript"/>
        </w:rPr>
        <w:t>(0-4hr)</w:t>
      </w:r>
      <w:r>
        <w:rPr>
          <w:rFonts w:ascii="Arial" w:cs="Arial" w:eastAsia="Arial" w:hAnsi="Arial"/>
          <w:sz w:val="21"/>
          <w:szCs w:val="21"/>
          <w:color w:val="232323"/>
          <w:vertAlign w:val="superscript"/>
        </w:rPr>
        <w:t>3</w:t>
      </w:r>
      <w:r>
        <w:rPr>
          <w:rFonts w:ascii="Arial" w:cs="Arial" w:eastAsia="Arial" w:hAnsi="Arial"/>
          <w:sz w:val="18"/>
          <w:szCs w:val="18"/>
          <w:color w:val="232323"/>
        </w:rPr>
        <w:t>: ranging from 69 mL to 345 mL, p&lt;0.05 for doses 300 µg and above).</w:t>
      </w:r>
    </w:p>
    <w:p>
      <w:pPr>
        <w:spacing w:after="0" w:line="1" w:lineRule="exact"/>
        <w:rPr>
          <w:rFonts w:ascii="Arial" w:cs="Arial" w:eastAsia="Arial" w:hAnsi="Arial"/>
          <w:sz w:val="18"/>
          <w:szCs w:val="18"/>
          <w:color w:val="auto"/>
        </w:rPr>
      </w:pPr>
    </w:p>
    <w:p>
      <w:pPr>
        <w:ind w:left="660" w:right="260" w:hanging="328"/>
        <w:spacing w:after="0" w:line="32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232323"/>
        </w:rPr>
        <w:t>Improvements in average 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over 12 hours corrected for placebo also showed a dose response and demonstrated durability of effect over the dosing interval (average 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AUC</w:t>
      </w:r>
      <w:r>
        <w:rPr>
          <w:rFonts w:ascii="Arial" w:cs="Arial" w:eastAsia="Arial" w:hAnsi="Arial"/>
          <w:sz w:val="21"/>
          <w:szCs w:val="21"/>
          <w:color w:val="232323"/>
          <w:vertAlign w:val="subscript"/>
        </w:rPr>
        <w:t>(0-12hr</w:t>
      </w:r>
      <w:r>
        <w:rPr>
          <w:rFonts w:ascii="Arial" w:cs="Arial" w:eastAsia="Arial" w:hAnsi="Arial"/>
          <w:sz w:val="21"/>
          <w:szCs w:val="21"/>
          <w:color w:val="232323"/>
          <w:vertAlign w:val="superscript"/>
        </w:rPr>
        <w:t>4</w:t>
      </w:r>
      <w:r>
        <w:rPr>
          <w:rFonts w:ascii="Arial" w:cs="Arial" w:eastAsia="Arial" w:hAnsi="Arial"/>
          <w:sz w:val="21"/>
          <w:szCs w:val="21"/>
          <w:color w:val="232323"/>
          <w:vertAlign w:val="subscript"/>
        </w:rPr>
        <w:t>)</w:t>
      </w:r>
      <w:r>
        <w:rPr>
          <w:rFonts w:ascii="Arial" w:cs="Arial" w:eastAsia="Arial" w:hAnsi="Arial"/>
          <w:sz w:val="18"/>
          <w:szCs w:val="18"/>
          <w:color w:val="232323"/>
        </w:rPr>
        <w:t>: ranging from 48 mL to 222 mL, p&lt;0.05 for doses 3000 µg and above), supporting twice-daily dosing.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232323"/>
        </w:rPr>
        <w:t>Ensifentrine pMDI formulation was well tolerated at each dose with an adverse event profile similar to placebo.</w:t>
      </w:r>
    </w:p>
    <w:p>
      <w:pPr>
        <w:spacing w:after="0" w:line="2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232323"/>
        </w:rPr>
        <w:t>With these results and those observed in previous Phase 2 clinical trials, ensifentrine has demonstrated statistically significant and clinically meaningful improvements in lung function in COPD patients when delivered via any of the three widely used inhaled modes: nebulizer, dry powder inhaler (“DPI”) and pMDI.</w:t>
      </w:r>
    </w:p>
    <w:p>
      <w:pPr>
        <w:spacing w:after="0" w:line="323" w:lineRule="exact"/>
        <w:rPr>
          <w:sz w:val="20"/>
          <w:szCs w:val="20"/>
          <w:color w:val="auto"/>
        </w:rPr>
      </w:pPr>
    </w:p>
    <w:p>
      <w:pPr>
        <w:spacing w:after="0" w:line="254" w:lineRule="auto"/>
        <w:rPr>
          <w:sz w:val="20"/>
          <w:szCs w:val="20"/>
          <w:color w:val="auto"/>
        </w:rPr>
      </w:pPr>
      <w:r>
        <w:rPr>
          <w:rFonts w:ascii="Arial" w:cs="Arial" w:eastAsia="Arial" w:hAnsi="Arial"/>
          <w:sz w:val="18"/>
          <w:szCs w:val="18"/>
          <w:color w:val="232323"/>
        </w:rPr>
        <w:t>The positive data support initiation of the second, multiple dose, part of the study (Part B), which will evaluate the pMDI formulation in this patient population over 7 days of twice daily treatment. The Company has decided to postpone the initiation of Part B due to concerns regarding the safety of trial subjects, caregivers and medical staff during the COVID-19 pandemic. The Company will continue to monitor this evolving situation and expects to provide an updated timeline for the start of Part B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0" w:hanging="92"/>
        <w:spacing w:after="0"/>
        <w:tabs>
          <w:tab w:leader="none" w:pos="100" w:val="left"/>
        </w:tabs>
        <w:numPr>
          <w:ilvl w:val="0"/>
          <w:numId w:val="2"/>
        </w:numPr>
        <w:rPr>
          <w:rFonts w:ascii="Arial" w:cs="Arial" w:eastAsia="Arial" w:hAnsi="Arial"/>
          <w:sz w:val="22"/>
          <w:szCs w:val="22"/>
          <w:color w:val="232323"/>
          <w:vertAlign w:val="superscript"/>
        </w:rPr>
      </w:pPr>
      <w:r>
        <w:rPr>
          <w:rFonts w:ascii="Arial" w:cs="Arial" w:eastAsia="Arial" w:hAnsi="Arial"/>
          <w:sz w:val="18"/>
          <w:szCs w:val="18"/>
          <w:color w:val="232323"/>
        </w:rPr>
        <w:t>FEV</w:t>
      </w:r>
      <w:r>
        <w:rPr>
          <w:rFonts w:ascii="Arial" w:cs="Arial" w:eastAsia="Arial" w:hAnsi="Arial"/>
          <w:sz w:val="21"/>
          <w:szCs w:val="21"/>
          <w:color w:val="232323"/>
          <w:vertAlign w:val="subscript"/>
        </w:rPr>
        <w:t>1</w:t>
      </w:r>
      <w:r>
        <w:rPr>
          <w:rFonts w:ascii="Arial" w:cs="Arial" w:eastAsia="Arial" w:hAnsi="Arial"/>
          <w:sz w:val="18"/>
          <w:szCs w:val="18"/>
          <w:color w:val="232323"/>
        </w:rPr>
        <w:t>: Forced Expiratory Volume in one second, a standard measure of lung function</w:t>
      </w:r>
    </w:p>
    <w:p>
      <w:pPr>
        <w:spacing w:after="0" w:line="116" w:lineRule="exact"/>
        <w:rPr>
          <w:sz w:val="20"/>
          <w:szCs w:val="20"/>
          <w:color w:val="auto"/>
        </w:rPr>
      </w:pPr>
    </w:p>
    <w:p>
      <w:pPr>
        <w:ind w:left="100" w:hanging="92"/>
        <w:spacing w:after="0"/>
        <w:tabs>
          <w:tab w:leader="none" w:pos="100" w:val="left"/>
        </w:tabs>
        <w:numPr>
          <w:ilvl w:val="0"/>
          <w:numId w:val="3"/>
        </w:numPr>
        <w:rPr>
          <w:rFonts w:ascii="Arial" w:cs="Arial" w:eastAsia="Arial" w:hAnsi="Arial"/>
          <w:sz w:val="22"/>
          <w:szCs w:val="22"/>
          <w:color w:val="232323"/>
          <w:vertAlign w:val="superscript"/>
        </w:rPr>
      </w:pPr>
      <w:r>
        <w:rPr>
          <w:rFonts w:ascii="Arial" w:cs="Arial" w:eastAsia="Arial" w:hAnsi="Arial"/>
          <w:sz w:val="18"/>
          <w:szCs w:val="18"/>
          <w:color w:val="232323"/>
        </w:rPr>
        <w:t>µg: microgram, or mcg</w:t>
      </w:r>
    </w:p>
    <w:p>
      <w:pPr>
        <w:spacing w:after="0" w:line="80" w:lineRule="exact"/>
        <w:rPr>
          <w:sz w:val="20"/>
          <w:szCs w:val="20"/>
          <w:color w:val="auto"/>
        </w:rPr>
      </w:pPr>
    </w:p>
    <w:p>
      <w:pPr>
        <w:ind w:right="80" w:firstLine="8"/>
        <w:spacing w:after="0" w:line="271" w:lineRule="auto"/>
        <w:tabs>
          <w:tab w:leader="none" w:pos="90" w:val="left"/>
        </w:tabs>
        <w:numPr>
          <w:ilvl w:val="0"/>
          <w:numId w:val="4"/>
        </w:numPr>
        <w:rPr>
          <w:rFonts w:ascii="Arial" w:cs="Arial" w:eastAsia="Arial" w:hAnsi="Arial"/>
          <w:sz w:val="22"/>
          <w:szCs w:val="22"/>
          <w:color w:val="232323"/>
          <w:vertAlign w:val="superscript"/>
        </w:rPr>
      </w:pPr>
      <w:r>
        <w:rPr>
          <w:rFonts w:ascii="Arial" w:cs="Arial" w:eastAsia="Arial" w:hAnsi="Arial"/>
          <w:sz w:val="18"/>
          <w:szCs w:val="18"/>
          <w:color w:val="232323"/>
        </w:rPr>
        <w:t>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AUC</w:t>
      </w:r>
      <w:r>
        <w:rPr>
          <w:rFonts w:ascii="Arial" w:cs="Arial" w:eastAsia="Arial" w:hAnsi="Arial"/>
          <w:sz w:val="21"/>
          <w:szCs w:val="21"/>
          <w:color w:val="232323"/>
          <w:vertAlign w:val="subscript"/>
        </w:rPr>
        <w:t>(0-4hr)</w:t>
      </w:r>
      <w:r>
        <w:rPr>
          <w:rFonts w:ascii="Arial" w:cs="Arial" w:eastAsia="Arial" w:hAnsi="Arial"/>
          <w:sz w:val="18"/>
          <w:szCs w:val="18"/>
          <w:color w:val="232323"/>
        </w:rPr>
        <w:t>: Area Under the Curve 0-4 hours calculated using the trapezoidal rule, divided by the observation time (4 hours) to report in mL, a measure of the aggregate effect over 4 hours</w:t>
      </w:r>
    </w:p>
    <w:p>
      <w:pPr>
        <w:spacing w:after="0" w:line="48" w:lineRule="exact"/>
        <w:rPr>
          <w:sz w:val="20"/>
          <w:szCs w:val="20"/>
          <w:color w:val="auto"/>
        </w:rPr>
      </w:pPr>
    </w:p>
    <w:p>
      <w:pPr>
        <w:ind w:firstLine="8"/>
        <w:spacing w:after="0" w:line="271" w:lineRule="auto"/>
        <w:tabs>
          <w:tab w:leader="none" w:pos="110" w:val="left"/>
        </w:tabs>
        <w:numPr>
          <w:ilvl w:val="0"/>
          <w:numId w:val="5"/>
        </w:numPr>
        <w:rPr>
          <w:rFonts w:ascii="Arial" w:cs="Arial" w:eastAsia="Arial" w:hAnsi="Arial"/>
          <w:sz w:val="22"/>
          <w:szCs w:val="22"/>
          <w:color w:val="232323"/>
          <w:vertAlign w:val="superscript"/>
        </w:rPr>
      </w:pPr>
      <w:r>
        <w:rPr>
          <w:rFonts w:ascii="Arial" w:cs="Arial" w:eastAsia="Arial" w:hAnsi="Arial"/>
          <w:sz w:val="18"/>
          <w:szCs w:val="18"/>
          <w:color w:val="232323"/>
        </w:rPr>
        <w:t>FEV</w:t>
      </w:r>
      <w:r>
        <w:rPr>
          <w:rFonts w:ascii="Arial" w:cs="Arial" w:eastAsia="Arial" w:hAnsi="Arial"/>
          <w:sz w:val="21"/>
          <w:szCs w:val="21"/>
          <w:color w:val="232323"/>
          <w:vertAlign w:val="subscript"/>
        </w:rPr>
        <w:t>1</w:t>
      </w:r>
      <w:r>
        <w:rPr>
          <w:rFonts w:ascii="Arial" w:cs="Arial" w:eastAsia="Arial" w:hAnsi="Arial"/>
          <w:sz w:val="18"/>
          <w:szCs w:val="18"/>
          <w:color w:val="232323"/>
        </w:rPr>
        <w:t xml:space="preserve"> AUC</w:t>
      </w:r>
      <w:r>
        <w:rPr>
          <w:rFonts w:ascii="Arial" w:cs="Arial" w:eastAsia="Arial" w:hAnsi="Arial"/>
          <w:sz w:val="21"/>
          <w:szCs w:val="21"/>
          <w:color w:val="232323"/>
          <w:vertAlign w:val="subscript"/>
        </w:rPr>
        <w:t>(0-12hr)</w:t>
      </w:r>
      <w:r>
        <w:rPr>
          <w:rFonts w:ascii="Arial" w:cs="Arial" w:eastAsia="Arial" w:hAnsi="Arial"/>
          <w:sz w:val="18"/>
          <w:szCs w:val="18"/>
          <w:color w:val="232323"/>
        </w:rPr>
        <w:t>: Area Under the Curve 0-12 hours calculated using the trapezoidal rule, divided by the observation time (12 hours) to report in mL, a measure of the aggregate effect over 12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371" w:lineRule="auto"/>
        <w:rPr>
          <w:sz w:val="20"/>
          <w:szCs w:val="20"/>
          <w:color w:val="auto"/>
        </w:rPr>
      </w:pPr>
      <w:r>
        <w:rPr>
          <w:rFonts w:ascii="Arial" w:cs="Arial" w:eastAsia="Arial" w:hAnsi="Arial"/>
          <w:sz w:val="18"/>
          <w:szCs w:val="18"/>
          <w:color w:val="auto"/>
        </w:rPr>
        <w:t>This report on Form 6-K, excluding Exhibit 1.1, is hereby incorporated by reference into the Company's Registration Statement on Form F-3 (File No. 333-225107) and Registration Statement on Form S-8 (File No. 333-217521).</w:t>
      </w:r>
    </w:p>
    <w:p>
      <w:pPr>
        <w:sectPr>
          <w:pgSz w:w="11900" w:h="16838" w:orient="portrait"/>
          <w:cols w:equalWidth="0" w:num="1">
            <w:col w:w="11180"/>
          </w:cols>
          <w:pgMar w:left="320" w:top="549"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This Report on Form 6-K (the “Report”) contains forward-looking statements. All statements contained in this Report that do not relate to matters of historical fact should be considered forward-looking statements, including, but not limited to, the development of ensifentrine, the progress and timing of clinical trials, data and meetings with the FDA, the impact of the COVID-19 pandemic on clinical trials and operations and expectations surrounding future guidance.</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ability to retain our key personnel and recruit additional qualified personnel, as well as the impact of our management team transition;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and our vulnerability to natural disasters, global economic factors and other unexpected events, including health epidemics or pandemics like the novel coronavirus (COVID-19). These and other important factors under the caption “Risk Factors” in our Annual Report on Form 20-F filed with the Securities and Exchange Commission (“SEC”) on February 27, 2020, and our other reports filed with the SEC, could cause actual results to differ materially from those indicated by the forward-looking statements made in this Report. Any such forward-looking statements represent management's estimates as of the date of this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Exhibit</w:t>
            </w:r>
          </w:p>
        </w:tc>
        <w:tc>
          <w:tcPr>
            <w:tcW w:w="9420" w:type="dxa"/>
            <w:vAlign w:val="bottom"/>
          </w:tcPr>
          <w:p>
            <w:pPr>
              <w:spacing w:after="0"/>
              <w:rPr>
                <w:sz w:val="18"/>
                <w:szCs w:val="18"/>
                <w:color w:val="auto"/>
              </w:rPr>
            </w:pPr>
          </w:p>
        </w:tc>
      </w:tr>
      <w:tr>
        <w:trPr>
          <w:trHeight w:val="237"/>
        </w:trPr>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w:t>
            </w:r>
          </w:p>
        </w:tc>
        <w:tc>
          <w:tcPr>
            <w:tcW w:w="9420" w:type="dxa"/>
            <w:vAlign w:val="bottom"/>
          </w:tcPr>
          <w:p>
            <w:pPr>
              <w:ind w:left="4260"/>
              <w:spacing w:after="0"/>
              <w:rPr>
                <w:sz w:val="20"/>
                <w:szCs w:val="20"/>
                <w:color w:val="auto"/>
              </w:rPr>
            </w:pPr>
            <w:r>
              <w:rPr>
                <w:rFonts w:ascii="Arial" w:cs="Arial" w:eastAsia="Arial" w:hAnsi="Arial"/>
                <w:sz w:val="18"/>
                <w:szCs w:val="18"/>
                <w:color w:val="auto"/>
              </w:rPr>
              <w:t>Description</w:t>
            </w:r>
          </w:p>
        </w:tc>
      </w:tr>
      <w:tr>
        <w:trPr>
          <w:trHeight w:val="419"/>
        </w:trPr>
        <w:tc>
          <w:tcPr>
            <w:tcW w:w="1580" w:type="dxa"/>
            <w:vAlign w:val="bottom"/>
            <w:tcBorders>
              <w:top w:val="single" w:sz="8" w:color="auto"/>
            </w:tcBorders>
          </w:tcPr>
          <w:p>
            <w:pPr>
              <w:jc w:val="right"/>
              <w:ind w:right="121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1.1</w:t>
              </w:r>
            </w:hyperlink>
          </w:p>
        </w:tc>
        <w:tc>
          <w:tcPr>
            <w:tcW w:w="240" w:type="dxa"/>
            <w:vAlign w:val="bottom"/>
          </w:tcPr>
          <w:p>
            <w:pPr>
              <w:spacing w:after="0"/>
              <w:rPr>
                <w:sz w:val="24"/>
                <w:szCs w:val="24"/>
                <w:color w:val="auto"/>
              </w:rPr>
            </w:pPr>
          </w:p>
        </w:tc>
        <w:tc>
          <w:tcPr>
            <w:tcW w:w="94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Trial Announcement</w:t>
              </w:r>
            </w:hyperlink>
          </w:p>
        </w:tc>
      </w:tr>
    </w:tbl>
    <w:p>
      <w:pPr>
        <w:sectPr>
          <w:pgSz w:w="11900" w:h="16838" w:orient="portrait"/>
          <w:cols w:equalWidth="0" w:num="1">
            <w:col w:w="11240"/>
          </w:cols>
          <w:pgMar w:left="320" w:top="549"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080" w:type="dxa"/>
        <w:tblCellMar>
          <w:top w:w="0" w:type="dxa"/>
          <w:left w:w="0" w:type="dxa"/>
          <w:bottom w:w="0" w:type="dxa"/>
          <w:right w:w="0" w:type="dxa"/>
        </w:tblCellMar>
      </w:tblPr>
      <w:tr>
        <w:trPr>
          <w:trHeight w:val="224"/>
        </w:trPr>
        <w:tc>
          <w:tcPr>
            <w:tcW w:w="2480" w:type="dxa"/>
            <w:vAlign w:val="bottom"/>
          </w:tcPr>
          <w:p>
            <w:pPr>
              <w:spacing w:after="0"/>
              <w:rPr>
                <w:sz w:val="20"/>
                <w:szCs w:val="20"/>
                <w:color w:val="auto"/>
              </w:rPr>
            </w:pPr>
            <w:r>
              <w:rPr>
                <w:rFonts w:ascii="Arial" w:cs="Arial" w:eastAsia="Arial" w:hAnsi="Arial"/>
                <w:sz w:val="18"/>
                <w:szCs w:val="18"/>
                <w:color w:val="auto"/>
              </w:rPr>
              <w:t>Date: April 6, 2020</w:t>
            </w:r>
          </w:p>
        </w:tc>
        <w:tc>
          <w:tcPr>
            <w:tcW w:w="1600" w:type="dxa"/>
            <w:vAlign w:val="bottom"/>
          </w:tcPr>
          <w:p>
            <w:pPr>
              <w:ind w:left="98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Claire Poll</w:t>
            </w:r>
          </w:p>
        </w:tc>
        <w:tc>
          <w:tcPr>
            <w:tcW w:w="3760" w:type="dxa"/>
            <w:vAlign w:val="bottom"/>
            <w:tcBorders>
              <w:bottom w:val="single" w:sz="8" w:color="auto"/>
            </w:tcBorders>
          </w:tcPr>
          <w:p>
            <w:pPr>
              <w:spacing w:after="0"/>
              <w:rPr>
                <w:sz w:val="19"/>
                <w:szCs w:val="19"/>
                <w:color w:val="auto"/>
              </w:rPr>
            </w:pPr>
          </w:p>
        </w:tc>
      </w:tr>
      <w:tr>
        <w:trPr>
          <w:trHeight w:val="243"/>
        </w:trPr>
        <w:tc>
          <w:tcPr>
            <w:tcW w:w="2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Name:</w:t>
            </w:r>
          </w:p>
        </w:tc>
        <w:tc>
          <w:tcPr>
            <w:tcW w:w="3760" w:type="dxa"/>
            <w:vAlign w:val="bottom"/>
          </w:tcPr>
          <w:p>
            <w:pPr>
              <w:ind w:left="140"/>
              <w:spacing w:after="0"/>
              <w:rPr>
                <w:sz w:val="20"/>
                <w:szCs w:val="20"/>
                <w:color w:val="auto"/>
              </w:rPr>
            </w:pPr>
            <w:r>
              <w:rPr>
                <w:rFonts w:ascii="Arial" w:cs="Arial" w:eastAsia="Arial" w:hAnsi="Arial"/>
                <w:sz w:val="18"/>
                <w:szCs w:val="18"/>
                <w:color w:val="auto"/>
              </w:rPr>
              <w:t>Claire Poll</w:t>
            </w:r>
          </w:p>
        </w:tc>
      </w:tr>
      <w:tr>
        <w:trPr>
          <w:trHeight w:val="270"/>
        </w:trPr>
        <w:tc>
          <w:tcPr>
            <w:tcW w:w="2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Title:</w:t>
            </w:r>
          </w:p>
        </w:tc>
        <w:tc>
          <w:tcPr>
            <w:tcW w:w="3760" w:type="dxa"/>
            <w:vAlign w:val="bottom"/>
          </w:tcPr>
          <w:p>
            <w:pPr>
              <w:ind w:left="14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549" w:right="459" w:bottom="1440" w:gutter="0" w:footer="0" w:header="0"/>
        </w:sectPr>
      </w:pPr>
    </w:p>
    <w:bookmarkStart w:id="4" w:name="page5"/>
    <w:bookmarkEnd w:id="4"/>
    <w:p>
      <w:pPr>
        <w:jc w:val="center"/>
        <w:ind w:left="340" w:right="20"/>
        <w:spacing w:after="0" w:line="288" w:lineRule="auto"/>
        <w:rPr>
          <w:sz w:val="20"/>
          <w:szCs w:val="20"/>
          <w:color w:val="auto"/>
        </w:rPr>
      </w:pPr>
      <w:r>
        <w:rPr>
          <w:rFonts w:ascii="Arial" w:cs="Arial" w:eastAsia="Arial" w:hAnsi="Arial"/>
          <w:sz w:val="25"/>
          <w:szCs w:val="25"/>
          <w:b w:val="1"/>
          <w:bCs w:val="1"/>
          <w:color w:val="auto"/>
        </w:rPr>
        <w:t>Verona Pharma Reports Positive Efficacy and Safety Data with Single Dose pMDI Formulation of Ensifentrine in COPD</w:t>
      </w:r>
    </w:p>
    <w:p>
      <w:pPr>
        <w:spacing w:after="0" w:line="136" w:lineRule="exact"/>
        <w:rPr>
          <w:sz w:val="20"/>
          <w:szCs w:val="20"/>
          <w:color w:val="auto"/>
        </w:rPr>
      </w:pPr>
    </w:p>
    <w:p>
      <w:pPr>
        <w:ind w:left="1900"/>
        <w:spacing w:after="0"/>
        <w:rPr>
          <w:sz w:val="20"/>
          <w:szCs w:val="20"/>
          <w:color w:val="auto"/>
        </w:rPr>
      </w:pPr>
      <w:r>
        <w:rPr>
          <w:rFonts w:ascii="Arial" w:cs="Arial" w:eastAsia="Arial" w:hAnsi="Arial"/>
          <w:sz w:val="22"/>
          <w:szCs w:val="22"/>
          <w:i w:val="1"/>
          <w:iCs w:val="1"/>
          <w:color w:val="auto"/>
        </w:rPr>
        <w:t>Statistically significant and clinically meaningful improvements in lung function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Ensifentrine has now demonstrated positive efficacy and safety in COPD patients via three widely used inhalation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modes: nebulizer, DPI and pMDI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Initiation of multiple dose part of pMDI trial postponed due to the COVID-19 situation</w:t>
      </w: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LONDON, March 31, 2020 </w:t>
      </w:r>
      <w:r>
        <w:rPr>
          <w:rFonts w:ascii="Arial" w:cs="Arial" w:eastAsia="Arial" w:hAnsi="Arial"/>
          <w:sz w:val="20"/>
          <w:szCs w:val="20"/>
          <w:color w:val="auto"/>
        </w:rPr>
        <w:t>- Verona Pharma plc (AIM: VRP) (Nasdaq: VRNA) (“Verona Pharma”),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respiratory diseases, announces positive efficacy and safety data with a single dose of pressurized metered-dose inhaler (“pMDI”) formulation of ensifentrine in a Phase 2 clinical trial in patients with moderate to severe chronic obstructive pulmonary disease (“COPD”). Results from the single dose part of the study (Part A) demonstrated a statistically significant and clinically meaningful increase in lung function as measured by forced expiratory volume in one second (“FEV</w:t>
      </w:r>
      <w:r>
        <w:rPr>
          <w:rFonts w:ascii="Arial" w:cs="Arial" w:eastAsia="Arial" w:hAnsi="Arial"/>
          <w:sz w:val="12"/>
          <w:szCs w:val="12"/>
          <w:color w:val="auto"/>
        </w:rPr>
        <w:t>1</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compared to placebo.</w:t>
      </w:r>
    </w:p>
    <w:p>
      <w:pPr>
        <w:spacing w:after="0" w:line="1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In the first part of the trial, 40 patients with moderate to severe COPD were randomized to receive a single dose of one out of five dosage strengths of ensifentrine: 100 µg</w:t>
      </w:r>
      <w:r>
        <w:rPr>
          <w:rFonts w:ascii="Arial" w:cs="Arial" w:eastAsia="Arial" w:hAnsi="Arial"/>
          <w:sz w:val="25"/>
          <w:szCs w:val="25"/>
          <w:color w:val="auto"/>
          <w:vertAlign w:val="superscript"/>
        </w:rPr>
        <w:t>2</w:t>
      </w:r>
      <w:r>
        <w:rPr>
          <w:rFonts w:ascii="Arial" w:cs="Arial" w:eastAsia="Arial" w:hAnsi="Arial"/>
          <w:sz w:val="20"/>
          <w:szCs w:val="20"/>
          <w:color w:val="auto"/>
        </w:rPr>
        <w:t>, 300 µg, 1000 µg, 3000 µg, 6000 µg or placebo. In these patients, we observed the following:</w:t>
      </w:r>
    </w:p>
    <w:p>
      <w:pPr>
        <w:spacing w:after="0" w:line="102" w:lineRule="exact"/>
        <w:rPr>
          <w:sz w:val="20"/>
          <w:szCs w:val="20"/>
          <w:color w:val="auto"/>
        </w:rPr>
      </w:pPr>
    </w:p>
    <w:p>
      <w:pPr>
        <w:ind w:left="340" w:right="220" w:hanging="332"/>
        <w:spacing w:after="0" w:line="23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Improvements in peak FEV</w:t>
      </w:r>
      <w:r>
        <w:rPr>
          <w:rFonts w:ascii="Arial" w:cs="Arial" w:eastAsia="Arial" w:hAnsi="Arial"/>
          <w:sz w:val="12"/>
          <w:szCs w:val="12"/>
          <w:color w:val="auto"/>
        </w:rPr>
        <w:t>1</w:t>
      </w:r>
      <w:r>
        <w:rPr>
          <w:rFonts w:ascii="Arial" w:cs="Arial" w:eastAsia="Arial" w:hAnsi="Arial"/>
          <w:sz w:val="20"/>
          <w:szCs w:val="20"/>
          <w:color w:val="auto"/>
        </w:rPr>
        <w:t xml:space="preserve"> corrected for placebo demonstrated a general dose response (ranging from 47 mL to 391 mL, p&lt;0.05 for doses 300 µg and above).</w:t>
      </w:r>
    </w:p>
    <w:p>
      <w:pPr>
        <w:ind w:left="340" w:right="380" w:hanging="332"/>
        <w:spacing w:after="0" w:line="21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Improvements in average FEV</w:t>
      </w:r>
      <w:r>
        <w:rPr>
          <w:rFonts w:ascii="Arial" w:cs="Arial" w:eastAsia="Arial" w:hAnsi="Arial"/>
          <w:sz w:val="12"/>
          <w:szCs w:val="12"/>
          <w:color w:val="auto"/>
        </w:rPr>
        <w:t>1</w:t>
      </w:r>
      <w:r>
        <w:rPr>
          <w:rFonts w:ascii="Arial" w:cs="Arial" w:eastAsia="Arial" w:hAnsi="Arial"/>
          <w:sz w:val="20"/>
          <w:szCs w:val="20"/>
          <w:color w:val="auto"/>
        </w:rPr>
        <w:t xml:space="preserve"> over 4 hours corrected for placebo also showed a general dose response (average FEV</w:t>
      </w:r>
      <w:r>
        <w:rPr>
          <w:rFonts w:ascii="Arial" w:cs="Arial" w:eastAsia="Arial" w:hAnsi="Arial"/>
          <w:sz w:val="12"/>
          <w:szCs w:val="12"/>
          <w:color w:val="auto"/>
        </w:rPr>
        <w:t>1</w:t>
      </w:r>
      <w:r>
        <w:rPr>
          <w:rFonts w:ascii="Arial" w:cs="Arial" w:eastAsia="Arial" w:hAnsi="Arial"/>
          <w:sz w:val="20"/>
          <w:szCs w:val="20"/>
          <w:color w:val="auto"/>
        </w:rPr>
        <w:t xml:space="preserve"> AUC</w:t>
      </w:r>
      <w:r>
        <w:rPr>
          <w:rFonts w:ascii="Arial" w:cs="Arial" w:eastAsia="Arial" w:hAnsi="Arial"/>
          <w:sz w:val="12"/>
          <w:szCs w:val="12"/>
          <w:color w:val="auto"/>
        </w:rPr>
        <w:t>(0-4hr)</w:t>
      </w:r>
      <w:r>
        <w:rPr>
          <w:rFonts w:ascii="Arial" w:cs="Arial" w:eastAsia="Arial" w:hAnsi="Arial"/>
          <w:sz w:val="25"/>
          <w:szCs w:val="25"/>
          <w:color w:val="auto"/>
          <w:vertAlign w:val="superscript"/>
        </w:rPr>
        <w:t>3</w:t>
      </w:r>
      <w:r>
        <w:rPr>
          <w:rFonts w:ascii="Arial" w:cs="Arial" w:eastAsia="Arial" w:hAnsi="Arial"/>
          <w:sz w:val="20"/>
          <w:szCs w:val="20"/>
          <w:color w:val="auto"/>
        </w:rPr>
        <w:t>: ranging from 69 mL to 345 mL, p&lt;0.05 for doses 300 µg and above).</w:t>
      </w:r>
    </w:p>
    <w:p>
      <w:pPr>
        <w:spacing w:after="0" w:line="1" w:lineRule="exact"/>
        <w:rPr>
          <w:rFonts w:ascii="Arial" w:cs="Arial" w:eastAsia="Arial" w:hAnsi="Arial"/>
          <w:sz w:val="18"/>
          <w:szCs w:val="18"/>
          <w:color w:val="auto"/>
        </w:rPr>
      </w:pPr>
    </w:p>
    <w:p>
      <w:pPr>
        <w:ind w:left="340" w:right="100" w:hanging="332"/>
        <w:spacing w:after="0" w:line="22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Improvements in average FEV</w:t>
      </w:r>
      <w:r>
        <w:rPr>
          <w:rFonts w:ascii="Arial" w:cs="Arial" w:eastAsia="Arial" w:hAnsi="Arial"/>
          <w:sz w:val="12"/>
          <w:szCs w:val="12"/>
          <w:color w:val="auto"/>
        </w:rPr>
        <w:t>1</w:t>
      </w:r>
      <w:r>
        <w:rPr>
          <w:rFonts w:ascii="Arial" w:cs="Arial" w:eastAsia="Arial" w:hAnsi="Arial"/>
          <w:sz w:val="20"/>
          <w:szCs w:val="20"/>
          <w:color w:val="auto"/>
        </w:rPr>
        <w:t xml:space="preserve"> over 12 hours corrected for placebo also showed a dose response and demonstrated durability of effect over the dosing interval (average FEV</w:t>
      </w:r>
      <w:r>
        <w:rPr>
          <w:rFonts w:ascii="Arial" w:cs="Arial" w:eastAsia="Arial" w:hAnsi="Arial"/>
          <w:sz w:val="12"/>
          <w:szCs w:val="12"/>
          <w:color w:val="auto"/>
        </w:rPr>
        <w:t>1</w:t>
      </w:r>
      <w:r>
        <w:rPr>
          <w:rFonts w:ascii="Arial" w:cs="Arial" w:eastAsia="Arial" w:hAnsi="Arial"/>
          <w:sz w:val="20"/>
          <w:szCs w:val="20"/>
          <w:color w:val="auto"/>
        </w:rPr>
        <w:t xml:space="preserve"> AUC</w:t>
      </w:r>
      <w:r>
        <w:rPr>
          <w:rFonts w:ascii="Arial" w:cs="Arial" w:eastAsia="Arial" w:hAnsi="Arial"/>
          <w:sz w:val="12"/>
          <w:szCs w:val="12"/>
          <w:color w:val="auto"/>
        </w:rPr>
        <w:t>(0-12hr</w:t>
      </w:r>
      <w:r>
        <w:rPr>
          <w:rFonts w:ascii="Arial" w:cs="Arial" w:eastAsia="Arial" w:hAnsi="Arial"/>
          <w:sz w:val="25"/>
          <w:szCs w:val="25"/>
          <w:color w:val="auto"/>
          <w:vertAlign w:val="superscript"/>
        </w:rPr>
        <w:t>4</w:t>
      </w:r>
      <w:r>
        <w:rPr>
          <w:rFonts w:ascii="Arial" w:cs="Arial" w:eastAsia="Arial" w:hAnsi="Arial"/>
          <w:sz w:val="12"/>
          <w:szCs w:val="12"/>
          <w:color w:val="auto"/>
        </w:rPr>
        <w:t>)</w:t>
      </w:r>
      <w:r>
        <w:rPr>
          <w:rFonts w:ascii="Arial" w:cs="Arial" w:eastAsia="Arial" w:hAnsi="Arial"/>
          <w:sz w:val="20"/>
          <w:szCs w:val="20"/>
          <w:color w:val="auto"/>
        </w:rPr>
        <w:t>: ranging from 48 mL to 222 mL, p&lt;0.05 for doses 3000 µg and above), supporting twice-daily dosing.</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Ensifentrine pMDI formulation was well tolerated at each dose with an adverse event profile similar to placebo.</w:t>
      </w:r>
    </w:p>
    <w:p>
      <w:pPr>
        <w:jc w:val="both"/>
        <w:spacing w:after="0" w:line="258" w:lineRule="auto"/>
        <w:rPr>
          <w:sz w:val="20"/>
          <w:szCs w:val="20"/>
          <w:color w:val="auto"/>
        </w:rPr>
      </w:pPr>
      <w:r>
        <w:rPr>
          <w:rFonts w:ascii="Arial" w:cs="Arial" w:eastAsia="Arial" w:hAnsi="Arial"/>
          <w:sz w:val="19"/>
          <w:szCs w:val="19"/>
          <w:color w:val="auto"/>
        </w:rPr>
        <w:t>The positive data support initiation of the second, multiple dose, part of the study (Part B), which will evaluate the pMDI formulation in this patient population over 7 days of twice daily treatment. Verona Pharma has decided to postpone the initiation of Part B due to concerns regarding the safety of trial subjects, caregivers and medical staff during the COVID-19 pandemic. We will continue to monitor this evolving situation and will provide an updated timeline for the start of Part B at a later date.</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these results and those observed in previous Phase 2 clinical trials, ensifentrine has demonstrated statistically significant and clinically meaningful improvements in lung function in COPD patients when delivered via any of the three widely used inhaled modes: nebulizer, dry powder inhaler (“DPI”) and pMDI.</w:t>
      </w:r>
    </w:p>
    <w:p>
      <w:pPr>
        <w:sectPr>
          <w:pgSz w:w="11900" w:h="16838" w:orient="portrait"/>
          <w:cols w:equalWidth="0" w:num="1">
            <w:col w:w="11240"/>
          </w:cols>
          <w:pgMar w:left="320" w:top="1405" w:right="3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9"/>
          <w:szCs w:val="19"/>
          <w:color w:val="auto"/>
        </w:rPr>
        <w:t>David Zaccardelli, Pharm. D., President and CEO of Verona Pharma, said: “Across all three inhaled formulations, ensifentrine has demonstrated statistically significant and clinically meaningful lung function improvements and duration of action, supporting twice-daily dosing and a safety profile similar to placebo. The results from the single dose part of this pMDI study are very encouraging and essentially consistent with data from Phase 2 clinical trials with nebulized and DPI formulations of ensifentrine.”</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“Following the public health advice associated with COVID-19, we have postponed enrollment of Part B of our pMDI Phase 2 trial in COPD. Our planned End-of-Phase 2 meeting with the FDA is scheduled in the second quarter of 2020, and the initiation of our Phase 3 trials of nebulized ensifentrine is planned for later this year.”</w:t>
      </w:r>
    </w:p>
    <w:p>
      <w:pPr>
        <w:spacing w:after="0" w:line="9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 estimated 5.5 million people in the US use inhaled delivery, pMDI or DPI formulations delivered via handheld inhalers, for COPD maintenance treatment. Delivery of a pMDI formulation of ensifentrine may create new opportunities for using ensifentrine with existing inhaled medications. US sales of inhaled COPD maintenance medication were approximately $9 billion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0"/>
          <w:szCs w:val="20"/>
          <w:color w:val="auto"/>
        </w:rPr>
      </w:pPr>
    </w:p>
    <w:p>
      <w:pPr>
        <w:ind w:left="100" w:hanging="92"/>
        <w:spacing w:after="0"/>
        <w:tabs>
          <w:tab w:leader="none" w:pos="1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FEV</w:t>
      </w:r>
      <w:r>
        <w:rPr>
          <w:rFonts w:ascii="Arial" w:cs="Arial" w:eastAsia="Arial" w:hAnsi="Arial"/>
          <w:sz w:val="21"/>
          <w:szCs w:val="21"/>
          <w:color w:val="auto"/>
          <w:vertAlign w:val="subscript"/>
        </w:rPr>
        <w:t>1</w:t>
      </w:r>
      <w:r>
        <w:rPr>
          <w:rFonts w:ascii="Arial" w:cs="Arial" w:eastAsia="Arial" w:hAnsi="Arial"/>
          <w:sz w:val="16"/>
          <w:szCs w:val="16"/>
          <w:color w:val="auto"/>
        </w:rPr>
        <w:t>: Forced Expiratory Volume in one second, a standard measure of lung function</w:t>
      </w:r>
    </w:p>
    <w:p>
      <w:pPr>
        <w:spacing w:after="0" w:line="23"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µg: microgram, or mcg</w:t>
      </w:r>
    </w:p>
    <w:p>
      <w:pPr>
        <w:spacing w:after="0" w:line="26" w:lineRule="exact"/>
        <w:rPr>
          <w:rFonts w:ascii="Arial" w:cs="Arial" w:eastAsia="Arial" w:hAnsi="Arial"/>
          <w:sz w:val="22"/>
          <w:szCs w:val="22"/>
          <w:color w:val="auto"/>
          <w:vertAlign w:val="superscript"/>
        </w:rPr>
      </w:pPr>
    </w:p>
    <w:p>
      <w:pPr>
        <w:spacing w:after="0" w:line="301"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FEV</w:t>
      </w:r>
      <w:r>
        <w:rPr>
          <w:rFonts w:ascii="Arial" w:cs="Arial" w:eastAsia="Arial" w:hAnsi="Arial"/>
          <w:sz w:val="21"/>
          <w:szCs w:val="21"/>
          <w:color w:val="auto"/>
          <w:vertAlign w:val="subscript"/>
        </w:rPr>
        <w:t>1</w:t>
      </w:r>
      <w:r>
        <w:rPr>
          <w:rFonts w:ascii="Arial" w:cs="Arial" w:eastAsia="Arial" w:hAnsi="Arial"/>
          <w:sz w:val="16"/>
          <w:szCs w:val="16"/>
          <w:color w:val="auto"/>
        </w:rPr>
        <w:t xml:space="preserve"> AUC</w:t>
      </w:r>
      <w:r>
        <w:rPr>
          <w:rFonts w:ascii="Arial" w:cs="Arial" w:eastAsia="Arial" w:hAnsi="Arial"/>
          <w:sz w:val="21"/>
          <w:szCs w:val="21"/>
          <w:color w:val="auto"/>
          <w:vertAlign w:val="subscript"/>
        </w:rPr>
        <w:t>(0-4hr)</w:t>
      </w:r>
      <w:r>
        <w:rPr>
          <w:rFonts w:ascii="Arial" w:cs="Arial" w:eastAsia="Arial" w:hAnsi="Arial"/>
          <w:sz w:val="16"/>
          <w:szCs w:val="16"/>
          <w:color w:val="auto"/>
        </w:rPr>
        <w:t>: Area Under the Curve 0-4 hours calculated using the trapezoidal rule, divided by the observation time (4 hours) to report in mL, a measure of the aggregate effect over 4 hours</w:t>
      </w:r>
    </w:p>
    <w:p>
      <w:pPr>
        <w:spacing w:after="0" w:line="2" w:lineRule="exact"/>
        <w:rPr>
          <w:sz w:val="20"/>
          <w:szCs w:val="20"/>
          <w:color w:val="auto"/>
        </w:rPr>
      </w:pPr>
    </w:p>
    <w:p>
      <w:pPr>
        <w:ind w:firstLine="8"/>
        <w:spacing w:after="0" w:line="333" w:lineRule="auto"/>
        <w:tabs>
          <w:tab w:leader="none" w:pos="104"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FEV</w:t>
      </w:r>
      <w:r>
        <w:rPr>
          <w:rFonts w:ascii="Arial" w:cs="Arial" w:eastAsia="Arial" w:hAnsi="Arial"/>
          <w:sz w:val="21"/>
          <w:szCs w:val="21"/>
          <w:color w:val="auto"/>
          <w:vertAlign w:val="subscript"/>
        </w:rPr>
        <w:t>1</w:t>
      </w:r>
      <w:r>
        <w:rPr>
          <w:rFonts w:ascii="Arial" w:cs="Arial" w:eastAsia="Arial" w:hAnsi="Arial"/>
          <w:sz w:val="16"/>
          <w:szCs w:val="16"/>
          <w:color w:val="auto"/>
        </w:rPr>
        <w:t xml:space="preserve"> AUC</w:t>
      </w:r>
      <w:r>
        <w:rPr>
          <w:rFonts w:ascii="Arial" w:cs="Arial" w:eastAsia="Arial" w:hAnsi="Arial"/>
          <w:sz w:val="21"/>
          <w:szCs w:val="21"/>
          <w:color w:val="auto"/>
          <w:vertAlign w:val="subscript"/>
        </w:rPr>
        <w:t>(0-12hr)</w:t>
      </w:r>
      <w:r>
        <w:rPr>
          <w:rFonts w:ascii="Arial" w:cs="Arial" w:eastAsia="Arial" w:hAnsi="Arial"/>
          <w:sz w:val="16"/>
          <w:szCs w:val="16"/>
          <w:color w:val="auto"/>
        </w:rPr>
        <w:t>: Area Under the Curve 0-12 hours calculated using the trapezoidal rule, divided by the observation time (12 hours) to report in mL, a measure of the aggregate effect over 12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THIS ANNOUNCEMENT CONTAINS INSIDE INFORMATION FOR THE PURPOSES OF ARTICLE 7 OF REGULATION (EU) NO 596/2014.</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COPD</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total annual medical costs related to COPD are projected to rise to $49 billion in 2020. About 1.2 million US COPD patients on dual/triple inhaled therapy, long-acting beta-agonist (LABA)/long-acting muscarinic antagonist (LAMA) +/- inhaled corticosteroid (ICS) remain uncontrolled, experiencing symptoms that impair quality of life. These patients urgently need better treatments.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Nebulized ensifentrine (RPL554) has shown statistically significant and clinically meaningful improvements in both lung function and COPD symptoms, including breathlessness, in Verona Pharma’s prior Phase 2 clinical studies in patients with moderate to severe COPD. In addition, nebulized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ectPr>
          <w:pgSz w:w="11900" w:h="16838" w:orient="portrait"/>
          <w:cols w:equalWidth="0" w:num="1">
            <w:col w:w="11240"/>
          </w:cols>
          <w:pgMar w:left="320" w:top="56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Verona Pharma</w:t>
      </w:r>
    </w:p>
    <w:p>
      <w:pPr>
        <w:spacing w:after="0" w:line="2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become the first therapy approved for the treatment of respiratory diseases that combines bronchodilator and anti-inflammatory activities in one compound. Verona Pharma is currently evaluating three formulations of ensifentrine for the treatment of COPD in Phase 2 clinical trials: nebulized, dry powder inhaler, and pressurized metered-dose inhaler. Ensifentrine also has potential applications in cystic fibrosis, asthma and other respiratory diseases. For more information, please visit </w:t>
      </w:r>
      <w:r>
        <w:rPr>
          <w:rFonts w:ascii="Arial" w:cs="Arial" w:eastAsia="Arial" w:hAnsi="Arial"/>
          <w:sz w:val="20"/>
          <w:szCs w:val="20"/>
          <w:u w:val="single" w:color="auto"/>
          <w:color w:val="0563C1"/>
        </w:rPr>
        <w:t>www.veronapharma.com</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the development of ensifentrine, the progress and timing of clinical trials, data and meetings with the FDA, the potential for ensifentrine to become the first therapy approved for the treatment of respiratory diseases to combine bronchodilator and anti-inflammatory activities in one compound, the potential for ensifentrine, if approved, to have a significant impact on the treatment of COPD, estimates of market size for COPD, and the potential application of ensifentrine for the treatment of cystic fibrosis, asthma and other respiratory diseases.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ability to retain our key personnel and recruit additional qualified personnel, as well as the impact of our management team transition;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and our vulnerability to natural disasters, global economic factors and other unexpected events, including health epidemics or pandemics like the novel coronavirus (COVID-19). These and other important factors under the caption “Risk Factors” in our Annual Report on Form 20-F filed with the Securities and Exchange Commission (“SEC”) on February 27,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ectPr>
          <w:pgSz w:w="11900" w:h="16838" w:orient="portrait"/>
          <w:cols w:equalWidth="0" w:num="1">
            <w:col w:w="11240"/>
          </w:cols>
          <w:pgMar w:left="320" w:top="544"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For further information, please contact:</w:t>
      </w:r>
    </w:p>
    <w:p>
      <w:pPr>
        <w:sectPr>
          <w:pgSz w:w="11900" w:h="16838" w:orient="portrait"/>
          <w:cols w:equalWidth="0" w:num="1">
            <w:col w:w="10139"/>
          </w:cols>
          <w:pgMar w:left="320" w:top="544" w:right="1440" w:bottom="1440" w:gutter="0" w:footer="0" w:header="0"/>
        </w:sectPr>
      </w:pPr>
    </w:p>
    <w:p>
      <w:pPr>
        <w:spacing w:after="0" w:line="389"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Verona Pharma plc</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Tel: +44 (0)20 3283 4200</w:t>
      </w:r>
    </w:p>
    <w:p>
      <w:pPr>
        <w:spacing w:after="0" w:line="52" w:lineRule="exact"/>
        <w:rPr>
          <w:sz w:val="20"/>
          <w:szCs w:val="20"/>
          <w:color w:val="auto"/>
        </w:rPr>
      </w:pPr>
    </w:p>
    <w:p>
      <w:pPr>
        <w:sectPr>
          <w:pgSz w:w="11900" w:h="16838" w:orient="portrait"/>
          <w:cols w:equalWidth="0" w:num="2">
            <w:col w:w="6040" w:space="720"/>
            <w:col w:w="3379"/>
          </w:cols>
          <w:pgMar w:left="320" w:top="544" w:right="1440" w:bottom="1440" w:gutter="0" w:footer="0" w:header="0"/>
          <w:type w:val="continuous"/>
        </w:sectPr>
      </w:pPr>
    </w:p>
    <w:p>
      <w:pPr>
        <w:ind w:left="1560" w:right="540"/>
        <w:spacing w:after="0" w:line="317" w:lineRule="auto"/>
        <w:rPr>
          <w:sz w:val="20"/>
          <w:szCs w:val="20"/>
          <w:color w:val="auto"/>
        </w:rPr>
      </w:pPr>
      <w:r>
        <w:rPr>
          <w:rFonts w:ascii="Arial" w:cs="Arial" w:eastAsia="Arial" w:hAnsi="Arial"/>
          <w:sz w:val="19"/>
          <w:szCs w:val="19"/>
          <w:color w:val="auto"/>
        </w:rPr>
        <w:t>David Zaccardelli, Chief Executive Officer Victoria Stewart, Director of Communications</w:t>
      </w:r>
    </w:p>
    <w:p>
      <w:pPr>
        <w:spacing w:after="0" w:line="20" w:lineRule="exact"/>
        <w:rPr>
          <w:sz w:val="20"/>
          <w:szCs w:val="20"/>
          <w:color w:val="auto"/>
        </w:rPr>
      </w:pPr>
      <w:r>
        <w:rPr>
          <w:sz w:val="20"/>
          <w:szCs w:val="20"/>
          <w:color w:val="auto"/>
        </w:rPr>
        <w:br w:type="column"/>
      </w:r>
    </w:p>
    <w:p>
      <w:pPr>
        <w:jc w:val="center"/>
        <w:ind w:right="1159"/>
        <w:spacing w:after="0"/>
        <w:rPr>
          <w:sz w:val="20"/>
          <w:szCs w:val="20"/>
          <w:color w:val="auto"/>
        </w:rPr>
      </w:pPr>
      <w:r>
        <w:rPr>
          <w:rFonts w:ascii="Arial" w:cs="Arial" w:eastAsia="Arial" w:hAnsi="Arial"/>
          <w:sz w:val="19"/>
          <w:szCs w:val="19"/>
          <w:color w:val="auto"/>
        </w:rPr>
        <w:t>info@veronapharma.com</w:t>
      </w:r>
    </w:p>
    <w:p>
      <w:pPr>
        <w:spacing w:after="0" w:line="513" w:lineRule="exact"/>
        <w:rPr>
          <w:sz w:val="20"/>
          <w:szCs w:val="20"/>
          <w:color w:val="auto"/>
        </w:rPr>
      </w:pPr>
    </w:p>
    <w:p>
      <w:pPr>
        <w:sectPr>
          <w:pgSz w:w="11900" w:h="16838" w:orient="portrait"/>
          <w:cols w:equalWidth="0" w:num="2">
            <w:col w:w="6040" w:space="720"/>
            <w:col w:w="3379"/>
          </w:cols>
          <w:pgMar w:left="320" w:top="544" w:right="1440" w:bottom="1440" w:gutter="0" w:footer="0" w:header="0"/>
          <w:type w:val="continuous"/>
        </w:sectPr>
      </w:pPr>
    </w:p>
    <w:p>
      <w:pPr>
        <w:ind w:left="1560"/>
        <w:spacing w:after="0"/>
        <w:rPr>
          <w:sz w:val="20"/>
          <w:szCs w:val="20"/>
          <w:color w:val="auto"/>
        </w:rPr>
      </w:pPr>
      <w:r>
        <w:rPr>
          <w:rFonts w:ascii="Arial" w:cs="Arial" w:eastAsia="Arial" w:hAnsi="Arial"/>
          <w:sz w:val="20"/>
          <w:szCs w:val="20"/>
          <w:b w:val="1"/>
          <w:bCs w:val="1"/>
          <w:color w:val="auto"/>
        </w:rPr>
        <w:t>N+1 Singer</w:t>
      </w:r>
    </w:p>
    <w:p>
      <w:pPr>
        <w:spacing w:after="0" w:line="10" w:lineRule="exact"/>
        <w:rPr>
          <w:sz w:val="20"/>
          <w:szCs w:val="20"/>
          <w:color w:val="auto"/>
        </w:rPr>
      </w:pPr>
    </w:p>
    <w:p>
      <w:pPr>
        <w:ind w:left="1560"/>
        <w:spacing w:after="0"/>
        <w:tabs>
          <w:tab w:leader="none" w:pos="6740" w:val="left"/>
        </w:tabs>
        <w:rPr>
          <w:sz w:val="20"/>
          <w:szCs w:val="20"/>
          <w:color w:val="auto"/>
        </w:rPr>
      </w:pPr>
      <w:r>
        <w:rPr>
          <w:rFonts w:ascii="Arial" w:cs="Arial" w:eastAsia="Arial" w:hAnsi="Arial"/>
          <w:sz w:val="20"/>
          <w:szCs w:val="20"/>
          <w:color w:val="auto"/>
        </w:rPr>
        <w:t>(Nominated Adviser and UK Broker)</w:t>
      </w:r>
      <w:r>
        <w:rPr>
          <w:sz w:val="20"/>
          <w:szCs w:val="20"/>
          <w:color w:val="auto"/>
        </w:rPr>
        <w:tab/>
      </w:r>
      <w:r>
        <w:rPr>
          <w:rFonts w:ascii="Arial" w:cs="Arial" w:eastAsia="Arial" w:hAnsi="Arial"/>
          <w:sz w:val="19"/>
          <w:szCs w:val="19"/>
          <w:color w:val="auto"/>
        </w:rPr>
        <w:t>Tel: +44 (0)20 3283 4200</w:t>
      </w:r>
    </w:p>
    <w:p>
      <w:pPr>
        <w:spacing w:after="0" w:line="40" w:lineRule="exact"/>
        <w:rPr>
          <w:sz w:val="20"/>
          <w:szCs w:val="20"/>
          <w:color w:val="auto"/>
        </w:rPr>
      </w:pPr>
    </w:p>
    <w:p>
      <w:pPr>
        <w:ind w:left="1560" w:right="3459"/>
        <w:spacing w:after="0" w:line="236" w:lineRule="auto"/>
        <w:rPr>
          <w:sz w:val="20"/>
          <w:szCs w:val="20"/>
          <w:color w:val="auto"/>
        </w:rPr>
      </w:pPr>
      <w:r>
        <w:rPr>
          <w:rFonts w:ascii="Arial" w:cs="Arial" w:eastAsia="Arial" w:hAnsi="Arial"/>
          <w:sz w:val="20"/>
          <w:szCs w:val="20"/>
          <w:color w:val="auto"/>
        </w:rPr>
        <w:t>Aubrey Powell / George Tzimas / Iqra Amin (Corporate Finance)</w:t>
      </w:r>
    </w:p>
    <w:p>
      <w:pPr>
        <w:spacing w:after="0" w:line="34"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Tom Salvesen (Corporate Broking)</w:t>
      </w:r>
    </w:p>
    <w:p>
      <w:pPr>
        <w:sectPr>
          <w:pgSz w:w="11900" w:h="16838" w:orient="portrait"/>
          <w:cols w:equalWidth="0" w:num="1">
            <w:col w:w="10139"/>
          </w:cols>
          <w:pgMar w:left="320" w:top="544" w:right="1440" w:bottom="1440" w:gutter="0" w:footer="0" w:header="0"/>
          <w:type w:val="continuous"/>
        </w:sectPr>
      </w:pPr>
    </w:p>
    <w:p>
      <w:pPr>
        <w:spacing w:after="0" w:line="232" w:lineRule="exact"/>
        <w:rPr>
          <w:sz w:val="20"/>
          <w:szCs w:val="20"/>
          <w:color w:val="auto"/>
        </w:rPr>
      </w:pPr>
    </w:p>
    <w:p>
      <w:pPr>
        <w:ind w:left="1560" w:right="860"/>
        <w:spacing w:after="0" w:line="290" w:lineRule="auto"/>
        <w:rPr>
          <w:sz w:val="20"/>
          <w:szCs w:val="20"/>
          <w:color w:val="auto"/>
        </w:rPr>
      </w:pPr>
      <w:r>
        <w:rPr>
          <w:rFonts w:ascii="Arial" w:cs="Arial" w:eastAsia="Arial" w:hAnsi="Arial"/>
          <w:sz w:val="19"/>
          <w:szCs w:val="19"/>
          <w:b w:val="1"/>
          <w:bCs w:val="1"/>
          <w:color w:val="auto"/>
        </w:rPr>
        <w:t xml:space="preserve">Optimum Strategic Communications </w:t>
      </w:r>
      <w:r>
        <w:rPr>
          <w:rFonts w:ascii="Arial" w:cs="Arial" w:eastAsia="Arial" w:hAnsi="Arial"/>
          <w:sz w:val="19"/>
          <w:szCs w:val="19"/>
          <w:color w:val="auto"/>
        </w:rPr>
        <w:t>(European Media and Investor Enquiries) Mary Clark / Eva Haas / Hollie Vile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759"/>
        <w:spacing w:after="0" w:line="257" w:lineRule="auto"/>
        <w:rPr>
          <w:sz w:val="20"/>
          <w:szCs w:val="20"/>
          <w:color w:val="auto"/>
        </w:rPr>
      </w:pPr>
      <w:r>
        <w:rPr>
          <w:rFonts w:ascii="Arial" w:cs="Arial" w:eastAsia="Arial" w:hAnsi="Arial"/>
          <w:sz w:val="19"/>
          <w:szCs w:val="19"/>
          <w:color w:val="auto"/>
        </w:rPr>
        <w:t>Tel: +44 (0)20 950 9144 verona@optimumcomms.com</w:t>
      </w:r>
    </w:p>
    <w:p>
      <w:pPr>
        <w:spacing w:after="0" w:line="480" w:lineRule="exact"/>
        <w:rPr>
          <w:sz w:val="20"/>
          <w:szCs w:val="20"/>
          <w:color w:val="auto"/>
        </w:rPr>
      </w:pPr>
    </w:p>
    <w:p>
      <w:pPr>
        <w:sectPr>
          <w:pgSz w:w="11900" w:h="16838" w:orient="portrait"/>
          <w:cols w:equalWidth="0" w:num="2">
            <w:col w:w="6040" w:space="720"/>
            <w:col w:w="3379"/>
          </w:cols>
          <w:pgMar w:left="320" w:top="544" w:right="1440" w:bottom="1440" w:gutter="0" w:footer="0" w:header="0"/>
          <w:type w:val="continuous"/>
        </w:sectPr>
      </w:pPr>
    </w:p>
    <w:p>
      <w:pPr>
        <w:ind w:left="1560"/>
        <w:spacing w:after="0"/>
        <w:rPr>
          <w:sz w:val="20"/>
          <w:szCs w:val="20"/>
          <w:color w:val="auto"/>
        </w:rPr>
      </w:pPr>
      <w:r>
        <w:rPr>
          <w:rFonts w:ascii="Arial" w:cs="Arial" w:eastAsia="Arial" w:hAnsi="Arial"/>
          <w:sz w:val="20"/>
          <w:szCs w:val="20"/>
          <w:b w:val="1"/>
          <w:bCs w:val="1"/>
          <w:color w:val="auto"/>
        </w:rPr>
        <w:t>Argot Partners</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(US Investor Enquiries)</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Stephanie Marks / Kimberly Minarovich / Michael Barron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979"/>
        <w:spacing w:after="0" w:line="257" w:lineRule="auto"/>
        <w:rPr>
          <w:sz w:val="20"/>
          <w:szCs w:val="20"/>
          <w:color w:val="auto"/>
        </w:rPr>
      </w:pPr>
      <w:r>
        <w:rPr>
          <w:rFonts w:ascii="Arial" w:cs="Arial" w:eastAsia="Arial" w:hAnsi="Arial"/>
          <w:sz w:val="19"/>
          <w:szCs w:val="19"/>
          <w:color w:val="auto"/>
        </w:rPr>
        <w:t>Tel: +1 212-600-1902 verona@argotpartners.com</w:t>
      </w:r>
    </w:p>
    <w:sectPr>
      <w:pgSz w:w="11900" w:h="16838" w:orient="portrait"/>
      <w:cols w:equalWidth="0" w:num="2">
        <w:col w:w="6500" w:space="260"/>
        <w:col w:w="3379"/>
      </w:cols>
      <w:pgMar w:left="320" w:top="5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2020-04-06T14:57:45Z</dcterms:created>
  <dcterms:modified xsi:type="dcterms:W3CDTF">2020-04-06T14:57:45Z</dcterms:modified>
</cp:coreProperties>
</file>