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45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BASKETT FOREST</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45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1954 GREENSPRING DRIVE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600</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TIMONIUM MD</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21093</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455"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0" w:type="dxa"/>
            <w:vAlign w:val="bottom"/>
            <w:tcBorders>
              <w:bottom w:val="single" w:sz="8" w:color="2C2C2C"/>
            </w:tcBorders>
          </w:tcPr>
          <w:p>
            <w:pPr>
              <w:jc w:val="center"/>
              <w:ind w:right="416"/>
              <w:spacing w:after="0"/>
              <w:rPr>
                <w:sz w:val="20"/>
                <w:szCs w:val="20"/>
                <w:color w:val="auto"/>
              </w:rPr>
            </w:pPr>
            <w:r>
              <w:rPr>
                <w:rFonts w:ascii="Times New Roman" w:cs="Times New Roman" w:eastAsia="Times New Roman" w:hAnsi="Times New Roman"/>
                <w:sz w:val="20"/>
                <w:szCs w:val="20"/>
                <w:color w:val="0000FF"/>
              </w:rPr>
              <w:t>9,757,393</w:t>
            </w:r>
            <w:r>
              <w:rPr>
                <w:rFonts w:ascii="Times New Roman" w:cs="Times New Roman" w:eastAsia="Times New Roman" w:hAnsi="Times New Roman"/>
                <w:sz w:val="25"/>
                <w:szCs w:val="25"/>
                <w:color w:val="008000"/>
                <w:vertAlign w:val="superscript"/>
              </w:rPr>
              <w:t>(1)</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Note 2</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0" w:type="dxa"/>
            <w:vAlign w:val="bottom"/>
            <w:tcBorders>
              <w:bottom w:val="single" w:sz="8" w:color="2C2C2C"/>
            </w:tcBorders>
          </w:tcPr>
          <w:p>
            <w:pPr>
              <w:jc w:val="center"/>
              <w:ind w:right="376"/>
              <w:spacing w:after="0"/>
              <w:rPr>
                <w:sz w:val="20"/>
                <w:szCs w:val="20"/>
                <w:color w:val="auto"/>
              </w:rPr>
            </w:pPr>
            <w:r>
              <w:rPr>
                <w:rFonts w:ascii="Times New Roman" w:cs="Times New Roman" w:eastAsia="Times New Roman" w:hAnsi="Times New Roman"/>
                <w:sz w:val="20"/>
                <w:szCs w:val="20"/>
                <w:color w:val="0000FF"/>
              </w:rPr>
              <w:t>31,111,112</w:t>
            </w:r>
            <w:r>
              <w:rPr>
                <w:rFonts w:ascii="Times New Roman" w:cs="Times New Roman" w:eastAsia="Times New Roman" w:hAnsi="Times New Roman"/>
                <w:sz w:val="25"/>
                <w:szCs w:val="25"/>
                <w:color w:val="008000"/>
                <w:vertAlign w:val="superscript"/>
              </w:rPr>
              <w:t>(3)</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Note 4</w:t>
            </w:r>
            <w:r>
              <w:rPr>
                <w:rFonts w:ascii="Times New Roman" w:cs="Times New Roman" w:eastAsia="Times New Roman" w:hAnsi="Times New Roman"/>
                <w:sz w:val="25"/>
                <w:szCs w:val="25"/>
                <w:color w:val="008000"/>
                <w:vertAlign w:val="superscript"/>
              </w:rPr>
              <w:t>(4)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 Warrant (right to</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0000FF"/>
              </w:rPr>
              <w:t>05/02/2017</w:t>
            </w:r>
          </w:p>
        </w:tc>
        <w:tc>
          <w:tcPr>
            <w:tcW w:w="90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05/02/2022</w:t>
            </w:r>
          </w:p>
        </w:tc>
        <w:tc>
          <w:tcPr>
            <w:tcW w:w="1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1,769,626</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2.3289</w:t>
            </w:r>
            <w:r>
              <w:rPr>
                <w:rFonts w:ascii="Times New Roman" w:cs="Times New Roman" w:eastAsia="Times New Roman" w:hAnsi="Times New Roman"/>
                <w:sz w:val="25"/>
                <w:szCs w:val="25"/>
                <w:color w:val="008000"/>
                <w:vertAlign w:val="superscript"/>
              </w:rPr>
              <w:t>(5)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Note 2</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1 Ordinary Share and 1,219,674 American Depository Shares ("ADSs") held by Growth Equity Opportunities Fund IV, LLC ("GEO IV"). Each ADS represents eight</w:t>
      </w:r>
    </w:p>
    <w:p>
      <w:pPr>
        <w:spacing w:after="0" w:line="8" w:lineRule="exact"/>
        <w:rPr>
          <w:rFonts w:ascii="Times New Roman" w:cs="Times New Roman" w:eastAsia="Times New Roman" w:hAnsi="Times New Roman"/>
          <w:sz w:val="15"/>
          <w:szCs w:val="15"/>
          <w:color w:val="008000"/>
        </w:rPr>
      </w:pPr>
    </w:p>
    <w:p>
      <w:pPr>
        <w:ind w:left="40"/>
        <w:spacing w:after="0"/>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 Ordinary Shares of the Issuer.</w:t>
      </w:r>
    </w:p>
    <w:p>
      <w:pPr>
        <w:spacing w:after="0" w:line="36" w:lineRule="exact"/>
        <w:rPr>
          <w:rFonts w:ascii="Times New Roman" w:cs="Times New Roman" w:eastAsia="Times New Roman" w:hAnsi="Times New Roman"/>
          <w:sz w:val="15"/>
          <w:szCs w:val="15"/>
          <w:color w:val="008000"/>
        </w:rPr>
      </w:pPr>
    </w:p>
    <w:p>
      <w:pPr>
        <w:ind w:left="40" w:right="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manager of NEA 15 GP, LLC, which is the sole general partner of NEA Partners 15, L.P. ("NEA Partners 15"). NEA Partners 15 is the sole general partner of New Enterprise Associates 15, L.P. ("NEA 15"). NEA 15 is the sole member of GEO IV, which is the direct beneficial owner of the securities. The Reporting Person disclaims beneficial ownership within the meaning of Section 16 of the Securities Exchange Act of 1934, as amended, or otherwise of such portion of the securities held by GEO IV in which the Reporting Person has no pecuniary interest.</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3,888,889 ADSs held by Growth Equity Opportunities 17, LLC ("GEO 17"). Each ADS represents eight (8) Ordinary Shares of the Issuer.</w:t>
      </w:r>
    </w:p>
    <w:p>
      <w:pPr>
        <w:spacing w:after="0" w:line="52" w:lineRule="exact"/>
        <w:rPr>
          <w:rFonts w:ascii="Times New Roman" w:cs="Times New Roman" w:eastAsia="Times New Roman" w:hAnsi="Times New Roman"/>
          <w:sz w:val="15"/>
          <w:szCs w:val="15"/>
          <w:color w:val="008000"/>
        </w:rPr>
      </w:pPr>
    </w:p>
    <w:p>
      <w:pPr>
        <w:ind w:left="40" w:right="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manager of NEA 17 GP, LLC, which is the sole general partner of NEA Partners 17, L.P. ("NEA Partners 17"). NEA Partners 17 is the sole general partner of New Enterprise Associates 17, L.P. ("NEA 17"). NEA 17 is the sole member of GEO 17, which is the direct beneficial owner of the securities. The Reporting Person disclaims beneficial ownership within the meaning of Section 16 of the Securities Exchange Act of 1934, as amended, or otherwise of such portion of the securities held by GEO 17 in which the Reporting Person has no pecuniary interest.</w:t>
      </w:r>
    </w:p>
    <w:p>
      <w:pPr>
        <w:spacing w:after="0" w:line="33"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of the warrants is GBP 1.7238 per ordinary share. The amount in Column 4 is converted to USD using the exchange rate as of December 23, 2020 as reported by the H.10 statistical release of the Board of Governors of the Federal Reserve System.</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Sasha Keough,</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4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77631"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2021-01-04T19:45:01Z</dcterms:created>
  <dcterms:modified xsi:type="dcterms:W3CDTF">2021-01-04T19:45:01Z</dcterms:modified>
</cp:coreProperties>
</file>