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Rickard Kathleen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0"/>
                <w:szCs w:val="10"/>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right"/>
              <w:ind w:right="159"/>
              <w:spacing w:after="0"/>
              <w:rPr>
                <w:sz w:val="20"/>
                <w:szCs w:val="20"/>
                <w:color w:val="auto"/>
              </w:rPr>
            </w:pPr>
            <w:r>
              <w:rPr>
                <w:rFonts w:ascii="Times New Roman" w:cs="Times New Roman" w:eastAsia="Times New Roman" w:hAnsi="Times New Roman"/>
                <w:sz w:val="17"/>
                <w:szCs w:val="17"/>
                <w:color w:val="0000FF"/>
              </w:rPr>
              <w:t>10/30/2024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1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2,927,416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right"/>
              <w:ind w:right="159"/>
              <w:spacing w:after="0"/>
              <w:rPr>
                <w:sz w:val="20"/>
                <w:szCs w:val="20"/>
                <w:color w:val="auto"/>
              </w:rPr>
            </w:pPr>
            <w:r>
              <w:rPr>
                <w:rFonts w:ascii="Times New Roman" w:cs="Times New Roman" w:eastAsia="Times New Roman" w:hAnsi="Times New Roman"/>
                <w:sz w:val="17"/>
                <w:szCs w:val="17"/>
                <w:color w:val="0000FF"/>
              </w:rPr>
              <w:t>11/01/2024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1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2,977,416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right"/>
              <w:ind w:right="159"/>
              <w:spacing w:after="0"/>
              <w:rPr>
                <w:sz w:val="20"/>
                <w:szCs w:val="20"/>
                <w:color w:val="auto"/>
              </w:rPr>
            </w:pPr>
            <w:r>
              <w:rPr>
                <w:rFonts w:ascii="Times New Roman" w:cs="Times New Roman" w:eastAsia="Times New Roman" w:hAnsi="Times New Roman"/>
                <w:sz w:val="17"/>
                <w:szCs w:val="17"/>
                <w:color w:val="0000FF"/>
              </w:rPr>
              <w:t>11/01/2024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(4)</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65,936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4.2412</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2,911,480</w:t>
            </w:r>
            <w:r>
              <w:rPr>
                <w:rFonts w:ascii="Times New Roman" w:cs="Times New Roman" w:eastAsia="Times New Roman" w:hAnsi="Times New Roman"/>
                <w:sz w:val="22"/>
                <w:szCs w:val="22"/>
                <w:color w:val="008000"/>
                <w:w w:val="96"/>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jc w:val="right"/>
              <w:ind w:right="119"/>
              <w:spacing w:after="0" w:line="133"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Share Units ("RSUs"), each of which represents a contingent right to receive one (1) Ordinary Share of the Issuer. The RSUs vest over four years, with 1/4th of the RSUs vesting on November 1, 2025 and the balance vesting in 12 equal quarterly installments thereafter.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Ordinary Shares upon vesting of Performance Restricted Share Units in connection with the Issuer's first commercial sale of ensifentrine.</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Ordinary Shares withheld to satisfy the tax withholding obligation in connection with the vesting of certain previously reported Restricted Share Units and the vesting of the Performance Restricted Share Units described in footnote 3 above.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closing price of the Issuer's ADSs on the Nasdaq Stock Market LLC on October 31, 2024 divided by eight (8).</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784,992 Ordinary Shares underlying Restricted Share Units, each of which represents a contingent right to receive one (1) Ordinary Share of the Issuer (which are represented by 98,124 ADSs); and (ii) 2,126,488 Ordinary Shares underlying 265,811 ADSs.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Andrew Fisher,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6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Kathleen A.</w:t>
      </w:r>
      <w:r>
        <w:rPr>
          <w:sz w:val="20"/>
          <w:szCs w:val="20"/>
          <w:color w:val="auto"/>
        </w:rPr>
        <w:tab/>
      </w:r>
      <w:r>
        <w:rPr>
          <w:rFonts w:ascii="Times New Roman" w:cs="Times New Roman" w:eastAsia="Times New Roman" w:hAnsi="Times New Roman"/>
          <w:sz w:val="17"/>
          <w:szCs w:val="17"/>
          <w:color w:val="0000FF"/>
        </w:rPr>
        <w:t>11/01/2024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Rickard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6883"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2024-11-01T18:19:20Z</dcterms:created>
  <dcterms:modified xsi:type="dcterms:W3CDTF">2024-11-01T18:19:20Z</dcterms:modified>
</cp:coreProperties>
</file>