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2" w:lineRule="exact"/>
        <w:rPr>
          <w:sz w:val="24"/>
          <w:szCs w:val="24"/>
          <w:color w:val="auto"/>
        </w:rPr>
      </w:pPr>
    </w:p>
    <w:p>
      <w:pPr>
        <w:ind w:left="3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7" w:lineRule="exact"/>
        <w:rPr>
          <w:sz w:val="24"/>
          <w:szCs w:val="24"/>
          <w:color w:val="auto"/>
        </w:rPr>
      </w:pPr>
    </w:p>
    <w:p>
      <w:pPr>
        <w:ind w:left="320" w:right="4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-590550</wp:posOffset>
            </wp:positionV>
            <wp:extent cx="5651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8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-590550</wp:posOffset>
            </wp:positionV>
            <wp:extent cx="56515" cy="603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88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624840</wp:posOffset>
            </wp:positionV>
            <wp:extent cx="7050405" cy="5805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0405" cy="5805170"/>
                    </a:xfrm>
                    <a:prstGeom prst="rect">
                      <a:avLst/>
                    </a:prstGeom>
                    <a:noFill/>
                  </pic:spPr>
                </pic:pic>
              </a:graphicData>
            </a:graphic>
          </wp:anchor>
        </w:drawing>
      </w:r>
    </w:p>
    <w:p>
      <w:pPr>
        <w:spacing w:after="0" w:line="1050" w:lineRule="exact"/>
        <w:rPr>
          <w:sz w:val="24"/>
          <w:szCs w:val="24"/>
          <w:color w:val="auto"/>
        </w:rPr>
      </w:pPr>
    </w:p>
    <w:p>
      <w:pPr>
        <w:sectPr>
          <w:pgSz w:w="11900" w:h="16838" w:orient="portrait"/>
          <w:cols w:equalWidth="0" w:num="2">
            <w:col w:w="2300" w:space="440"/>
            <w:col w:w="8340"/>
          </w:cols>
          <w:pgMar w:left="460" w:top="212" w:right="359" w:bottom="381"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Hahn Mark W</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Verona Pharma plc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VRNA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10/07/2025</w:t>
      </w:r>
    </w:p>
    <w:p>
      <w:pPr>
        <w:spacing w:after="0" w:line="20" w:lineRule="exact"/>
        <w:rPr>
          <w:sz w:val="24"/>
          <w:szCs w:val="24"/>
          <w:color w:val="auto"/>
        </w:rPr>
      </w:pPr>
      <w:r>
        <w:rPr>
          <w:sz w:val="24"/>
          <w:szCs w:val="24"/>
          <w:color w:val="auto"/>
        </w:rPr>
        <w:br w:type="column"/>
      </w:r>
    </w:p>
    <w:p>
      <w:pPr>
        <w:ind w:left="-6" w:right="800" w:firstLine="6"/>
        <w:spacing w:after="0" w:line="264" w:lineRule="auto"/>
        <w:tabs>
          <w:tab w:leader="none" w:pos="12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4"/>
        <w:spacing w:after="0"/>
        <w:tabs>
          <w:tab w:leader="none" w:pos="207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4" w:lineRule="exact"/>
        <w:rPr>
          <w:sz w:val="24"/>
          <w:szCs w:val="24"/>
          <w:color w:val="auto"/>
        </w:rPr>
      </w:pPr>
    </w:p>
    <w:p>
      <w:pPr>
        <w:jc w:val="right"/>
        <w:ind w:right="50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2" w:lineRule="exact"/>
        <w:rPr>
          <w:sz w:val="24"/>
          <w:szCs w:val="24"/>
          <w:color w:val="auto"/>
        </w:rPr>
      </w:pPr>
    </w:p>
    <w:p>
      <w:pPr>
        <w:ind w:left="854"/>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21" w:lineRule="exact"/>
        <w:rPr>
          <w:sz w:val="24"/>
          <w:szCs w:val="24"/>
          <w:color w:val="auto"/>
        </w:rPr>
      </w:pPr>
    </w:p>
    <w:p>
      <w:pPr>
        <w:sectPr>
          <w:pgSz w:w="11900" w:h="16838" w:orient="portrait"/>
          <w:cols w:equalWidth="0" w:num="3">
            <w:col w:w="3180" w:space="720"/>
            <w:col w:w="3106" w:space="720"/>
            <w:col w:w="3354"/>
          </w:cols>
          <w:pgMar w:left="460" w:top="212" w:right="359" w:bottom="381" w:gutter="0" w:footer="0" w:header="0"/>
          <w:type w:val="continuous"/>
        </w:sectPr>
      </w:pP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80" w:type="dxa"/>
            <w:vAlign w:val="bottom"/>
            <w:tcBorders>
              <w:top w:val="single" w:sz="8" w:color="2C2C2C"/>
            </w:tcBorders>
          </w:tcPr>
          <w:p>
            <w:pPr>
              <w:spacing w:after="0"/>
              <w:rPr>
                <w:sz w:val="15"/>
                <w:szCs w:val="15"/>
                <w:color w:val="auto"/>
              </w:rPr>
            </w:pPr>
          </w:p>
        </w:tc>
        <w:tc>
          <w:tcPr>
            <w:tcW w:w="3580" w:type="dxa"/>
            <w:vAlign w:val="bottom"/>
            <w:tcBorders>
              <w:top w:val="single" w:sz="8" w:color="2C2C2C"/>
            </w:tcBorders>
            <w:gridSpan w:val="7"/>
            <w:vMerge w:val="restart"/>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LONDON</w:t>
            </w:r>
          </w:p>
        </w:tc>
        <w:tc>
          <w:tcPr>
            <w:tcW w:w="10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X0</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SE1 2RE</w:t>
            </w: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180" w:type="dxa"/>
            <w:vAlign w:val="bottom"/>
            <w:gridSpan w:val="7"/>
            <w:vMerge w:val="continue"/>
          </w:tcPr>
          <w:p>
            <w:pPr>
              <w:spacing w:after="0"/>
              <w:rPr>
                <w:sz w:val="3"/>
                <w:szCs w:val="3"/>
                <w:color w:val="auto"/>
              </w:rPr>
            </w:pPr>
          </w:p>
        </w:tc>
        <w:tc>
          <w:tcPr>
            <w:tcW w:w="380" w:type="dxa"/>
            <w:vAlign w:val="bottom"/>
          </w:tcPr>
          <w:p>
            <w:pPr>
              <w:spacing w:after="0"/>
              <w:rPr>
                <w:sz w:val="3"/>
                <w:szCs w:val="3"/>
                <w:color w:val="auto"/>
              </w:rPr>
            </w:pPr>
          </w:p>
        </w:tc>
        <w:tc>
          <w:tcPr>
            <w:tcW w:w="3580" w:type="dxa"/>
            <w:vAlign w:val="bottom"/>
            <w:gridSpan w:val="7"/>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6"/>
                <w:szCs w:val="6"/>
                <w:color w:val="auto"/>
              </w:rPr>
            </w:pPr>
          </w:p>
        </w:tc>
        <w:tc>
          <w:tcPr>
            <w:tcW w:w="108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6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7"/>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2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1160" w:type="dxa"/>
            <w:vAlign w:val="bottom"/>
            <w:gridSpan w:val="3"/>
          </w:tcPr>
          <w:p>
            <w:pPr>
              <w:ind w:left="1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(Month/Day/Year)  if any</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3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4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10/07/2025</w:t>
            </w: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11,264,968</w:t>
            </w:r>
          </w:p>
        </w:tc>
        <w:tc>
          <w:tcPr>
            <w:tcW w:w="3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0"/>
                <w:szCs w:val="10"/>
                <w:color w:val="008000"/>
                <w:w w:val="97"/>
              </w:rPr>
              <w:t>(2)(3)(4)</w:t>
            </w:r>
          </w:p>
        </w:tc>
        <w:tc>
          <w:tcPr>
            <w:tcW w:w="740" w:type="dxa"/>
            <w:vAlign w:val="bottom"/>
            <w:tcBorders>
              <w:bottom w:val="single" w:sz="8" w:color="2C2C2C"/>
            </w:tcBorders>
            <w:gridSpan w:val="2"/>
          </w:tcPr>
          <w:p>
            <w:pPr>
              <w:jc w:val="center"/>
              <w:ind w:left="359"/>
              <w:spacing w:after="0"/>
              <w:rPr>
                <w:sz w:val="20"/>
                <w:szCs w:val="20"/>
                <w:color w:val="auto"/>
              </w:rPr>
            </w:pPr>
            <w:r>
              <w:rPr>
                <w:rFonts w:ascii="Times New Roman" w:cs="Times New Roman" w:eastAsia="Times New Roman" w:hAnsi="Times New Roman"/>
                <w:sz w:val="16"/>
                <w:szCs w:val="16"/>
                <w:color w:val="0000FF"/>
                <w:w w:val="99"/>
              </w:rPr>
              <w:t>0</w:t>
            </w: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10/07/2025</w:t>
            </w: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tcPr>
          <w:p>
            <w:pPr>
              <w:jc w:val="center"/>
              <w:ind w:left="41"/>
              <w:spacing w:after="0"/>
              <w:rPr>
                <w:sz w:val="20"/>
                <w:szCs w:val="20"/>
                <w:color w:val="auto"/>
              </w:rPr>
            </w:pPr>
            <w:r>
              <w:rPr>
                <w:rFonts w:ascii="Times New Roman" w:cs="Times New Roman" w:eastAsia="Times New Roman" w:hAnsi="Times New Roman"/>
                <w:sz w:val="16"/>
                <w:szCs w:val="16"/>
                <w:color w:val="0000FF"/>
                <w:w w:val="99"/>
              </w:rPr>
              <w:t>3,285,280</w:t>
            </w: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0"/>
                <w:szCs w:val="10"/>
                <w:color w:val="008000"/>
                <w:w w:val="94"/>
              </w:rPr>
              <w:t>(4)(6)</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3,285,280</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10/07/2025</w:t>
            </w: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740" w:type="dxa"/>
            <w:vAlign w:val="bottom"/>
            <w:tcBorders>
              <w:bottom w:val="single" w:sz="8" w:color="2C2C2C"/>
            </w:tcBorders>
          </w:tcPr>
          <w:p>
            <w:pPr>
              <w:jc w:val="center"/>
              <w:ind w:left="41"/>
              <w:spacing w:after="0"/>
              <w:rPr>
                <w:sz w:val="20"/>
                <w:szCs w:val="20"/>
                <w:color w:val="auto"/>
              </w:rPr>
            </w:pPr>
            <w:r>
              <w:rPr>
                <w:rFonts w:ascii="Times New Roman" w:cs="Times New Roman" w:eastAsia="Times New Roman" w:hAnsi="Times New Roman"/>
                <w:sz w:val="16"/>
                <w:szCs w:val="16"/>
                <w:color w:val="0000FF"/>
                <w:w w:val="99"/>
              </w:rPr>
              <w:t>3,285,280</w:t>
            </w: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0"/>
                <w:szCs w:val="10"/>
                <w:color w:val="008000"/>
                <w:w w:val="94"/>
              </w:rPr>
              <w:t>(4)(6)</w:t>
            </w:r>
          </w:p>
        </w:tc>
        <w:tc>
          <w:tcPr>
            <w:tcW w:w="740" w:type="dxa"/>
            <w:vAlign w:val="bottom"/>
            <w:tcBorders>
              <w:bottom w:val="single" w:sz="8" w:color="2C2C2C"/>
            </w:tcBorders>
            <w:gridSpan w:val="2"/>
          </w:tcPr>
          <w:p>
            <w:pPr>
              <w:jc w:val="center"/>
              <w:ind w:left="359"/>
              <w:spacing w:after="0"/>
              <w:rPr>
                <w:sz w:val="20"/>
                <w:szCs w:val="20"/>
                <w:color w:val="auto"/>
              </w:rPr>
            </w:pPr>
            <w:r>
              <w:rPr>
                <w:rFonts w:ascii="Times New Roman" w:cs="Times New Roman" w:eastAsia="Times New Roman" w:hAnsi="Times New Roman"/>
                <w:sz w:val="16"/>
                <w:szCs w:val="16"/>
                <w:color w:val="0000FF"/>
                <w:w w:val="99"/>
              </w:rPr>
              <w:t>0</w:t>
            </w: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40" w:type="dxa"/>
            <w:vAlign w:val="bottom"/>
            <w:gridSpan w:val="15"/>
          </w:tcPr>
          <w:p>
            <w:pPr>
              <w:ind w:lef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00" w:type="dxa"/>
            <w:vAlign w:val="bottom"/>
            <w:gridSpan w:val="13"/>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0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5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15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3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6"/>
                <w:szCs w:val="16"/>
                <w:color w:val="auto"/>
              </w:rPr>
            </w:pPr>
          </w:p>
        </w:tc>
        <w:tc>
          <w:tcPr>
            <w:tcW w:w="5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800,000</w:t>
            </w:r>
          </w:p>
        </w:tc>
        <w:tc>
          <w:tcPr>
            <w:tcW w:w="20" w:type="dxa"/>
            <w:vAlign w:val="bottom"/>
          </w:tcPr>
          <w:p>
            <w:pPr>
              <w:spacing w:after="0"/>
              <w:rPr>
                <w:sz w:val="16"/>
                <w:szCs w:val="16"/>
                <w:color w:val="auto"/>
              </w:rPr>
            </w:pP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800,000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46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6"/>
                <w:szCs w:val="16"/>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66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6"/>
                <w:szCs w:val="16"/>
                <w:color w:val="auto"/>
              </w:rPr>
            </w:pPr>
          </w:p>
        </w:tc>
        <w:tc>
          <w:tcPr>
            <w:tcW w:w="5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389,792</w:t>
            </w:r>
          </w:p>
        </w:tc>
        <w:tc>
          <w:tcPr>
            <w:tcW w:w="20" w:type="dxa"/>
            <w:vAlign w:val="bottom"/>
          </w:tcPr>
          <w:p>
            <w:pPr>
              <w:spacing w:after="0"/>
              <w:rPr>
                <w:sz w:val="16"/>
                <w:szCs w:val="16"/>
                <w:color w:val="auto"/>
              </w:rPr>
            </w:pP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389,792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46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6"/>
                <w:szCs w:val="16"/>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66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6"/>
                <w:szCs w:val="16"/>
                <w:color w:val="auto"/>
              </w:rPr>
            </w:pPr>
          </w:p>
        </w:tc>
        <w:tc>
          <w:tcPr>
            <w:tcW w:w="5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445,536</w:t>
            </w:r>
          </w:p>
        </w:tc>
        <w:tc>
          <w:tcPr>
            <w:tcW w:w="20" w:type="dxa"/>
            <w:vAlign w:val="bottom"/>
          </w:tcPr>
          <w:p>
            <w:pPr>
              <w:spacing w:after="0"/>
              <w:rPr>
                <w:sz w:val="16"/>
                <w:szCs w:val="16"/>
                <w:color w:val="auto"/>
              </w:rPr>
            </w:pP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445,536</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46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6"/>
                <w:szCs w:val="16"/>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66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1,649,952</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1,649,952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1,649,952</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66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6"/>
                <w:szCs w:val="16"/>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1,649,952</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1,649,952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46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6"/>
                <w:szCs w:val="16"/>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660" w:type="dxa"/>
            <w:vAlign w:val="bottom"/>
            <w:gridSpan w:val="2"/>
          </w:tcPr>
          <w:p>
            <w:pPr>
              <w:ind w:left="80"/>
              <w:spacing w:after="0" w:line="86" w:lineRule="exact"/>
              <w:rPr>
                <w:sz w:val="20"/>
                <w:szCs w:val="20"/>
                <w:color w:val="auto"/>
              </w:rPr>
            </w:pPr>
            <w:r>
              <w:rPr>
                <w:rFonts w:ascii="Times New Roman" w:cs="Times New Roman" w:eastAsia="Times New Roman" w:hAnsi="Times New Roman"/>
                <w:sz w:val="9"/>
                <w:szCs w:val="9"/>
                <w:color w:val="0000FF"/>
              </w:rPr>
              <w:t>Share</w:t>
            </w:r>
          </w:p>
        </w:tc>
        <w:tc>
          <w:tcPr>
            <w:tcW w:w="6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Unit</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2"/>
          <w:szCs w:val="12"/>
          <w:color w:val="008000"/>
        </w:rPr>
      </w:pPr>
    </w:p>
    <w:p>
      <w:pPr>
        <w:ind w:left="40" w:right="200" w:hanging="6"/>
        <w:spacing w:after="0" w:line="25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p>
      <w:pPr>
        <w:spacing w:after="0" w:line="18" w:lineRule="exact"/>
        <w:rPr>
          <w:rFonts w:ascii="Times New Roman" w:cs="Times New Roman" w:eastAsia="Times New Roman" w:hAnsi="Times New Roman"/>
          <w:sz w:val="12"/>
          <w:szCs w:val="12"/>
          <w:color w:val="008000"/>
        </w:rPr>
      </w:pPr>
    </w:p>
    <w:p>
      <w:pPr>
        <w:ind w:left="40" w:right="220" w:hanging="6"/>
        <w:spacing w:after="0" w:line="25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p>
      <w:pPr>
        <w:spacing w:after="0" w:line="18" w:lineRule="exact"/>
        <w:rPr>
          <w:rFonts w:ascii="Times New Roman" w:cs="Times New Roman" w:eastAsia="Times New Roman" w:hAnsi="Times New Roman"/>
          <w:sz w:val="12"/>
          <w:szCs w:val="12"/>
          <w:color w:val="008000"/>
        </w:rPr>
      </w:pPr>
    </w:p>
    <w:p>
      <w:pPr>
        <w:ind w:left="40" w:right="180" w:hanging="6"/>
        <w:spacing w:after="0" w:line="25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p>
      <w:pPr>
        <w:spacing w:after="0" w:line="18" w:lineRule="exact"/>
        <w:rPr>
          <w:rFonts w:ascii="Times New Roman" w:cs="Times New Roman" w:eastAsia="Times New Roman" w:hAnsi="Times New Roman"/>
          <w:sz w:val="12"/>
          <w:szCs w:val="12"/>
          <w:color w:val="008000"/>
        </w:rPr>
      </w:pPr>
    </w:p>
    <w:p>
      <w:pPr>
        <w:ind w:left="40" w:right="260" w:hanging="6"/>
        <w:spacing w:after="0" w:line="267"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8" w:lineRule="exact"/>
        <w:rPr>
          <w:rFonts w:ascii="Times New Roman" w:cs="Times New Roman" w:eastAsia="Times New Roman" w:hAnsi="Times New Roman"/>
          <w:sz w:val="12"/>
          <w:szCs w:val="12"/>
          <w:color w:val="008000"/>
        </w:rPr>
      </w:pPr>
    </w:p>
    <w:p>
      <w:pPr>
        <w:ind w:left="40" w:right="140" w:hanging="6"/>
        <w:spacing w:after="0" w:line="25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performance-based restricted share unit awards (the "PRSUs") were earned upon the determination by the Board of Directors of the Issuer that certain performance metrics had been achieved. Pursuant to the terms of the Transaction Agreement, immediately prior to the Effective Time, the PRSUs, unless agreed otherwise, became fully vested, and at the Effective Time, were automatically converted into the right to receive an amount in cash (without interest and subject to all required withholding taxes) equal to the product of (i) the aggregate number of ADSs underlying such PRSU Award and (ii) the ADS Consideration.</w:t>
      </w:r>
    </w:p>
    <w:p>
      <w:pPr>
        <w:spacing w:after="0" w:line="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Andrew Fisher, Attorney-in-</w:t>
            </w:r>
          </w:p>
        </w:tc>
        <w:tc>
          <w:tcPr>
            <w:tcW w:w="200" w:type="dxa"/>
            <w:vAlign w:val="bottom"/>
          </w:tcPr>
          <w:p>
            <w:pPr>
              <w:spacing w:after="0"/>
              <w:rPr>
                <w:sz w:val="15"/>
                <w:szCs w:val="15"/>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10/08/2025</w:t>
            </w:r>
          </w:p>
        </w:tc>
        <w:tc>
          <w:tcPr>
            <w:tcW w:w="0" w:type="dxa"/>
            <w:vAlign w:val="bottom"/>
          </w:tcPr>
          <w:p>
            <w:pPr>
              <w:spacing w:after="0"/>
              <w:rPr>
                <w:sz w:val="1"/>
                <w:szCs w:val="1"/>
                <w:color w:val="auto"/>
              </w:rPr>
            </w:pPr>
          </w:p>
        </w:tc>
      </w:tr>
      <w:tr>
        <w:trPr>
          <w:trHeight w:val="82"/>
        </w:trPr>
        <w:tc>
          <w:tcPr>
            <w:tcW w:w="122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0000FF"/>
                <w:w w:val="96"/>
              </w:rPr>
              <w:t>fact for Mark Hahn</w:t>
            </w:r>
          </w:p>
        </w:tc>
        <w:tc>
          <w:tcPr>
            <w:tcW w:w="98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220" w:type="dxa"/>
            <w:vAlign w:val="bottom"/>
            <w:tcBorders>
              <w:bottom w:val="single" w:sz="8" w:color="auto"/>
            </w:tcBorders>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7"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3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2025-10-08T15:46:58Z</dcterms:created>
  <dcterms:modified xsi:type="dcterms:W3CDTF">2025-10-08T15:46:58Z</dcterms:modified>
</cp:coreProperties>
</file>