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7256d1_s8.htm"/>
      <w:bookmarkStart w:id="1" w:name="kstm257256d1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February 27,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Verona Pharma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United Kingdom</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98-1489389</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More London Riverside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 SE1 2RE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Verona Pharma plc Second Amended and Restated 2017 Incentive Award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80"/>
        <w:gridCol w:w="2105"/>
      </w:tblGrid>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Peter N. Handrinos</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James Inness</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Latham &amp; Watkins LLP</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Latham &amp; Watkins LLP</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200 Clarendon Street</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 Bishopsgate</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Boston, Massachusetts 02116</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London EC2M 3XF</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(617) 948-6000</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United Kingdom</w:t>
            </w:r>
          </w:p>
        </w:tc>
      </w:tr>
      <w:tr>
        <w:trPr/>
        <w:tc>
          <w:tcPr>
            <w:tcW w:w="2480" w:type="dxa"/>
            <w:tcBorders/>
            <w:vAlign w:val="center"/>
          </w:tcPr>
          <w:p>
            <w:pPr>
              <w:pStyle w:val="TableContents"/>
              <w:bidi w:val="0"/>
              <w:spacing w:before="0" w:after="283"/>
              <w:jc w:val="center"/>
              <w:rPr/>
            </w:pPr>
            <w:r>
              <w:rPr/>
              <w:t> </w:t>
            </w:r>
          </w:p>
        </w:tc>
        <w:tc>
          <w:tcPr>
            <w:tcW w:w="21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 20 7710-1000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center"/>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center"/>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being filed for the purpose of registering an additional 28,127,576 ordinary shares, nominal value £0.05 per share, of Verona Pharma plc (the “Registrant”) that may become issuable under the Verona Pharma plc Second Amended and Restated 2017 Incentive Award Plan, as it may be amended or restated from time to time (the “2017 Plan”). A Registration Statement of the Registrant on Form S-8 relating to the 2017 Plan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CONTENTS OF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contents of the Registration Statements on Form S-8 (File Nos. </w:t>
      </w:r>
      <w:hyperlink r:id="rId2">
        <w:r>
          <w:rPr>
            <w:rStyle w:val="InternetLink"/>
            <w:rFonts w:ascii="Times New Roman;Times;Serif" w:hAnsi="Times New Roman;Times;Serif"/>
            <w:b w:val="false"/>
            <w:i w:val="false"/>
            <w:caps w:val="false"/>
            <w:smallCaps w:val="false"/>
            <w:sz w:val="20"/>
          </w:rPr>
          <w:t>333-217521</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333-237926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333-248199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333-268389</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333-271764</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u w:val="single"/>
          </w:rPr>
          <w:t>333-279298</w:t>
        </w:r>
      </w:hyperlink>
      <w:r>
        <w:rPr>
          <w:rFonts w:ascii="Times New Roman;Times;Serif" w:hAnsi="Times New Roman;Times;Serif"/>
          <w:b w:val="false"/>
          <w:i w:val="false"/>
          <w:caps w:val="false"/>
          <w:smallCaps w:val="false"/>
          <w:sz w:val="20"/>
        </w:rPr>
        <w:t>), filed with the Securities and Exchange Commission, relating to the 2017 Plan,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 of Exhibit</w:t>
            </w:r>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Articles of Association, as amended and as currently in effect (incorporated by reference to Exhibit 1 to the Registrant’s Report of Foreign Private Issuer on Form 6-K (File No. 001-38607) filed on December 30, 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7256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7256d1_ex5-1.htm">
              <w:r>
                <w:rPr>
                  <w:rStyle w:val="InternetLink"/>
                  <w:rFonts w:ascii="Times New Roman;Times;Serif" w:hAnsi="Times New Roman;Times;Serif"/>
                  <w:sz w:val="20"/>
                </w:rPr>
                <w:t>Opinion of Latham &amp; Watkins LLP, counsel of the Registrant</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7256d1_ex23-1.htm">
              <w:r>
                <w:rPr>
                  <w:rStyle w:val="InternetLink"/>
                </w:rPr>
                <w:t>23.1*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7256d1_ex23-1.htm">
              <w:r>
                <w:rPr>
                  <w:rStyle w:val="InternetLink"/>
                </w:rPr>
                <w:t>Consent of Ernst &amp; Young LLP, independent registered public accounting firm</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7256d1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7256d1_ex23-2.htm">
              <w:r>
                <w:rPr>
                  <w:rStyle w:val="InternetLink"/>
                  <w:rFonts w:ascii="Times New Roman;Times;Serif" w:hAnsi="Times New Roman;Times;Serif"/>
                  <w:sz w:val="20"/>
                </w:rPr>
                <w:t>Consent of PricewaterhouseCoopers LLP, independent registered public accounting firm</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7256d1_ex5-1.htm">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7256d1_ex5-1.htm">
              <w:r>
                <w:rPr>
                  <w:rStyle w:val="InternetLink"/>
                  <w:rFonts w:ascii="Times New Roman;Times;Serif" w:hAnsi="Times New Roman;Times;Serif"/>
                  <w:sz w:val="20"/>
                </w:rPr>
                <w:t>Consent of Latham &amp; Watkins LLP, counsel of the Registrant (included in Exhibit 5.1)</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Verona Pharma plc Second Amended and Restated 2017 Incentive Award Plan (incorporated by reference to Exhibit 10.1 to the Registrant’s Current Report on Form 8-K (File No. 001-38067) filed on May 1, 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7256d1_ex-filingfees.htm">
              <w:r>
                <w:rPr>
                  <w:rStyle w:val="InternetLink"/>
                  <w:rFonts w:ascii="Times New Roman;Times;Serif" w:hAnsi="Times New Roman;Times;Serif"/>
                  <w:sz w:val="20"/>
                </w:rPr>
                <w:t>107.1*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7256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27th day of February, 2025.</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35"/>
        <w:gridCol w:w="3080"/>
        <w:gridCol w:w="75"/>
      </w:tblGrid>
      <w:tr>
        <w:trPr/>
        <w:tc>
          <w:tcPr>
            <w:tcW w:w="34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VERONA PHARMA PLC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Zaccardelli, Pharm.D.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Zaccardelli, Pharm.D.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W. Hahn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W. Hahn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 AND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2555"/>
        <w:gridCol w:w="60"/>
        <w:gridCol w:w="3830"/>
        <w:gridCol w:w="60"/>
        <w:gridCol w:w="1520"/>
      </w:tblGrid>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Zaccardelli, Pharm.D.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Zaccardelli, Pharm.D.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Mark W. Hahn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Mark W. Hahn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Ebsworth,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Chairperson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Ebsworth,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Christina Ackermann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Christina Ackermann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Austwick</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Austwick</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James Brady</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Brady</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Ken Cunningham,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Ken Cunningham,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Lisa Deschamps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Lisa Deschamps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Martin Edwards,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Martin Edwards,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Mahendra Shah,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Mahendra Shah,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Vikas Sinha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Vikas Sinha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Anders Ullman, M.D.,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27, 2025</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Anders Ullman, M.D.,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undersigned, the duly authorized representative in the United States of Verona Pharma plc, has signed this Registration Statement on Form S-8, in the City of New York, State of New York, on February 27, 2025.</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335"/>
        <w:gridCol w:w="590"/>
        <w:gridCol w:w="4505"/>
        <w:gridCol w:w="75"/>
      </w:tblGrid>
      <w:tr>
        <w:trPr/>
        <w:tc>
          <w:tcPr>
            <w:tcW w:w="543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COGENCY GLOBAL INC.</w:t>
            </w:r>
          </w:p>
        </w:tc>
        <w:tc>
          <w:tcPr>
            <w:tcW w:w="75" w:type="dxa"/>
            <w:tcBorders/>
            <w:vAlign w:val="center"/>
          </w:tcPr>
          <w:p>
            <w:pPr>
              <w:pStyle w:val="TableContents"/>
              <w:bidi w:val="0"/>
              <w:spacing w:before="0" w:after="283"/>
              <w:jc w:val="left"/>
              <w:rPr/>
            </w:pPr>
            <w:r>
              <w:rPr/>
              <w:t> </w:t>
            </w:r>
          </w:p>
        </w:tc>
      </w:tr>
      <w:tr>
        <w:trPr/>
        <w:tc>
          <w:tcPr>
            <w:tcW w:w="54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 in the United States)</w:t>
            </w:r>
          </w:p>
        </w:tc>
        <w:tc>
          <w:tcPr>
            <w:tcW w:w="75" w:type="dxa"/>
            <w:tcBorders/>
            <w:vAlign w:val="center"/>
          </w:tcPr>
          <w:p>
            <w:pPr>
              <w:pStyle w:val="TableContents"/>
              <w:bidi w:val="0"/>
              <w:spacing w:before="0" w:after="283"/>
              <w:jc w:val="left"/>
              <w:rPr/>
            </w:pPr>
            <w:r>
              <w:rPr/>
              <w:t> </w:t>
            </w:r>
          </w:p>
        </w:tc>
      </w:tr>
      <w:tr>
        <w:trPr/>
        <w:tc>
          <w:tcPr>
            <w:tcW w:w="543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tm257256d1_ex5-1.htm"/>
      <w:bookmarkStart w:id="4" w:name="kstm257256d1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tbl>
      <w:tblPr>
        <w:tblW w:w="8268" w:type="dxa"/>
        <w:jc w:val="left"/>
        <w:tblInd w:w="0" w:type="dxa"/>
        <w:tblLayout w:type="fixed"/>
        <w:tblCellMar>
          <w:top w:w="0" w:type="dxa"/>
          <w:left w:w="0" w:type="dxa"/>
          <w:bottom w:w="0" w:type="dxa"/>
          <w:right w:w="0" w:type="dxa"/>
        </w:tblCellMar>
      </w:tblPr>
      <w:tblGrid>
        <w:gridCol w:w="4050"/>
        <w:gridCol w:w="1747"/>
        <w:gridCol w:w="96"/>
        <w:gridCol w:w="2375"/>
      </w:tblGrid>
      <w:tr>
        <w:trPr/>
        <w:tc>
          <w:tcPr>
            <w:tcW w:w="4050" w:type="dxa"/>
            <w:tcBorders/>
            <w:vAlign w:val="center"/>
          </w:tcPr>
          <w:p>
            <w:pPr>
              <w:pStyle w:val="TableContents"/>
              <w:bidi w:val="0"/>
              <w:spacing w:before="0" w:after="283"/>
              <w:jc w:val="left"/>
              <w:rPr/>
            </w:pPr>
            <w:r>
              <w:rPr/>
              <w:t> </w:t>
            </w:r>
          </w:p>
        </w:tc>
        <w:tc>
          <w:tcPr>
            <w:tcW w:w="4218" w:type="dxa"/>
            <w:gridSpan w:val="3"/>
            <w:tcBorders/>
            <w:vAlign w:val="center"/>
          </w:tcPr>
          <w:p>
            <w:pPr>
              <w:pStyle w:val="TableContents"/>
              <w:bidi w:val="0"/>
              <w:spacing w:before="0" w:after="283"/>
              <w:jc w:val="left"/>
              <w:rPr/>
            </w:pPr>
            <w:r>
              <w:rPr/>
              <w:t> </w:t>
            </w:r>
          </w:p>
        </w:tc>
      </w:tr>
      <w:tr>
        <w:trPr/>
        <w:tc>
          <w:tcPr>
            <w:tcW w:w="4050" w:type="dxa"/>
            <w:vMerge w:val="restart"/>
            <w:tcBorders/>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drawing>
                <wp:inline distT="0" distB="0" distL="0" distR="0">
                  <wp:extent cx="25241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524125" cy="352425"/>
                          </a:xfrm>
                          <a:prstGeom prst="rect">
                            <a:avLst/>
                          </a:prstGeom>
                        </pic:spPr>
                      </pic:pic>
                    </a:graphicData>
                  </a:graphic>
                </wp:inline>
              </w:drawing>
            </w: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27 February 2025</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 Bishopsgate</w:t>
            </w:r>
          </w:p>
        </w:tc>
      </w:tr>
      <w:tr>
        <w:trPr/>
        <w:tc>
          <w:tcPr>
            <w:tcW w:w="4050" w:type="dxa"/>
            <w:vMerge w:val="continue"/>
            <w:tcBorders/>
            <w:vAlign w:val="center"/>
          </w:tcPr>
          <w:p>
            <w:pPr>
              <w:pStyle w:val="Normal"/>
              <w:bidi w:val="0"/>
              <w:jc w:val="left"/>
              <w:rPr/>
            </w:pPr>
            <w:r>
              <w:rPr/>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 EC2M 3XF</w:t>
            </w:r>
          </w:p>
        </w:tc>
      </w:tr>
      <w:tr>
        <w:trPr/>
        <w:tc>
          <w:tcPr>
            <w:tcW w:w="4050" w:type="dxa"/>
            <w:vMerge w:val="continue"/>
            <w:tcBorders/>
            <w:vAlign w:val="center"/>
          </w:tcPr>
          <w:p>
            <w:pPr>
              <w:pStyle w:val="Normal"/>
              <w:bidi w:val="0"/>
              <w:jc w:val="left"/>
              <w:rPr/>
            </w:pPr>
            <w:r>
              <w:rPr/>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r>
      <w:tr>
        <w:trPr/>
        <w:tc>
          <w:tcPr>
            <w:tcW w:w="4050" w:type="dxa"/>
            <w:vMerge w:val="continue"/>
            <w:tcBorders/>
            <w:vAlign w:val="center"/>
          </w:tcPr>
          <w:p>
            <w:pPr>
              <w:pStyle w:val="Normal"/>
              <w:bidi w:val="0"/>
              <w:jc w:val="left"/>
              <w:rPr/>
            </w:pPr>
            <w:r>
              <w:rPr/>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+44(0)20.7710.1000 Fax: +44(0)20.7374.4460</w:t>
            </w:r>
          </w:p>
        </w:tc>
      </w:tr>
      <w:tr>
        <w:trPr/>
        <w:tc>
          <w:tcPr>
            <w:tcW w:w="4050" w:type="dxa"/>
            <w:vMerge w:val="continue"/>
            <w:tcBorders/>
            <w:vAlign w:val="center"/>
          </w:tcPr>
          <w:p>
            <w:pPr>
              <w:pStyle w:val="Normal"/>
              <w:bidi w:val="0"/>
              <w:jc w:val="left"/>
              <w:rPr/>
            </w:pPr>
            <w:r>
              <w:rPr/>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www.lw.com</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4050" w:type="dxa"/>
            <w:vMerge w:val="continue"/>
            <w:tcBorders/>
            <w:vAlign w:val="center"/>
          </w:tcPr>
          <w:p>
            <w:pPr>
              <w:pStyle w:val="Normal"/>
              <w:bidi w:val="0"/>
              <w:jc w:val="left"/>
              <w:rPr/>
            </w:pPr>
            <w:r>
              <w:rPr/>
            </w:r>
          </w:p>
        </w:tc>
        <w:tc>
          <w:tcPr>
            <w:tcW w:w="42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 / AFFILIATE OFFICES</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Milan</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Munich</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Brussels</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Orange County</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Century City</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Paris</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Riyadh</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Düsseldorf</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Francisco</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Frankfurt</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Seoul</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Hamburg</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 Valley</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Tokyo</w:t>
            </w:r>
          </w:p>
        </w:tc>
      </w:tr>
      <w:tr>
        <w:trPr/>
        <w:tc>
          <w:tcPr>
            <w:tcW w:w="4050" w:type="dxa"/>
            <w:vMerge w:val="continue"/>
            <w:tcBorders/>
            <w:vAlign w:val="center"/>
          </w:tcPr>
          <w:p>
            <w:pPr>
              <w:pStyle w:val="Normal"/>
              <w:bidi w:val="0"/>
              <w:jc w:val="left"/>
              <w:rPr/>
            </w:pPr>
            <w:r>
              <w:rPr/>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r>
      <w:tr>
        <w:trPr/>
        <w:tc>
          <w:tcPr>
            <w:tcW w:w="4050" w:type="dxa"/>
            <w:tcBorders/>
            <w:vAlign w:val="center"/>
          </w:tcPr>
          <w:p>
            <w:pPr>
              <w:pStyle w:val="TableContents"/>
              <w:bidi w:val="0"/>
              <w:spacing w:before="0" w:after="283"/>
              <w:jc w:val="left"/>
              <w:rPr/>
            </w:pPr>
            <w:r>
              <w:rPr/>
              <w:t> </w:t>
            </w:r>
          </w:p>
        </w:tc>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Madrid</w:t>
            </w:r>
          </w:p>
        </w:tc>
        <w:tc>
          <w:tcPr>
            <w:tcW w:w="96"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Verona Pharma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More London Riverside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br/>
        <w:t>SE1 2RE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Verona Pharma plc – Registration Statement on Form S-8 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English legal advisers to Verona Pharma plc, a public limited company incorporated in England and Wales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pursuant to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the Registration Statement, it is proposed that up to 28,127,576 ordinary shares of the Company each having a nominal value of £0.05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will be issued upon the exercise or settlement of equity awards granted under the Verona Pharma plc Second Amended and Restated 2017 Incentive Award Plan adopted on 14 March 2023 (the “</w:t>
      </w:r>
      <w:r>
        <w:rPr>
          <w:rFonts w:ascii="Times New Roman;Times;Serif" w:hAnsi="Times New Roman;Times;Serif"/>
          <w:b/>
          <w:i w:val="false"/>
          <w:caps w:val="false"/>
          <w:smallCaps w:val="false"/>
          <w:sz w:val="20"/>
        </w:rPr>
        <w:t>Equity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caps/>
              </w:rPr>
            </w:pPr>
            <w:r>
              <w:rPr>
                <w:b/>
                <w:caps/>
              </w:rPr>
              <w:t>1.</w:t>
            </w:r>
          </w:p>
        </w:tc>
        <w:tc>
          <w:tcPr>
            <w:tcW w:w="9113" w:type="dxa"/>
            <w:tcBorders/>
            <w:vAlign w:val="center"/>
          </w:tcPr>
          <w:p>
            <w:pPr>
              <w:pStyle w:val="TableContents"/>
              <w:bidi w:val="0"/>
              <w:spacing w:before="0" w:after="283"/>
              <w:jc w:val="both"/>
              <w:rPr>
                <w:b/>
                <w:caps/>
              </w:rPr>
            </w:pPr>
            <w:r>
              <w:rPr>
                <w:b/>
                <w:caps/>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648"/>
        <w:gridCol w:w="7243"/>
      </w:tblGrid>
      <w:tr>
        <w:trPr/>
        <w:tc>
          <w:tcPr>
            <w:tcW w:w="314"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b/>
              </w:rPr>
            </w:pPr>
            <w:r>
              <w:rPr>
                <w:b/>
              </w:rPr>
              <w:t>1.1</w:t>
            </w:r>
          </w:p>
        </w:tc>
        <w:tc>
          <w:tcPr>
            <w:tcW w:w="7243" w:type="dxa"/>
            <w:tcBorders/>
            <w:vAlign w:val="center"/>
          </w:tcPr>
          <w:p>
            <w:pPr>
              <w:pStyle w:val="TableContents"/>
              <w:bidi w:val="0"/>
              <w:spacing w:before="0" w:after="283"/>
              <w:jc w:val="both"/>
              <w:rPr>
                <w:b/>
              </w:rPr>
            </w:pPr>
            <w:r>
              <w:rPr>
                <w:b/>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Statement, we have been asked to provide an opinion on certain matters, as set out below. We have taken instruction in this regard solely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2</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011"/>
        <w:gridCol w:w="9074"/>
      </w:tblGrid>
      <w:tr>
        <w:trPr/>
        <w:tc>
          <w:tcPr>
            <w:tcW w:w="12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b/>
              </w:rPr>
            </w:pPr>
            <w:r>
              <w:rPr>
                <w:b/>
              </w:rPr>
              <w:t>1.2</w:t>
            </w:r>
          </w:p>
        </w:tc>
        <w:tc>
          <w:tcPr>
            <w:tcW w:w="9074" w:type="dxa"/>
            <w:tcBorders/>
            <w:vAlign w:val="center"/>
          </w:tcPr>
          <w:p>
            <w:pPr>
              <w:pStyle w:val="TableContents"/>
              <w:bidi w:val="0"/>
              <w:spacing w:before="0" w:after="283"/>
              <w:jc w:val="both"/>
              <w:rPr>
                <w:b/>
              </w:rPr>
            </w:pPr>
            <w:r>
              <w:rPr>
                <w:b/>
              </w:rPr>
              <w:t>Defined terms and headings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capitalised terms used without definition in this letter or the schedules hereto have the meanings assigned to them in the Registration Statement unless a contrary indication appears;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0"/>
        <w:gridCol w:w="9742"/>
      </w:tblGrid>
      <w:tr>
        <w:trPr/>
        <w:tc>
          <w:tcPr>
            <w:tcW w:w="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(b)</w:t>
            </w:r>
          </w:p>
        </w:tc>
        <w:tc>
          <w:tcPr>
            <w:tcW w:w="9742" w:type="dxa"/>
            <w:tcBorders/>
            <w:vAlign w:val="center"/>
          </w:tcPr>
          <w:p>
            <w:pPr>
              <w:pStyle w:val="TableContents"/>
              <w:bidi w:val="0"/>
              <w:spacing w:before="0" w:after="283"/>
              <w:jc w:val="both"/>
              <w:rPr/>
            </w:pPr>
            <w:r>
              <w:rPr/>
              <w:t>headings are for ease of reference only and shall not affect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923"/>
        <w:gridCol w:w="8054"/>
      </w:tblGrid>
      <w:tr>
        <w:trPr/>
        <w:tc>
          <w:tcPr>
            <w:tcW w:w="22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b/>
              </w:rPr>
            </w:pPr>
            <w:r>
              <w:rPr>
                <w:b/>
              </w:rPr>
              <w:t>1.3</w:t>
            </w:r>
          </w:p>
        </w:tc>
        <w:tc>
          <w:tcPr>
            <w:tcW w:w="8054" w:type="dxa"/>
            <w:tcBorders/>
            <w:vAlign w:val="center"/>
          </w:tcPr>
          <w:p>
            <w:pPr>
              <w:pStyle w:val="TableContents"/>
              <w:bidi w:val="0"/>
              <w:spacing w:before="0" w:after="283"/>
              <w:jc w:val="both"/>
              <w:rPr>
                <w:b/>
              </w:rPr>
            </w:pPr>
            <w:r>
              <w:rPr>
                <w:b/>
              </w:rPr>
              <w:t>Legal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issuing this letter, we have reviewed only the following documents and conducted only the following enquiries and searches: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283"/>
              <w:jc w:val="both"/>
              <w:rPr/>
            </w:pPr>
            <w:r>
              <w:rPr/>
              <w:t>an online search at UK Companies House in respect of the Company conducted on 27 February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an enquiry at the Central Registry of Winding Up Petitions, London on 27 February 2025 at 10:02a.m (London time) with respect to the Company ((a) and (b) together, the “</w:t>
            </w:r>
            <w:r>
              <w:rPr>
                <w:b/>
              </w:rPr>
              <w:t>Searches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7" w:type="dxa"/>
            <w:tcBorders/>
            <w:vAlign w:val="center"/>
          </w:tcPr>
          <w:p>
            <w:pPr>
              <w:pStyle w:val="TableContents"/>
              <w:bidi w:val="0"/>
              <w:spacing w:before="0" w:after="283"/>
              <w:jc w:val="both"/>
              <w:rPr/>
            </w:pPr>
            <w:r>
              <w:rPr>
                <w:rFonts w:ascii="Times New Roman;Times;Serif" w:hAnsi="Times New Roman;Times;Serif"/>
                <w:sz w:val="20"/>
              </w:rPr>
              <w:t>copies of the written resolutions of the board of directors of the Company dated 14 November 2022, 14 March 2023 and 20 February 2025</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048"/>
        <w:gridCol w:w="9020"/>
      </w:tblGrid>
      <w:tr>
        <w:trPr/>
        <w:tc>
          <w:tcPr>
            <w:tcW w:w="13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pPr>
            <w:r>
              <w:rPr/>
              <w:t>(d)</w:t>
            </w:r>
          </w:p>
        </w:tc>
        <w:tc>
          <w:tcPr>
            <w:tcW w:w="9020" w:type="dxa"/>
            <w:tcBorders/>
            <w:vAlign w:val="center"/>
          </w:tcPr>
          <w:p>
            <w:pPr>
              <w:pStyle w:val="TableContents"/>
              <w:bidi w:val="0"/>
              <w:spacing w:before="0" w:after="283"/>
              <w:jc w:val="both"/>
              <w:rPr/>
            </w:pPr>
            <w:r>
              <w:rPr/>
              <w:t>a copy of the Equity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(e)</w:t>
            </w:r>
          </w:p>
        </w:tc>
        <w:tc>
          <w:tcPr>
            <w:tcW w:w="9811" w:type="dxa"/>
            <w:tcBorders/>
            <w:vAlign w:val="center"/>
          </w:tcPr>
          <w:p>
            <w:pPr>
              <w:pStyle w:val="TableContents"/>
              <w:bidi w:val="0"/>
              <w:spacing w:before="0" w:after="283"/>
              <w:jc w:val="both"/>
              <w:rPr/>
            </w:pPr>
            <w:r>
              <w:rPr/>
              <w:t>a copy of the certificate of incorporation of the Company dated 24 February 2005;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(f)</w:t>
            </w:r>
          </w:p>
        </w:tc>
        <w:tc>
          <w:tcPr>
            <w:tcW w:w="9919" w:type="dxa"/>
            <w:tcBorders/>
            <w:vAlign w:val="center"/>
          </w:tcPr>
          <w:p>
            <w:pPr>
              <w:pStyle w:val="TableContents"/>
              <w:bidi w:val="0"/>
              <w:spacing w:before="0" w:after="283"/>
              <w:jc w:val="both"/>
              <w:rPr/>
            </w:pPr>
            <w:r>
              <w:rPr/>
              <w:t>a copy of the certificate of incorporation on change of name of the Company dated 18 September 2006;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914" w:type="dxa"/>
            <w:tcBorders/>
            <w:vAlign w:val="center"/>
          </w:tcPr>
          <w:p>
            <w:pPr>
              <w:pStyle w:val="TableContents"/>
              <w:bidi w:val="0"/>
              <w:spacing w:before="0" w:after="283"/>
              <w:jc w:val="both"/>
              <w:rPr/>
            </w:pPr>
            <w:r>
              <w:rPr/>
              <w:t>a copy of the current articles of association of the Company adopted pursuant to a special resolution of the shareholders passed at the general meeting held on 18 December 2020;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(h)</w:t>
            </w:r>
          </w:p>
        </w:tc>
        <w:tc>
          <w:tcPr>
            <w:tcW w:w="9888" w:type="dxa"/>
            <w:tcBorders/>
            <w:vAlign w:val="center"/>
          </w:tcPr>
          <w:p>
            <w:pPr>
              <w:pStyle w:val="TableContents"/>
              <w:bidi w:val="0"/>
              <w:spacing w:before="0" w:after="283"/>
              <w:jc w:val="both"/>
              <w:rPr/>
            </w:pPr>
            <w:r>
              <w:rPr/>
              <w:t>a draft copy of the Registration Statement as at 26 February 2025 and to be filed with the SEC on 27 February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711"/>
        <w:gridCol w:w="8291"/>
      </w:tblGrid>
      <w:tr>
        <w:trPr/>
        <w:tc>
          <w:tcPr>
            <w:tcW w:w="2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b/>
              </w:rPr>
            </w:pPr>
            <w:r>
              <w:rPr>
                <w:b/>
              </w:rPr>
              <w:t>1.4</w:t>
            </w:r>
          </w:p>
        </w:tc>
        <w:tc>
          <w:tcPr>
            <w:tcW w:w="8291" w:type="dxa"/>
            <w:tcBorders/>
            <w:vAlign w:val="center"/>
          </w:tcPr>
          <w:p>
            <w:pPr>
              <w:pStyle w:val="TableContents"/>
              <w:bidi w:val="0"/>
              <w:spacing w:before="0" w:after="283"/>
              <w:jc w:val="both"/>
              <w:rPr>
                <w:b/>
              </w:rPr>
            </w:pPr>
            <w:r>
              <w:rPr>
                <w:b/>
              </w:rPr>
              <w:t>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we have not investigated the laws of any country other than England and we assume that no foreign law, (including, for the avoidance of doubt, European Union law on and after 1 January 2021), affects the opinion stated below;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9"/>
        <w:gridCol w:w="9811"/>
      </w:tblGrid>
      <w:tr>
        <w:trPr/>
        <w:tc>
          <w:tcPr>
            <w:tcW w:w="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(b)</w:t>
            </w:r>
          </w:p>
        </w:tc>
        <w:tc>
          <w:tcPr>
            <w:tcW w:w="9811" w:type="dxa"/>
            <w:tcBorders/>
            <w:vAlign w:val="center"/>
          </w:tcPr>
          <w:p>
            <w:pPr>
              <w:pStyle w:val="TableContents"/>
              <w:bidi w:val="0"/>
              <w:spacing w:before="0" w:after="283"/>
              <w:jc w:val="both"/>
              <w:rPr/>
            </w:pPr>
            <w:r>
              <w:rPr/>
              <w:t>we express no opinion in this letter on the laws of any jurisdiction other than England.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3</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rPr>
            </w:pPr>
            <w:r>
              <w:rPr>
                <w:b/>
              </w:rPr>
              <w:t>1.5</w:t>
            </w:r>
          </w:p>
        </w:tc>
        <w:tc>
          <w:tcPr>
            <w:tcW w:w="9143" w:type="dxa"/>
            <w:tcBorders/>
            <w:vAlign w:val="center"/>
          </w:tcPr>
          <w:p>
            <w:pPr>
              <w:pStyle w:val="TableContents"/>
              <w:bidi w:val="0"/>
              <w:spacing w:before="0" w:after="283"/>
              <w:jc w:val="both"/>
              <w:rPr>
                <w:b/>
              </w:rPr>
            </w:pPr>
            <w:r>
              <w:rPr>
                <w:b/>
              </w:rPr>
              <w:t>Assumptions and reservations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given in this letter is given on the basis of each of the assumptions set out in Schedule 1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and is subject to each of the reservations set out in Schedule 2 (</w:t>
      </w:r>
      <w:r>
        <w:rPr>
          <w:rFonts w:ascii="Times New Roman;Times;Serif" w:hAnsi="Times New Roman;Times;Serif"/>
          <w:b w:val="false"/>
          <w:i/>
          <w:caps w:val="false"/>
          <w:smallCaps w:val="false"/>
          <w:sz w:val="20"/>
        </w:rPr>
        <w:t>Reservations</w:t>
      </w:r>
      <w:r>
        <w:rPr>
          <w:rFonts w:ascii="Times New Roman;Times;Serif" w:hAnsi="Times New Roman;Times;Serif"/>
          <w:b w:val="false"/>
          <w:i w:val="false"/>
          <w:caps w:val="false"/>
          <w:smallCaps w:val="false"/>
          <w:sz w:val="20"/>
        </w:rPr>
        <w:t>) to this letter. The opinion given in this letter is strictly limited to the matters stated in paragraph 2 (</w:t>
      </w:r>
      <w:r>
        <w:rPr>
          <w:rFonts w:ascii="Times New Roman;Times;Serif" w:hAnsi="Times New Roman;Times;Serif"/>
          <w:b w:val="false"/>
          <w:i/>
          <w:caps w:val="false"/>
          <w:smallCaps w:val="false"/>
          <w:sz w:val="20"/>
        </w:rPr>
        <w:t>Opinion</w:t>
      </w:r>
      <w:r>
        <w:rPr>
          <w:rFonts w:ascii="Times New Roman;Times;Serif" w:hAnsi="Times New Roman;Times;Serif"/>
          <w:b w:val="false"/>
          <w:i w:val="false"/>
          <w:caps w:val="false"/>
          <w:smallCaps w:val="false"/>
          <w:sz w:val="20"/>
        </w:rPr>
        <w:t>) below and does not extend, and should not be read as extending, by implication or otherwise, to any other matters.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b/>
                <w:caps/>
              </w:rPr>
            </w:pPr>
            <w:r>
              <w:rPr>
                <w:b/>
                <w:caps/>
              </w:rPr>
              <w:t>2.</w:t>
            </w:r>
          </w:p>
        </w:tc>
        <w:tc>
          <w:tcPr>
            <w:tcW w:w="8370" w:type="dxa"/>
            <w:tcBorders/>
            <w:vAlign w:val="center"/>
          </w:tcPr>
          <w:p>
            <w:pPr>
              <w:pStyle w:val="TableContents"/>
              <w:bidi w:val="0"/>
              <w:spacing w:before="0" w:after="283"/>
              <w:jc w:val="both"/>
              <w:rPr>
                <w:b/>
                <w:caps/>
              </w:rPr>
            </w:pPr>
            <w:r>
              <w:rPr>
                <w:b/>
                <w:caps/>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1 (</w:t>
      </w:r>
      <w:r>
        <w:rPr>
          <w:rFonts w:ascii="Times New Roman;Times;Serif" w:hAnsi="Times New Roman;Times;Serif"/>
          <w:b w:val="false"/>
          <w:i/>
          <w:caps w:val="false"/>
          <w:smallCaps w:val="false"/>
          <w:sz w:val="20"/>
        </w:rPr>
        <w:t>Introduction</w:t>
      </w:r>
      <w:r>
        <w:rPr>
          <w:rFonts w:ascii="Times New Roman;Times;Serif" w:hAnsi="Times New Roman;Times;Serif"/>
          <w:b w:val="false"/>
          <w:i w:val="false"/>
          <w:caps w:val="false"/>
          <w:smallCaps w:val="false"/>
          <w:sz w:val="20"/>
        </w:rPr>
        <w:t>) and the other matters set out in this letter and its Schedules, and subject further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both"/>
              <w:rPr/>
            </w:pPr>
            <w:r>
              <w:rPr/>
              <w:t>the Registration Statement, as finally amended and supplemented, having become effective under the Securities Act and continuing to be so effective;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the shareholders of the Company in a general meeting or within the Company’s articles of association duly and validly having resolved: (i) as may be required, as an ordinary resolution, or within the Company’s articles of association, to authorise the board of directors of the Company pursuant to section 551 of the Companies Act 2006 (the “</w:t>
            </w:r>
            <w:r>
              <w:rPr>
                <w:b/>
              </w:rPr>
              <w:t>Companies Act</w:t>
            </w:r>
            <w:r>
              <w:rPr/>
              <w:t>”) to allot Shares, or to grant rights to subscribe for Shares, pursuant to the Equity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the directors of the Company and the shareholders of the Company having validly approved the Equity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283"/>
              <w:jc w:val="both"/>
              <w:rPr/>
            </w:pPr>
            <w:r>
              <w:rPr/>
              <w:t>the directors of the Company having validly granted the awards in respect of the Shares under the Equity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the directors of the Company having validly resolved to allot and issue the Shares, or grant rights to subscribe for the Shares, at duly convened and quorate meetings of the board of directors of the Company or by way of duly passed written resolutions of the board of directors of the Company and such resolutions being in full force and effect and not having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19" w:type="dxa"/>
            <w:tcBorders/>
            <w:vAlign w:val="center"/>
          </w:tcPr>
          <w:p>
            <w:pPr>
              <w:pStyle w:val="TableContents"/>
              <w:bidi w:val="0"/>
              <w:spacing w:before="0" w:after="283"/>
              <w:jc w:val="both"/>
              <w:rPr/>
            </w:pPr>
            <w:r>
              <w:rPr/>
              <w:t>the receipt in full of payment for such Shares in an amount of “cash consideration” (as defined in section 583(3) of the Companies Act) of not less than the aggregate nominal value for such Shares, assuming in each case that the individual grants or awards under the Equity Plan are duly authorised by all necessary corporate action (as described in (d) above) and duly granted or awarded and exercised in accordance with the requirements of law, the Company’s articles of association and the Equity Plan (and the agreements and awards duly adopted thereunder and in accordance therewith);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4</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(g)</w:t>
            </w:r>
          </w:p>
        </w:tc>
        <w:tc>
          <w:tcPr>
            <w:tcW w:w="9892" w:type="dxa"/>
            <w:tcBorders/>
            <w:vAlign w:val="center"/>
          </w:tcPr>
          <w:p>
            <w:pPr>
              <w:pStyle w:val="TableContents"/>
              <w:bidi w:val="0"/>
              <w:spacing w:before="0" w:after="283"/>
              <w:jc w:val="both"/>
              <w:rPr/>
            </w:pPr>
            <w:r>
              <w:rPr/>
              <w:t>valid entries having been made in relation to the allotment and issue of the Shares in the books and registers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opinion that, as of today’s date, the Shares, if and when allotted and issued, registered in the name of the recipient in the register of members of the Company and delivered in accordance with the terms and conditions referred to above and/or in the Equity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caps/>
              </w:rPr>
            </w:pPr>
            <w:r>
              <w:rPr>
                <w:b/>
                <w:caps/>
              </w:rPr>
              <w:t>3.</w:t>
            </w:r>
          </w:p>
        </w:tc>
        <w:tc>
          <w:tcPr>
            <w:tcW w:w="9336" w:type="dxa"/>
            <w:tcBorders/>
            <w:vAlign w:val="center"/>
          </w:tcPr>
          <w:p>
            <w:pPr>
              <w:pStyle w:val="TableContents"/>
              <w:bidi w:val="0"/>
              <w:spacing w:before="0" w:after="283"/>
              <w:jc w:val="both"/>
              <w:rPr>
                <w:b/>
                <w:caps/>
              </w:rPr>
            </w:pPr>
            <w:r>
              <w:rPr>
                <w:b/>
                <w:caps/>
              </w:rPr>
              <w:t>EXTENT OF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any agreement, instrument or other document other than as specified in this letter or as to any liability to tax which may arise or be suffered as a result of or in connection with the transactions contemplated by the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3"/>
        <w:gridCol w:w="9571"/>
      </w:tblGrid>
      <w:tr>
        <w:trPr/>
        <w:tc>
          <w:tcPr>
            <w:tcW w:w="1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b/>
                <w:caps/>
              </w:rPr>
            </w:pPr>
            <w:r>
              <w:rPr>
                <w:b/>
                <w:caps/>
              </w:rPr>
              <w:t>4.</w:t>
            </w:r>
          </w:p>
        </w:tc>
        <w:tc>
          <w:tcPr>
            <w:tcW w:w="9571" w:type="dxa"/>
            <w:tcBorders/>
            <w:vAlign w:val="center"/>
          </w:tcPr>
          <w:p>
            <w:pPr>
              <w:pStyle w:val="TableContents"/>
              <w:bidi w:val="0"/>
              <w:spacing w:before="0" w:after="283"/>
              <w:jc w:val="both"/>
              <w:rPr>
                <w:b/>
                <w:caps/>
              </w:rPr>
            </w:pPr>
            <w:r>
              <w:rPr>
                <w:b/>
                <w:caps/>
              </w:rPr>
              <w:t>RELIANCE AND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LATHAM &amp; WATKINS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5</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in this letter has been given on the basis of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4" w:type="dxa"/>
            <w:tcBorders/>
            <w:vAlign w:val="center"/>
          </w:tcPr>
          <w:p>
            <w:pPr>
              <w:pStyle w:val="TableContents"/>
              <w:bidi w:val="0"/>
              <w:spacing w:before="0" w:after="283"/>
              <w:jc w:val="both"/>
              <w:rPr/>
            </w:pPr>
            <w:r>
              <w:rPr/>
              <w:t>the genuineness of all signatures, stamps and seals on all documents, the authenticity and completeness of all documents submitted to us as originals, and the conformity to authentic original documents of all documents submitted to us as copies;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spacing w:before="0" w:after="283"/>
              <w:jc w:val="both"/>
              <w:rPr/>
            </w:pPr>
            <w:r>
              <w:rPr/>
              <w:t>that in the case of a document signed electronically, the person signing it intended to sign and be bound by the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283"/>
              <w:jc w:val="both"/>
              <w:rPr/>
            </w:pPr>
            <w:r>
              <w:rPr/>
              <w:t>that, where a document has been examined by us in draft or specimen form, it will be or has been duly executed in the form of that draft or specimen;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pPr>
            <w:r>
              <w:rPr/>
              <w:t>that the articles of association of the Company referred to in paragraph 1.3 (g)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b/>
              </w:rPr>
              <w:t>Allotment Date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57" w:type="dxa"/>
            <w:tcBorders/>
            <w:vAlign w:val="center"/>
          </w:tcPr>
          <w:p>
            <w:pPr>
              <w:pStyle w:val="TableContents"/>
              <w:bidi w:val="0"/>
              <w:spacing w:before="0" w:after="283"/>
              <w:jc w:val="both"/>
              <w:rPr/>
            </w:pPr>
            <w:r>
              <w:rPr/>
              <w:t>that the Equity Plan remains in full force and effect and no alteration has been made or will be made to the Equity Plan prior to an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14" w:type="dxa"/>
            <w:tcBorders/>
            <w:vAlign w:val="center"/>
          </w:tcPr>
          <w:p>
            <w:pPr>
              <w:pStyle w:val="TableContents"/>
              <w:bidi w:val="0"/>
              <w:spacing w:before="0" w:after="283"/>
              <w:jc w:val="both"/>
              <w:rPr/>
            </w:pPr>
            <w:r>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74" w:type="dxa"/>
            <w:tcBorders/>
            <w:vAlign w:val="center"/>
          </w:tcPr>
          <w:p>
            <w:pPr>
              <w:pStyle w:val="TableContents"/>
              <w:bidi w:val="0"/>
              <w:spacing w:before="0" w:after="283"/>
              <w:jc w:val="both"/>
              <w:rPr/>
            </w:pPr>
            <w:r>
              <w:rPr/>
              <w:t>that the resolutions described in the written resolutions of the board of directors of the Company provided to us in connection with the giving of this opinion or otherwise contemplated in connection with the matters referred to herein were and/or will be duly passed as written resolutions of the board of directors of the Company, as applicable, all constitutional, statutory and other formalities were and/or will be observed and such resolutions have not been, and will not be, revoked or varied and remain in full force and effect and will remain so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75" w:type="dxa"/>
            <w:tcBorders/>
            <w:vAlign w:val="center"/>
          </w:tcPr>
          <w:p>
            <w:pPr>
              <w:pStyle w:val="TableContents"/>
              <w:bidi w:val="0"/>
              <w:spacing w:before="0" w:after="283"/>
              <w:jc w:val="both"/>
              <w:rPr/>
            </w:pPr>
            <w:r>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283"/>
              <w:jc w:val="both"/>
              <w:rPr/>
            </w:pPr>
            <w:r>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6</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0016" w:type="dxa"/>
            <w:tcBorders/>
            <w:vAlign w:val="center"/>
          </w:tcPr>
          <w:p>
            <w:pPr>
              <w:pStyle w:val="TableContents"/>
              <w:bidi w:val="0"/>
              <w:spacing w:before="0" w:after="283"/>
              <w:jc w:val="both"/>
              <w:rPr/>
            </w:pPr>
            <w:r>
              <w:rPr/>
              <w:t>that, in relation to any allotment and issue of any Shares by the Company pursuant to the Equity Plan, that the recipient will have become entitled to such Shares under the terms of the Equity Plan such Shares will, where applicable, be fully vested each in accordance with the terms of the Equity Plan and such recipient has or will have complied with all other requirements of the Equity Plan in connection with the allotment and issue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66" w:type="dxa"/>
            <w:tcBorders/>
            <w:vAlign w:val="center"/>
          </w:tcPr>
          <w:p>
            <w:pPr>
              <w:pStyle w:val="TableContents"/>
              <w:bidi w:val="0"/>
              <w:spacing w:before="0" w:after="283"/>
              <w:jc w:val="both"/>
              <w:rPr/>
            </w:pPr>
            <w:r>
              <w:rPr/>
              <w:t>that all awards have been made under the terms of the Equity Plan, that the terms of all awards have not materially deviated from the terms set out in the Equity Plan and that any Shares will be allotted and issued in accordance with the terms set out in the Equity Plan and in accordance with the Company’s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95" w:type="dxa"/>
            <w:tcBorders/>
            <w:vAlign w:val="center"/>
          </w:tcPr>
          <w:p>
            <w:pPr>
              <w:pStyle w:val="TableContents"/>
              <w:bidi w:val="0"/>
              <w:spacing w:before="0" w:after="283"/>
              <w:jc w:val="both"/>
              <w:rPr/>
            </w:pPr>
            <w:r>
              <w:rPr/>
              <w:t>that the Equity Plan has been validly adopted and no alteration has been or shall be made to the Equity Plan since the date of adoption except to the extent expressly set out in this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930" w:type="dxa"/>
            <w:tcBorders/>
            <w:vAlign w:val="center"/>
          </w:tcPr>
          <w:p>
            <w:pPr>
              <w:pStyle w:val="TableContents"/>
              <w:bidi w:val="0"/>
              <w:spacing w:before="0" w:after="283"/>
              <w:jc w:val="both"/>
              <w:rPr/>
            </w:pPr>
            <w:r>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964" w:type="dxa"/>
            <w:tcBorders/>
            <w:vAlign w:val="center"/>
          </w:tcPr>
          <w:p>
            <w:pPr>
              <w:pStyle w:val="TableContents"/>
              <w:bidi w:val="0"/>
              <w:spacing w:before="0" w:after="283"/>
              <w:jc w:val="both"/>
              <w:rPr/>
            </w:pPr>
            <w:r>
              <w:rPr/>
              <w:t>that in relation to the allotment and issuance of Shares pursuant to the Equity Plan or otherwise to an employee benefit trust, that such Shares will be allotted and issued in accordance with the terms of the Equity Plan, the Company’s articles of association and the requirements of all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51" w:type="dxa"/>
            <w:tcBorders/>
            <w:vAlign w:val="center"/>
          </w:tcPr>
          <w:p>
            <w:pPr>
              <w:pStyle w:val="TableContents"/>
              <w:bidi w:val="0"/>
              <w:spacing w:before="0" w:after="283"/>
              <w:jc w:val="both"/>
              <w:rPr/>
            </w:pPr>
            <w:r>
              <w:rPr/>
              <w:t>that no Shares shall be allotted or issued, or are or shall be committed to be allotted or issued, at a discount to their nominal value (whether in sterling or equivalent in any other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74" w:type="dxa"/>
            <w:tcBorders/>
            <w:vAlign w:val="center"/>
          </w:tcPr>
          <w:p>
            <w:pPr>
              <w:pStyle w:val="TableContents"/>
              <w:bidi w:val="0"/>
              <w:spacing w:before="0" w:after="283"/>
              <w:jc w:val="both"/>
              <w:rPr/>
            </w:pPr>
            <w:r>
              <w:rPr/>
              <w:t>that no Shares or rights to subscribe for Shares have been or shall be offered to the public in the United Kingdom in breach of the Financial Services and Markets Act 2000, as amended (“</w:t>
            </w:r>
            <w:r>
              <w:rPr>
                <w:b/>
              </w:rPr>
              <w:t>FSMA</w:t>
            </w:r>
            <w:r>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9953" w:type="dxa"/>
            <w:tcBorders/>
            <w:vAlign w:val="center"/>
          </w:tcPr>
          <w:p>
            <w:pPr>
              <w:pStyle w:val="TableContents"/>
              <w:bidi w:val="0"/>
              <w:spacing w:before="0" w:after="283"/>
              <w:jc w:val="both"/>
              <w:rPr/>
            </w:pPr>
            <w:r>
              <w:rPr/>
              <w:t>that in issuing and allotting and granting rights to acquire Shares and administering the Equity Plan, the Company is not carrying on a regulated activity for the purposes of section 19 of FSMA;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7</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10010" w:type="dxa"/>
            <w:tcBorders/>
            <w:vAlign w:val="center"/>
          </w:tcPr>
          <w:p>
            <w:pPr>
              <w:pStyle w:val="TableContents"/>
              <w:bidi w:val="0"/>
              <w:spacing w:before="0" w:after="283"/>
              <w:jc w:val="both"/>
              <w:rPr/>
            </w:pPr>
            <w:r>
              <w:rPr/>
              <w:t>that the Company has complied and will comply with all applicable anti-terrorism, anti-money laundering, sanctions and human rights laws and regulations and that each allotment and issue of Shares and grant of rights to acquire Shares pursuant to the Equity Plan will be consistent with all such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10001" w:type="dxa"/>
            <w:tcBorders/>
            <w:vAlign w:val="center"/>
          </w:tcPr>
          <w:p>
            <w:pPr>
              <w:pStyle w:val="TableContents"/>
              <w:bidi w:val="0"/>
              <w:spacing w:before="0" w:after="283"/>
              <w:jc w:val="both"/>
              <w:rPr/>
            </w:pPr>
            <w:r>
              <w:rPr/>
              <w:t>that the Equity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Equity Plan and the allotment and issue of the Shares will promote the success of the Company for the benefit of its members as a whole;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10024" w:type="dxa"/>
            <w:tcBorders/>
            <w:vAlign w:val="center"/>
          </w:tcPr>
          <w:p>
            <w:pPr>
              <w:pStyle w:val="TableContents"/>
              <w:bidi w:val="0"/>
              <w:spacing w:before="0" w:after="283"/>
              <w:jc w:val="both"/>
              <w:rPr/>
            </w:pPr>
            <w:r>
              <w:rPr/>
              <w:t>that the Company has not taken any corporate or other action nor have any steps been taken or legal proceedings been started against the Company for: (i) the liquidation, administration, winding up, dissolution, reorganisation, or bankruptcy or similar procedures in other relevant jurisdictions, of; or (ii) the commencement of a moratorium in respect of; or (iii)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760"/>
        <w:gridCol w:w="75"/>
      </w:tblGrid>
      <w:tr>
        <w:trPr/>
        <w:tc>
          <w:tcPr>
            <w:tcW w:w="27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8</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drawing>
                <wp:inline distT="0" distB="0" distL="0" distR="0">
                  <wp:extent cx="1743075"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1743075" cy="2571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in this letter is subject to the following reservations: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283"/>
              <w:jc w:val="both"/>
              <w:rPr>
                <w:sz w:val="20"/>
              </w:rPr>
            </w:pPr>
            <w:r>
              <w:rPr>
                <w:sz w:val="20"/>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tc>
      </w:tr>
      <w:tr>
        <w:trPr/>
        <w:tc>
          <w:tcPr>
            <w:tcW w:w="21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sz w:val="20"/>
              </w:rPr>
            </w:pPr>
            <w:r>
              <w:rPr>
                <w:sz w:val="20"/>
              </w:rPr>
              <w:t>(b)</w:t>
            </w:r>
          </w:p>
        </w:tc>
        <w:tc>
          <w:tcPr>
            <w:tcW w:w="998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any limitations arising from applicable laws relating to insolvency, bankruptcy, administration, reorganisation, liquidation, moratoria, schemes, restructuring plans or analogous circumstances;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an English court exercising its discretion under section 426 of the Insolvency Act 1986 (</w:t>
            </w:r>
            <w:r>
              <w:rPr>
                <w:i/>
              </w:rPr>
              <w:t>co-operation between courts exercising jurisdiction in relation to insolvency</w:t>
            </w:r>
            <w:r>
              <w:rPr/>
              <w:t>) to assist the courts having the corresponding jurisdiction in any part of the United Kingdom or any relevant country or territory;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634"/>
        <w:gridCol w:w="9484"/>
      </w:tblGrid>
      <w:tr>
        <w:trPr/>
        <w:tc>
          <w:tcPr>
            <w:tcW w:w="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(c)</w:t>
            </w:r>
          </w:p>
        </w:tc>
        <w:tc>
          <w:tcPr>
            <w:tcW w:w="9484" w:type="dxa"/>
            <w:tcBorders/>
            <w:vAlign w:val="center"/>
          </w:tcPr>
          <w:p>
            <w:pPr>
              <w:pStyle w:val="TableContents"/>
              <w:bidi w:val="0"/>
              <w:spacing w:before="0" w:after="283"/>
              <w:jc w:val="both"/>
              <w:rPr/>
            </w:pPr>
            <w:r>
              <w:rPr/>
              <w:t>we express no opinion as to matters of fact;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we express no opinion on the compliance of the Equity Plan, or the compliance of any award made under the Equity Plan, with the rules or regulations of the NASDAQ Stock Market LLC or the rules or regulations of any other securities exchange that are applicable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we express no opinion in relation to the legality, enforceability or validity of the Equity Plan or any award agreement entered into pursuant to such Equity Plan. In particular, but without prejudice to the generality of the foregoing, we have assumed that the Shares to be allotted under the Equity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1" w:type="dxa"/>
            <w:tcBorders/>
            <w:vAlign w:val="center"/>
          </w:tcPr>
          <w:p>
            <w:pPr>
              <w:pStyle w:val="TableContents"/>
              <w:bidi w:val="0"/>
              <w:spacing w:before="0" w:after="283"/>
              <w:jc w:val="both"/>
              <w:rPr/>
            </w:pPr>
            <w:r>
              <w:rPr/>
              <w:t>if any award of under the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64" w:type="dxa"/>
            <w:tcBorders/>
            <w:vAlign w:val="center"/>
          </w:tcPr>
          <w:p>
            <w:pPr>
              <w:pStyle w:val="TableContents"/>
              <w:bidi w:val="0"/>
              <w:spacing w:before="0" w:after="283"/>
              <w:jc w:val="both"/>
              <w:rPr/>
            </w:pPr>
            <w:r>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70" w:type="dxa"/>
            <w:tcBorders/>
            <w:vAlign w:val="center"/>
          </w:tcPr>
          <w:p>
            <w:pPr>
              <w:pStyle w:val="TableContents"/>
              <w:bidi w:val="0"/>
              <w:spacing w:before="0" w:after="283"/>
              <w:jc w:val="both"/>
              <w:rPr/>
            </w:pPr>
            <w:r>
              <w:rPr/>
              <w:t>we have not undertaken any consideration, analysis or assessment of whether the National Security &amp; Investment Act 2021 (“</w:t>
            </w:r>
            <w:r>
              <w:rPr>
                <w:b/>
              </w:rPr>
              <w:t>NS&amp;IA</w:t>
            </w:r>
            <w:r>
              <w:rPr/>
              <w:t>”) may or will apply to any of the transactions contemplated herein for the purposes of the opinions in this letter. We express no opinion on the application or potential application of the NS&amp;IA in relation to the Company or any transaction contemplated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5" w:name="tm257256d1_ex23-1.htm"/>
      <w:bookmarkStart w:id="6" w:name="kstm257256d1_ex231"/>
      <w:bookmarkEnd w:id="5"/>
      <w:bookmarkEnd w:id="6"/>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color w:val="333333"/>
          <w:sz w:val="20"/>
          <w:shd w:fill="FFFFFF" w:val="clear"/>
        </w:rPr>
      </w:pPr>
      <w:r>
        <w:rPr>
          <w:rFonts w:ascii="Times New Roman;Times;Serif" w:hAnsi="Times New Roman;Times;Serif"/>
          <w:b w:val="false"/>
          <w:i w:val="false"/>
          <w:caps w:val="false"/>
          <w:smallCaps w:val="false"/>
          <w:color w:val="333333"/>
          <w:sz w:val="20"/>
          <w:shd w:fill="FFFFFF" w:val="clear"/>
        </w:rPr>
        <w:t>Consent of Independent Registered Public Accounting Firm</w:t>
      </w:r>
    </w:p>
    <w:p>
      <w:pPr>
        <w:pStyle w:val="TextBody"/>
        <w:bidi w:val="0"/>
        <w:spacing w:before="0" w:after="0"/>
        <w:ind w:left="900" w:right="525" w:hanging="0"/>
        <w:jc w:val="left"/>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33333"/>
          <w:sz w:val="20"/>
          <w:shd w:fill="FFFFFF" w:val="clear"/>
        </w:rPr>
      </w:pPr>
      <w:r>
        <w:rPr>
          <w:rFonts w:ascii="Times New Roman;Times;Serif" w:hAnsi="Times New Roman;Times;Serif"/>
          <w:b w:val="false"/>
          <w:i w:val="false"/>
          <w:caps w:val="false"/>
          <w:smallCaps w:val="false"/>
          <w:color w:val="333333"/>
          <w:sz w:val="20"/>
          <w:shd w:fill="FFFFFF" w:val="clear"/>
        </w:rPr>
        <w:t>We consent to the incorporation by reference in the Registration Statement (Form S-8) pertaining to the Verona Pharma plc Second Amended and Restated 2017 Incentive Award Plan of Verona Pharma Plc of our reports dated February 27, 2025, with respect to the consolidated financial statements of Verona Pharma plc and the effectiveness of internal control over financial reporting of Verona Pharma plc included in its Annual Report (Form 10-K) for the year ended December 31, 2024, filed with the Securities and Exchange Commission.</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/s/ Ernst &amp; Young LLP</w:t>
      </w:r>
    </w:p>
    <w:p>
      <w:pPr>
        <w:pStyle w:val="TextBody"/>
        <w:bidi w:val="0"/>
        <w:spacing w:before="0" w:after="0"/>
        <w:ind w:left="525" w:right="525" w:hanging="0"/>
        <w:jc w:val="left"/>
        <w:rPr>
          <w:rFonts w:ascii="Times New Roman;Times;Serif" w:hAnsi="Times New Roman;Times;Serif"/>
          <w:b w:val="false"/>
          <w:i w:val="false"/>
          <w:caps w:val="false"/>
          <w:smallCaps w:val="false"/>
          <w:color w:val="333333"/>
          <w:sz w:val="20"/>
          <w:shd w:fill="FFFFFF" w:val="clear"/>
        </w:rPr>
      </w:pPr>
      <w:r>
        <w:rPr>
          <w:rFonts w:ascii="Times New Roman;Times;Serif" w:hAnsi="Times New Roman;Times;Serif"/>
          <w:b w:val="false"/>
          <w:i w:val="false"/>
          <w:caps w:val="false"/>
          <w:smallCaps w:val="false"/>
          <w:color w:val="333333"/>
          <w:sz w:val="20"/>
          <w:shd w:fill="FFFFFF" w:val="clear"/>
        </w:rPr>
        <w:t>Raleigh, North Carolina</w:t>
      </w:r>
    </w:p>
    <w:p>
      <w:pPr>
        <w:pStyle w:val="TextBody"/>
        <w:bidi w:val="0"/>
        <w:spacing w:before="0" w:after="0"/>
        <w:ind w:left="0" w:right="0" w:hanging="0"/>
        <w:jc w:val="left"/>
        <w:rPr>
          <w:rFonts w:ascii="Times New Roman;Times;Serif" w:hAnsi="Times New Roman;Times;Serif"/>
          <w:b w:val="false"/>
          <w:i w:val="false"/>
          <w:caps w:val="false"/>
          <w:smallCaps w:val="false"/>
          <w:color w:val="333333"/>
          <w:sz w:val="20"/>
          <w:shd w:fill="FFFFFF" w:val="clear"/>
        </w:rPr>
      </w:pPr>
      <w:r>
        <w:rPr>
          <w:rFonts w:ascii="Times New Roman;Times;Serif" w:hAnsi="Times New Roman;Times;Serif"/>
          <w:b w:val="false"/>
          <w:i w:val="false"/>
          <w:caps w:val="false"/>
          <w:smallCaps w:val="false"/>
          <w:color w:val="333333"/>
          <w:sz w:val="20"/>
          <w:shd w:fill="FFFFFF" w:val="clear"/>
        </w:rPr>
        <w:t>February 27, 2025</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283"/>
        <w:jc w:val="left"/>
        <w:rPr/>
      </w:pPr>
      <w:r>
        <w:rPr/>
        <w:t> </w:t>
      </w:r>
    </w:p>
    <w:p>
      <w:pPr>
        <w:pStyle w:val="TextBody"/>
        <w:bidi w:val="0"/>
        <w:jc w:val="left"/>
        <w:rPr/>
      </w:pPr>
      <w:bookmarkStart w:id="7" w:name="tm257256d1_ex23-2.htm"/>
      <w:bookmarkStart w:id="8" w:name="kstm257256d1_ex232"/>
      <w:bookmarkEnd w:id="7"/>
      <w:bookmarkEnd w:id="8"/>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Verona Pharma plc of our report dated February 29, 2024, relating to the financial statements, which appear in Verona Pharma plc's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tm257256d1_ex-filingfees.htm"/>
      <w:bookmarkStart w:id="10" w:name="kstm257256d1_exfilingfees"/>
      <w:bookmarkStart w:id="11" w:name="tm257256d1_ex-filingfees.htm"/>
      <w:bookmarkStart w:id="12" w:name="kstm257256d1_exfilingfees"/>
      <w:bookmarkEnd w:id="11"/>
      <w:bookmarkEnd w:id="12"/>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Verona Pharma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9"/>
        <w:gridCol w:w="1030"/>
        <w:gridCol w:w="1282"/>
        <w:gridCol w:w="1191"/>
        <w:gridCol w:w="1177"/>
        <w:gridCol w:w="1798"/>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9" w:type="dxa"/>
            <w:tcBorders/>
            <w:shd w:fill="E7E7E2" w:val="clear"/>
            <w:vAlign w:val="center"/>
          </w:tcPr>
          <w:p>
            <w:pPr>
              <w:pStyle w:val="TableContents"/>
              <w:bidi w:val="0"/>
              <w:spacing w:before="0" w:after="283"/>
              <w:jc w:val="left"/>
              <w:rPr/>
            </w:pPr>
            <w:r>
              <w:rPr/>
              <w:t xml:space="preserve">Equity </w:t>
            </w:r>
          </w:p>
        </w:tc>
        <w:tc>
          <w:tcPr>
            <w:tcW w:w="1030" w:type="dxa"/>
            <w:tcBorders/>
            <w:shd w:fill="E7E7E2" w:val="clear"/>
            <w:vAlign w:val="center"/>
          </w:tcPr>
          <w:p>
            <w:pPr>
              <w:pStyle w:val="TableContents"/>
              <w:bidi w:val="0"/>
              <w:spacing w:before="0" w:after="283"/>
              <w:jc w:val="left"/>
              <w:rPr/>
            </w:pPr>
            <w:r>
              <w:rPr/>
              <w:t xml:space="preserve">Ordinary Shares, nominal value GBP0.05 per share </w:t>
            </w:r>
          </w:p>
        </w:tc>
        <w:tc>
          <w:tcPr>
            <w:tcW w:w="1282" w:type="dxa"/>
            <w:tcBorders/>
            <w:shd w:fill="E7E7E2" w:val="clear"/>
            <w:vAlign w:val="center"/>
          </w:tcPr>
          <w:p>
            <w:pPr>
              <w:pStyle w:val="TableContents"/>
              <w:bidi w:val="0"/>
              <w:spacing w:before="0" w:after="283"/>
              <w:jc w:val="center"/>
              <w:rPr/>
            </w:pPr>
            <w:r>
              <w:rPr/>
              <w:t xml:space="preserve">457(a) </w:t>
            </w:r>
          </w:p>
        </w:tc>
        <w:tc>
          <w:tcPr>
            <w:tcW w:w="1191" w:type="dxa"/>
            <w:tcBorders/>
            <w:shd w:fill="E7E7E2" w:val="clear"/>
            <w:vAlign w:val="center"/>
          </w:tcPr>
          <w:p>
            <w:pPr>
              <w:pStyle w:val="TableContents"/>
              <w:bidi w:val="0"/>
              <w:spacing w:before="0" w:after="283"/>
              <w:jc w:val="right"/>
              <w:rPr/>
            </w:pPr>
            <w:r>
              <w:rPr/>
              <w:t xml:space="preserve">28,127,576 </w:t>
            </w:r>
          </w:p>
        </w:tc>
        <w:tc>
          <w:tcPr>
            <w:tcW w:w="1177" w:type="dxa"/>
            <w:tcBorders/>
            <w:shd w:fill="E7E7E2" w:val="clear"/>
            <w:vAlign w:val="center"/>
          </w:tcPr>
          <w:p>
            <w:pPr>
              <w:pStyle w:val="TableContents"/>
              <w:bidi w:val="0"/>
              <w:spacing w:before="0" w:after="283"/>
              <w:jc w:val="right"/>
              <w:rPr/>
            </w:pPr>
            <w:r>
              <w:rPr/>
              <w:t xml:space="preserve">$ 7.94 </w:t>
            </w:r>
          </w:p>
        </w:tc>
        <w:tc>
          <w:tcPr>
            <w:tcW w:w="1798" w:type="dxa"/>
            <w:tcBorders/>
            <w:shd w:fill="E7E7E2" w:val="clear"/>
            <w:vAlign w:val="center"/>
          </w:tcPr>
          <w:p>
            <w:pPr>
              <w:pStyle w:val="TableContents"/>
              <w:bidi w:val="0"/>
              <w:spacing w:before="0" w:after="283"/>
              <w:jc w:val="right"/>
              <w:rPr/>
            </w:pPr>
            <w:r>
              <w:rPr/>
              <w:t xml:space="preserve">$ 223,332,953.44 </w:t>
            </w:r>
          </w:p>
        </w:tc>
        <w:tc>
          <w:tcPr>
            <w:tcW w:w="1126" w:type="dxa"/>
            <w:tcBorders/>
            <w:shd w:fill="E7E7E2" w:val="clear"/>
            <w:vAlign w:val="center"/>
          </w:tcPr>
          <w:p>
            <w:pPr>
              <w:pStyle w:val="TableContents"/>
              <w:bidi w:val="0"/>
              <w:spacing w:before="0" w:after="283"/>
              <w:jc w:val="right"/>
              <w:rPr/>
            </w:pPr>
            <w:r>
              <w:rPr/>
              <w:t xml:space="preserve">0.0001531 </w:t>
            </w:r>
          </w:p>
        </w:tc>
        <w:tc>
          <w:tcPr>
            <w:tcW w:w="1411" w:type="dxa"/>
            <w:tcBorders/>
            <w:shd w:fill="E7E7E2" w:val="clear"/>
            <w:vAlign w:val="center"/>
          </w:tcPr>
          <w:p>
            <w:pPr>
              <w:pStyle w:val="TableContents"/>
              <w:bidi w:val="0"/>
              <w:spacing w:before="0" w:after="283"/>
              <w:jc w:val="right"/>
              <w:rPr/>
            </w:pPr>
            <w:r>
              <w:rPr/>
              <w:t xml:space="preserve">$ 34,192.28 </w:t>
            </w:r>
          </w:p>
        </w:tc>
      </w:tr>
      <w:tr>
        <w:trPr/>
        <w:tc>
          <w:tcPr>
            <w:tcW w:w="4693" w:type="dxa"/>
            <w:gridSpan w:val="5"/>
            <w:tcBorders/>
            <w:vAlign w:val="center"/>
          </w:tcPr>
          <w:p>
            <w:pPr>
              <w:pStyle w:val="TableContents"/>
              <w:bidi w:val="0"/>
              <w:spacing w:before="0" w:after="0"/>
              <w:ind w:left="0" w:right="0" w:hanging="0"/>
              <w:jc w:val="right"/>
              <w:rPr/>
            </w:pPr>
            <w:r>
              <w:rPr/>
              <w:t>Total Offering Amounts:</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0"/>
              <w:ind w:left="0" w:right="0" w:hanging="0"/>
              <w:jc w:val="right"/>
              <w:rPr/>
            </w:pPr>
            <w:bookmarkStart w:id="13" w:name="MaxAggtOfferingPrice"/>
            <w:bookmarkEnd w:id="13"/>
            <w:r>
              <w:rPr/>
              <w:t xml:space="preserve">$ 223,332,953.44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$ 34,192.28 </w:t>
            </w:r>
          </w:p>
        </w:tc>
      </w:tr>
      <w:tr>
        <w:trPr/>
        <w:tc>
          <w:tcPr>
            <w:tcW w:w="4693" w:type="dxa"/>
            <w:gridSpan w:val="5"/>
            <w:tcBorders/>
            <w:vAlign w:val="center"/>
          </w:tcPr>
          <w:p>
            <w:pPr>
              <w:pStyle w:val="TableContents"/>
              <w:bidi w:val="0"/>
              <w:spacing w:before="0" w:after="0"/>
              <w:ind w:left="0" w:right="0" w:hanging="0"/>
              <w:jc w:val="right"/>
              <w:rPr/>
            </w:pPr>
            <w:r>
              <w:rPr/>
              <w:t xml:space="preserve">Total Fee Offsets: </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93" w:type="dxa"/>
            <w:gridSpan w:val="5"/>
            <w:tcBorders/>
            <w:vAlign w:val="center"/>
          </w:tcPr>
          <w:p>
            <w:pPr>
              <w:pStyle w:val="TableContents"/>
              <w:bidi w:val="0"/>
              <w:spacing w:before="0" w:after="0"/>
              <w:ind w:left="0" w:right="0" w:hanging="0"/>
              <w:jc w:val="right"/>
              <w:rPr/>
            </w:pPr>
            <w:r>
              <w:rPr/>
              <w:t xml:space="preserve">Net Fee Due: </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6" w:name="NetFeeAmt"/>
            <w:bookmarkEnd w:id="16"/>
            <w:r>
              <w:rPr/>
              <w:t xml:space="preserve">$ 34,192.28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0005"/>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tcBorders/>
            <w:vAlign w:val="center"/>
          </w:tcPr>
          <w:p>
            <w:pPr>
              <w:pStyle w:val="TableContents"/>
              <w:bidi w:val="0"/>
              <w:spacing w:before="0" w:after="283"/>
              <w:jc w:val="left"/>
              <w:rPr/>
            </w:pPr>
            <w:r>
              <w:rPr/>
              <w:t xml:space="preserve">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Consists of an additional 28,127,576 ordinary shares, nominal value GBP0.05 per share ("Ordinary Shares"), of Verona Pharma plc (the "Registrant") that may become issuable under the Verona Pharma plc Second Amended and Restated 2017 Incentive Award Plan (the "2017 Plan") pursuant to the terms of the 2017 Plan. These shares may be represented by the Registrant's American Depositary Shares ("ADSs"), each of which represents eight Ordinary Shares. The Registrant's ADSs issuable upon deposit of the Ordinary Shares registered hereby have been registered under separate registration statements on Form F-6 (File Nos. 333-217353 and 333-270342). Estimated solely for the purpose of calculating the registration fee pursuant to Rules 457(c) and 457(h) of the Securities Act of 1933, as amended, and based upon the average of the high and low prices of the ADSs as reported on The Nasdaq Global Market on February 20, 2025, divided by eight to reflect the ratio of ADSs to Ordinary Shares as described in footnote (2) above. </w:t>
            </w:r>
          </w:p>
        </w:tc>
      </w:tr>
      <w:tr>
        <w:trPr/>
        <w:tc>
          <w:tcPr>
            <w:tcW w:w="200" w:type="dxa"/>
            <w:tcBorders/>
            <w:vAlign w:val="center"/>
          </w:tcPr>
          <w:p>
            <w:pPr>
              <w:pStyle w:val="TableContents"/>
              <w:bidi w:val="0"/>
              <w:spacing w:before="0" w:after="283"/>
              <w:jc w:val="left"/>
              <w:rPr>
                <w:sz w:val="4"/>
                <w:szCs w:val="4"/>
              </w:rPr>
            </w:pPr>
            <w:r>
              <w:rPr>
                <w:sz w:val="4"/>
                <w:szCs w:val="4"/>
              </w:rPr>
            </w:r>
          </w:p>
        </w:tc>
        <w:tc>
          <w:tcPr>
            <w:tcW w:w="10005" w:type="dxa"/>
            <w:tcBorders/>
            <w:vAlign w:val="center"/>
          </w:tcPr>
          <w:p>
            <w:pPr>
              <w:pStyle w:val="HorizontalLine"/>
              <w:pBdr>
                <w:bottom w:val="double" w:sz="2" w:space="0" w:color="808080"/>
              </w:pBdr>
              <w:bidi w:val="0"/>
              <w:spacing w:before="0" w:after="283"/>
              <w:jc w:val="left"/>
              <w:rPr/>
            </w:pPr>
            <w:r>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7312/000110465917027148/a16-21903_12s8.htm" TargetMode="External"/><Relationship Id="rId3" Type="http://schemas.openxmlformats.org/officeDocument/2006/relationships/hyperlink" Target="https://www.sec.gov/Archives/edgar/data/1657312/000110465920054419/tm2018038d1_s8.htm" TargetMode="External"/><Relationship Id="rId4" Type="http://schemas.openxmlformats.org/officeDocument/2006/relationships/hyperlink" Target="https://www.sec.gov/Archives/edgar/data/1657312/000110465920097235/tm2028905-1_s8.htm" TargetMode="External"/><Relationship Id="rId5" Type="http://schemas.openxmlformats.org/officeDocument/2006/relationships/hyperlink" Target="https://www.sec.gov/Archives/edgar/data/1657312/000110465922119131/tm2230441d1_s8.htm" TargetMode="External"/><Relationship Id="rId6" Type="http://schemas.openxmlformats.org/officeDocument/2006/relationships/hyperlink" Target="https://www.sec.gov/Archives/edgar/data/1657312/000110465923057725/tm2314887d1_s8.htm" TargetMode="External"/><Relationship Id="rId7" Type="http://schemas.openxmlformats.org/officeDocument/2006/relationships/hyperlink" Target="https://www.sec.gov/Archives/edgar/data/1657312/000110465924059670/tm2413907d1_s8.htm" TargetMode="External"/><Relationship Id="rId8" Type="http://schemas.openxmlformats.org/officeDocument/2006/relationships/hyperlink" Target="https://www.sec.gov/Archives/edgar/data/1657312/000110465920140541/tm2039594d1_ex1.htm" TargetMode="External"/><Relationship Id="rId9" Type="http://schemas.openxmlformats.org/officeDocument/2006/relationships/hyperlink" Target="https://www.sec.gov/Archives/edgar/data/1657312/000110465920140541/tm2039594d1_ex1.htm" TargetMode="External"/><Relationship Id="rId10" Type="http://schemas.openxmlformats.org/officeDocument/2006/relationships/hyperlink" Target="https://www.sec.gov/Archives/edgar/data/1657312/000110465923054551/tm2314238d1_ex10-1.htm" TargetMode="External"/><Relationship Id="rId11" Type="http://schemas.openxmlformats.org/officeDocument/2006/relationships/hyperlink" Target="https://www.sec.gov/Archives/edgar/data/1657312/000110465923054551/tm2314238d1_ex10-1.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5135</Words>
  <Characters>25959</Characters>
  <CharactersWithSpaces>31180</CharactersWithSpaces>
  <Paragraphs>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