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Deschamps Lisa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0.6588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81,984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the Form 4 was effected pursuant to a Rule 10b5-1 instruction solely with the intent to cover withholding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Issuer's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29,000 Ordinary Shares underlying Restricted Share Units, each of which represents a contingent right to receive one (1) Ordinary Share of the Issuer (which are represented by 3,625 ADSs); and (ii) 52,984 Ordinary Shares underlying 6,623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Lisa Deschamps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538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2021-11-03T18:55:12Z</dcterms:created>
  <dcterms:modified xsi:type="dcterms:W3CDTF">2021-11-03T18:55:12Z</dcterms:modified>
</cp:coreProperties>
</file>