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October 7, 2025</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333-270339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S-3 REGISTRATION STATEMENT NO. 333-270339</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Verona Pharma plc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tbl>
      <w:tblPr>
        <w:tblLayout w:type="fixed"/>
        <w:tblInd w:w="1980" w:type="dxa"/>
        <w:tblCellMar>
          <w:top w:w="0" w:type="dxa"/>
          <w:left w:w="0" w:type="dxa"/>
          <w:bottom w:w="0" w:type="dxa"/>
          <w:right w:w="0" w:type="dxa"/>
        </w:tblCellMar>
      </w:tblPr>
      <w:tr>
        <w:trPr>
          <w:trHeight w:val="216"/>
        </w:trPr>
        <w:tc>
          <w:tcPr>
            <w:tcW w:w="4140" w:type="dxa"/>
            <w:vAlign w:val="bottom"/>
          </w:tcPr>
          <w:p>
            <w:pPr>
              <w:jc w:val="center"/>
              <w:ind w:right="1730"/>
              <w:spacing w:after="0"/>
              <w:rPr>
                <w:sz w:val="20"/>
                <w:szCs w:val="20"/>
                <w:color w:val="auto"/>
              </w:rPr>
            </w:pPr>
            <w:r>
              <w:rPr>
                <w:rFonts w:ascii="Times New Roman" w:cs="Times New Roman" w:eastAsia="Times New Roman" w:hAnsi="Times New Roman"/>
                <w:sz w:val="18"/>
                <w:szCs w:val="18"/>
                <w:b w:val="1"/>
                <w:bCs w:val="1"/>
                <w:color w:val="auto"/>
                <w:w w:val="99"/>
              </w:rPr>
              <w:t>United Kingdom</w:t>
            </w:r>
          </w:p>
        </w:tc>
        <w:tc>
          <w:tcPr>
            <w:tcW w:w="3600" w:type="dxa"/>
            <w:vAlign w:val="bottom"/>
          </w:tcPr>
          <w:p>
            <w:pPr>
              <w:jc w:val="center"/>
              <w:ind w:left="1730"/>
              <w:spacing w:after="0"/>
              <w:rPr>
                <w:sz w:val="20"/>
                <w:szCs w:val="20"/>
                <w:color w:val="auto"/>
              </w:rPr>
            </w:pPr>
            <w:r>
              <w:rPr>
                <w:rFonts w:ascii="Times New Roman" w:cs="Times New Roman" w:eastAsia="Times New Roman" w:hAnsi="Times New Roman"/>
                <w:sz w:val="18"/>
                <w:szCs w:val="18"/>
                <w:b w:val="1"/>
                <w:bCs w:val="1"/>
                <w:color w:val="auto"/>
                <w:w w:val="98"/>
              </w:rPr>
              <w:t>98-1489389</w:t>
            </w:r>
          </w:p>
        </w:tc>
      </w:tr>
      <w:tr>
        <w:trPr>
          <w:trHeight w:val="216"/>
        </w:trPr>
        <w:tc>
          <w:tcPr>
            <w:tcW w:w="4140" w:type="dxa"/>
            <w:vAlign w:val="bottom"/>
          </w:tcPr>
          <w:p>
            <w:pPr>
              <w:jc w:val="center"/>
              <w:ind w:right="171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tc>
        <w:tc>
          <w:tcPr>
            <w:tcW w:w="3600" w:type="dxa"/>
            <w:vAlign w:val="bottom"/>
          </w:tcPr>
          <w:p>
            <w:pPr>
              <w:jc w:val="center"/>
              <w:ind w:left="173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140" w:type="dxa"/>
            <w:vAlign w:val="bottom"/>
          </w:tcPr>
          <w:p>
            <w:pPr>
              <w:jc w:val="center"/>
              <w:ind w:right="171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3600" w:type="dxa"/>
            <w:vAlign w:val="bottom"/>
          </w:tcPr>
          <w:p>
            <w:pPr>
              <w:jc w:val="center"/>
              <w:ind w:left="1730"/>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 More London Riverside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London SE1 2RE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+44 203 283 4200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ind w:left="4400"/>
        <w:spacing w:after="0" w:line="208" w:lineRule="auto"/>
        <w:rPr>
          <w:sz w:val="20"/>
          <w:szCs w:val="20"/>
          <w:color w:val="auto"/>
        </w:rPr>
      </w:pPr>
      <w:r>
        <w:rPr>
          <w:rFonts w:ascii="Times New Roman" w:cs="Times New Roman" w:eastAsia="Times New Roman" w:hAnsi="Times New Roman"/>
          <w:sz w:val="18"/>
          <w:szCs w:val="18"/>
          <w:b w:val="1"/>
          <w:bCs w:val="1"/>
          <w:color w:val="auto"/>
        </w:rPr>
        <w:t>122 East 42nd Street, 18</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10168</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(800) 221-0102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tbl>
      <w:tblPr>
        <w:tblLayout w:type="fixed"/>
        <w:tblInd w:w="1640" w:type="dxa"/>
        <w:tblCellMar>
          <w:top w:w="0" w:type="dxa"/>
          <w:left w:w="0" w:type="dxa"/>
          <w:bottom w:w="0" w:type="dxa"/>
          <w:right w:w="0" w:type="dxa"/>
        </w:tblCellMar>
      </w:tblPr>
      <w:tr>
        <w:trPr>
          <w:trHeight w:val="216"/>
        </w:trPr>
        <w:tc>
          <w:tcPr>
            <w:tcW w:w="2920" w:type="dxa"/>
            <w:vAlign w:val="bottom"/>
          </w:tcPr>
          <w:p>
            <w:pPr>
              <w:spacing w:after="0"/>
              <w:rPr>
                <w:sz w:val="18"/>
                <w:szCs w:val="18"/>
                <w:color w:val="auto"/>
              </w:rPr>
            </w:pPr>
          </w:p>
        </w:tc>
        <w:tc>
          <w:tcPr>
            <w:tcW w:w="4980" w:type="dxa"/>
            <w:vAlign w:val="bottom"/>
          </w:tcPr>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tc>
      </w:tr>
      <w:tr>
        <w:trPr>
          <w:trHeight w:val="216"/>
        </w:trPr>
        <w:tc>
          <w:tcPr>
            <w:tcW w:w="2920" w:type="dxa"/>
            <w:vAlign w:val="bottom"/>
          </w:tcPr>
          <w:p>
            <w:pPr>
              <w:jc w:val="center"/>
              <w:ind w:right="610"/>
              <w:spacing w:after="0"/>
              <w:rPr>
                <w:sz w:val="20"/>
                <w:szCs w:val="20"/>
                <w:color w:val="auto"/>
              </w:rPr>
            </w:pPr>
            <w:r>
              <w:rPr>
                <w:rFonts w:ascii="Times New Roman" w:cs="Times New Roman" w:eastAsia="Times New Roman" w:hAnsi="Times New Roman"/>
                <w:sz w:val="18"/>
                <w:szCs w:val="18"/>
                <w:b w:val="1"/>
                <w:bCs w:val="1"/>
                <w:color w:val="auto"/>
              </w:rPr>
              <w:t>Peter N. Handrinos</w:t>
            </w:r>
          </w:p>
        </w:tc>
        <w:tc>
          <w:tcPr>
            <w:tcW w:w="4980" w:type="dxa"/>
            <w:vAlign w:val="bottom"/>
          </w:tcPr>
          <w:p>
            <w:pPr>
              <w:jc w:val="center"/>
              <w:ind w:left="2990"/>
              <w:spacing w:after="0"/>
              <w:rPr>
                <w:sz w:val="20"/>
                <w:szCs w:val="20"/>
                <w:color w:val="auto"/>
              </w:rPr>
            </w:pPr>
            <w:r>
              <w:rPr>
                <w:rFonts w:ascii="Times New Roman" w:cs="Times New Roman" w:eastAsia="Times New Roman" w:hAnsi="Times New Roman"/>
                <w:sz w:val="18"/>
                <w:szCs w:val="18"/>
                <w:b w:val="1"/>
                <w:bCs w:val="1"/>
                <w:color w:val="auto"/>
              </w:rPr>
              <w:t>James Inness</w:t>
            </w:r>
          </w:p>
        </w:tc>
      </w:tr>
      <w:tr>
        <w:trPr>
          <w:trHeight w:val="216"/>
        </w:trPr>
        <w:tc>
          <w:tcPr>
            <w:tcW w:w="292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9"/>
              </w:rPr>
              <w:t>Latham &amp; Watkins LLP</w:t>
            </w:r>
          </w:p>
        </w:tc>
        <w:tc>
          <w:tcPr>
            <w:tcW w:w="4980" w:type="dxa"/>
            <w:vAlign w:val="bottom"/>
          </w:tcPr>
          <w:p>
            <w:pPr>
              <w:jc w:val="center"/>
              <w:ind w:left="3010"/>
              <w:spacing w:after="0"/>
              <w:rPr>
                <w:sz w:val="20"/>
                <w:szCs w:val="20"/>
                <w:color w:val="auto"/>
              </w:rPr>
            </w:pPr>
            <w:r>
              <w:rPr>
                <w:rFonts w:ascii="Times New Roman" w:cs="Times New Roman" w:eastAsia="Times New Roman" w:hAnsi="Times New Roman"/>
                <w:sz w:val="18"/>
                <w:szCs w:val="18"/>
                <w:b w:val="1"/>
                <w:bCs w:val="1"/>
                <w:color w:val="auto"/>
                <w:w w:val="99"/>
              </w:rPr>
              <w:t>Latham &amp; Watkins LLP</w:t>
            </w:r>
          </w:p>
        </w:tc>
      </w:tr>
      <w:tr>
        <w:trPr>
          <w:trHeight w:val="216"/>
        </w:trPr>
        <w:tc>
          <w:tcPr>
            <w:tcW w:w="292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9"/>
              </w:rPr>
              <w:t>200 Clarendon Street</w:t>
            </w:r>
          </w:p>
        </w:tc>
        <w:tc>
          <w:tcPr>
            <w:tcW w:w="4980" w:type="dxa"/>
            <w:vAlign w:val="bottom"/>
          </w:tcPr>
          <w:p>
            <w:pPr>
              <w:jc w:val="center"/>
              <w:ind w:left="2990"/>
              <w:spacing w:after="0"/>
              <w:rPr>
                <w:sz w:val="20"/>
                <w:szCs w:val="20"/>
                <w:color w:val="auto"/>
              </w:rPr>
            </w:pPr>
            <w:r>
              <w:rPr>
                <w:rFonts w:ascii="Times New Roman" w:cs="Times New Roman" w:eastAsia="Times New Roman" w:hAnsi="Times New Roman"/>
                <w:sz w:val="18"/>
                <w:szCs w:val="18"/>
                <w:b w:val="1"/>
                <w:bCs w:val="1"/>
                <w:color w:val="auto"/>
                <w:w w:val="99"/>
              </w:rPr>
              <w:t>99 Bishopsgate</w:t>
            </w:r>
          </w:p>
        </w:tc>
      </w:tr>
      <w:tr>
        <w:trPr>
          <w:trHeight w:val="216"/>
        </w:trPr>
        <w:tc>
          <w:tcPr>
            <w:tcW w:w="2920" w:type="dxa"/>
            <w:vAlign w:val="bottom"/>
          </w:tcPr>
          <w:p>
            <w:pPr>
              <w:jc w:val="center"/>
              <w:ind w:right="610"/>
              <w:spacing w:after="0"/>
              <w:rPr>
                <w:sz w:val="20"/>
                <w:szCs w:val="20"/>
                <w:color w:val="auto"/>
              </w:rPr>
            </w:pPr>
            <w:r>
              <w:rPr>
                <w:rFonts w:ascii="Times New Roman" w:cs="Times New Roman" w:eastAsia="Times New Roman" w:hAnsi="Times New Roman"/>
                <w:sz w:val="18"/>
                <w:szCs w:val="18"/>
                <w:b w:val="1"/>
                <w:bCs w:val="1"/>
                <w:color w:val="auto"/>
                <w:w w:val="99"/>
              </w:rPr>
              <w:t>Boston, Massachusetts 02116</w:t>
            </w:r>
          </w:p>
        </w:tc>
        <w:tc>
          <w:tcPr>
            <w:tcW w:w="4980" w:type="dxa"/>
            <w:vAlign w:val="bottom"/>
          </w:tcPr>
          <w:p>
            <w:pPr>
              <w:jc w:val="center"/>
              <w:ind w:left="2990"/>
              <w:spacing w:after="0"/>
              <w:rPr>
                <w:sz w:val="20"/>
                <w:szCs w:val="20"/>
                <w:color w:val="auto"/>
              </w:rPr>
            </w:pPr>
            <w:r>
              <w:rPr>
                <w:rFonts w:ascii="Times New Roman" w:cs="Times New Roman" w:eastAsia="Times New Roman" w:hAnsi="Times New Roman"/>
                <w:sz w:val="18"/>
                <w:szCs w:val="18"/>
                <w:b w:val="1"/>
                <w:bCs w:val="1"/>
                <w:color w:val="auto"/>
              </w:rPr>
              <w:t>London EC2M 3XF</w:t>
            </w:r>
          </w:p>
        </w:tc>
      </w:tr>
      <w:tr>
        <w:trPr>
          <w:trHeight w:val="216"/>
        </w:trPr>
        <w:tc>
          <w:tcPr>
            <w:tcW w:w="292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9"/>
              </w:rPr>
              <w:t>(617) 948-6000</w:t>
            </w:r>
          </w:p>
        </w:tc>
        <w:tc>
          <w:tcPr>
            <w:tcW w:w="4980" w:type="dxa"/>
            <w:vAlign w:val="bottom"/>
          </w:tcPr>
          <w:p>
            <w:pPr>
              <w:jc w:val="center"/>
              <w:ind w:left="3010"/>
              <w:spacing w:after="0"/>
              <w:rPr>
                <w:sz w:val="20"/>
                <w:szCs w:val="20"/>
                <w:color w:val="auto"/>
              </w:rPr>
            </w:pPr>
            <w:r>
              <w:rPr>
                <w:rFonts w:ascii="Times New Roman" w:cs="Times New Roman" w:eastAsia="Times New Roman" w:hAnsi="Times New Roman"/>
                <w:sz w:val="18"/>
                <w:szCs w:val="18"/>
                <w:b w:val="1"/>
                <w:bCs w:val="1"/>
                <w:color w:val="auto"/>
                <w:w w:val="99"/>
              </w:rPr>
              <w:t>United Kingdom</w:t>
            </w:r>
          </w:p>
        </w:tc>
      </w:tr>
      <w:tr>
        <w:trPr>
          <w:trHeight w:val="238"/>
        </w:trPr>
        <w:tc>
          <w:tcPr>
            <w:tcW w:w="2920" w:type="dxa"/>
            <w:vAlign w:val="bottom"/>
          </w:tcPr>
          <w:p>
            <w:pPr>
              <w:spacing w:after="0"/>
              <w:rPr>
                <w:sz w:val="20"/>
                <w:szCs w:val="20"/>
                <w:color w:val="auto"/>
              </w:rPr>
            </w:pPr>
          </w:p>
        </w:tc>
        <w:tc>
          <w:tcPr>
            <w:tcW w:w="4980" w:type="dxa"/>
            <w:vAlign w:val="bottom"/>
          </w:tcPr>
          <w:p>
            <w:pPr>
              <w:jc w:val="center"/>
              <w:ind w:left="2990"/>
              <w:spacing w:after="0"/>
              <w:rPr>
                <w:sz w:val="20"/>
                <w:szCs w:val="20"/>
                <w:color w:val="auto"/>
              </w:rPr>
            </w:pPr>
            <w:r>
              <w:rPr>
                <w:rFonts w:ascii="Times New Roman" w:cs="Times New Roman" w:eastAsia="Times New Roman" w:hAnsi="Times New Roman"/>
                <w:sz w:val="18"/>
                <w:szCs w:val="18"/>
                <w:b w:val="1"/>
                <w:bCs w:val="1"/>
                <w:color w:val="auto"/>
              </w:rPr>
              <w:t>+44 20 7710-1000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Approximate date of commencement of proposed sale to the public: </w:t>
      </w:r>
      <w:r>
        <w:rPr>
          <w:rFonts w:ascii="Times New Roman" w:cs="Times New Roman" w:eastAsia="Times New Roman" w:hAnsi="Times New Roman"/>
          <w:sz w:val="18"/>
          <w:szCs w:val="18"/>
          <w:color w:val="auto"/>
        </w:rPr>
        <w:t>Not applicable.</w:t>
      </w:r>
    </w:p>
    <w:p>
      <w:pPr>
        <w:spacing w:after="0" w:line="18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266" w:lineRule="exact"/>
        <w:rPr>
          <w:sz w:val="24"/>
          <w:szCs w:val="24"/>
          <w:color w:val="auto"/>
        </w:rPr>
      </w:pPr>
    </w:p>
    <w:p>
      <w:pPr>
        <w:ind w:right="320"/>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right="4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ind w:right="54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ind w:right="28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right="44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4"/>
          <w:szCs w:val="24"/>
          <w:color w:val="auto"/>
        </w:rPr>
      </w:pPr>
    </w:p>
    <w:p>
      <w:pPr>
        <w:spacing w:after="0" w:line="207" w:lineRule="exact"/>
        <w:tabs>
          <w:tab w:leader="none" w:pos="4600" w:val="left"/>
          <w:tab w:leader="none" w:pos="5180" w:val="left"/>
          <w:tab w:leader="none" w:pos="10760" w:val="left"/>
        </w:tabs>
        <w:rPr>
          <w:sz w:val="20"/>
          <w:szCs w:val="20"/>
          <w:color w:val="auto"/>
        </w:rPr>
      </w:pPr>
      <w:r>
        <w:rPr>
          <w:rFonts w:ascii="Times New Roman" w:cs="Times New Roman" w:eastAsia="Times New Roman" w:hAnsi="Times New Roman"/>
          <w:sz w:val="18"/>
          <w:szCs w:val="18"/>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Accelerated filer</w:t>
      </w:r>
      <w:r>
        <w:rPr>
          <w:sz w:val="20"/>
          <w:szCs w:val="20"/>
          <w:color w:val="auto"/>
        </w:rPr>
        <w:tab/>
      </w:r>
      <w:r>
        <w:rPr>
          <w:rFonts w:ascii="MS PGothic" w:cs="MS PGothic" w:eastAsia="MS PGothic" w:hAnsi="MS PGothic"/>
          <w:sz w:val="16"/>
          <w:szCs w:val="16"/>
          <w:color w:val="auto"/>
        </w:rPr>
        <w:t>☐</w:t>
      </w:r>
    </w:p>
    <w:p>
      <w:pPr>
        <w:sectPr>
          <w:pgSz w:w="11900" w:h="16838" w:orient="portrait"/>
          <w:cols w:equalWidth="0" w:num="1">
            <w:col w:w="11240"/>
          </w:cols>
          <w:pgMar w:left="320" w:top="468" w:right="339" w:bottom="29" w:gutter="0" w:footer="0" w:header="0"/>
        </w:sectPr>
      </w:pPr>
    </w:p>
    <w:bookmarkStart w:id="1" w:name="page2"/>
    <w:bookmarkEnd w:id="1"/>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84" w:lineRule="exact"/>
        <w:rPr>
          <w:sz w:val="20"/>
          <w:szCs w:val="20"/>
          <w:color w:val="auto"/>
        </w:rPr>
      </w:pPr>
    </w:p>
    <w:p>
      <w:pPr>
        <w:sectPr>
          <w:pgSz w:w="11900" w:h="16838" w:orient="portrait"/>
          <w:cols w:equalWidth="0" w:num="4">
            <w:col w:w="3900" w:space="720"/>
            <w:col w:w="160" w:space="420"/>
            <w:col w:w="4860" w:space="720"/>
            <w:col w:w="300"/>
          </w:cols>
          <w:pgMar w:left="320" w:top="81" w:right="499" w:bottom="1440" w:gutter="0" w:footer="0" w:header="0"/>
        </w:sectPr>
      </w:pP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Emerging growth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74" w:lineRule="exact"/>
        <w:rPr>
          <w:sz w:val="20"/>
          <w:szCs w:val="20"/>
          <w:color w:val="auto"/>
        </w:rPr>
      </w:pPr>
    </w:p>
    <w:p>
      <w:pPr>
        <w:sectPr>
          <w:pgSz w:w="11900" w:h="16838" w:orient="portrait"/>
          <w:cols w:equalWidth="0" w:num="2">
            <w:col w:w="10060" w:space="720"/>
            <w:col w:w="300"/>
          </w:cols>
          <w:pgMar w:left="320" w:top="81" w:right="499" w:bottom="1440" w:gutter="0" w:footer="0" w:header="0"/>
          <w:type w:val="continuous"/>
        </w:sectPr>
      </w:pPr>
    </w:p>
    <w:p>
      <w:pPr>
        <w:spacing w:after="0" w:line="25"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600075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81" w:right="49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DEREGISTRATION OF SECURITIES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Verona Pharma plc, a public limited company incorporated under the laws of England and Wales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is filing this post-effective amendment (this “</w:t>
      </w:r>
      <w:r>
        <w:rPr>
          <w:rFonts w:ascii="Times New Roman" w:cs="Times New Roman" w:eastAsia="Times New Roman" w:hAnsi="Times New Roman"/>
          <w:sz w:val="18"/>
          <w:szCs w:val="18"/>
          <w:b w:val="1"/>
          <w:bCs w:val="1"/>
          <w:i w:val="1"/>
          <w:iCs w:val="1"/>
          <w:color w:val="auto"/>
        </w:rPr>
        <w:t>Post-Effective Amendment</w:t>
      </w:r>
      <w:r>
        <w:rPr>
          <w:rFonts w:ascii="Times New Roman" w:cs="Times New Roman" w:eastAsia="Times New Roman" w:hAnsi="Times New Roman"/>
          <w:sz w:val="18"/>
          <w:szCs w:val="18"/>
          <w:color w:val="auto"/>
        </w:rPr>
        <w:t>”) to the following Registration Statement on Form S-3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which was previously filed with the United States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to deregister any and all securities registered but unsold under such Registration Statement as of the date hereof:</w:t>
      </w:r>
    </w:p>
    <w:p>
      <w:pPr>
        <w:spacing w:after="0" w:line="180" w:lineRule="exact"/>
        <w:rPr>
          <w:sz w:val="20"/>
          <w:szCs w:val="20"/>
          <w:color w:val="auto"/>
        </w:rPr>
      </w:pPr>
    </w:p>
    <w:p>
      <w:pPr>
        <w:jc w:val="both"/>
        <w:ind w:left="340" w:hanging="332"/>
        <w:spacing w:after="0" w:line="266"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333-270339, filed with the SEC on Form S-3ASR on March 7, 2023, pertaining to the registration of ordinary shares, nominal value £0.05 per share, including ordinary shares represented by the Company’s American Depositary Shares, debt securities, warrants and units.</w:t>
      </w:r>
    </w:p>
    <w:p>
      <w:pPr>
        <w:spacing w:after="0" w:line="17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July 8, 2025, the Company entered into a transaction agreement (the “</w:t>
      </w:r>
      <w:r>
        <w:rPr>
          <w:rFonts w:ascii="Times New Roman" w:cs="Times New Roman" w:eastAsia="Times New Roman" w:hAnsi="Times New Roman"/>
          <w:sz w:val="18"/>
          <w:szCs w:val="18"/>
          <w:b w:val="1"/>
          <w:bCs w:val="1"/>
          <w:i w:val="1"/>
          <w:iCs w:val="1"/>
          <w:color w:val="auto"/>
        </w:rPr>
        <w:t>Transaction Agreement</w:t>
      </w:r>
      <w:r>
        <w:rPr>
          <w:rFonts w:ascii="Times New Roman" w:cs="Times New Roman" w:eastAsia="Times New Roman" w:hAnsi="Times New Roman"/>
          <w:sz w:val="18"/>
          <w:szCs w:val="18"/>
          <w:color w:val="auto"/>
        </w:rPr>
        <w:t>”) with Merck Sharp &amp; Dohme LLC, a New Jersey limited liability company (“</w:t>
      </w:r>
      <w:r>
        <w:rPr>
          <w:rFonts w:ascii="Times New Roman" w:cs="Times New Roman" w:eastAsia="Times New Roman" w:hAnsi="Times New Roman"/>
          <w:sz w:val="18"/>
          <w:szCs w:val="18"/>
          <w:b w:val="1"/>
          <w:bCs w:val="1"/>
          <w:i w:val="1"/>
          <w:iCs w:val="1"/>
          <w:color w:val="auto"/>
        </w:rPr>
        <w:t>Parent</w:t>
      </w:r>
      <w:r>
        <w:rPr>
          <w:rFonts w:ascii="Times New Roman" w:cs="Times New Roman" w:eastAsia="Times New Roman" w:hAnsi="Times New Roman"/>
          <w:sz w:val="18"/>
          <w:szCs w:val="18"/>
          <w:color w:val="auto"/>
        </w:rPr>
        <w:t>”) and Vol Holdings LLC, a Delaware limited liability company and wholly owned subsidiary of Parent (“</w:t>
      </w:r>
      <w:r>
        <w:rPr>
          <w:rFonts w:ascii="Times New Roman" w:cs="Times New Roman" w:eastAsia="Times New Roman" w:hAnsi="Times New Roman"/>
          <w:sz w:val="18"/>
          <w:szCs w:val="18"/>
          <w:b w:val="1"/>
          <w:bCs w:val="1"/>
          <w:i w:val="1"/>
          <w:iCs w:val="1"/>
          <w:color w:val="auto"/>
        </w:rPr>
        <w:t>Bidco</w:t>
      </w:r>
      <w:r>
        <w:rPr>
          <w:rFonts w:ascii="Times New Roman" w:cs="Times New Roman" w:eastAsia="Times New Roman" w:hAnsi="Times New Roman"/>
          <w:sz w:val="18"/>
          <w:szCs w:val="18"/>
          <w:color w:val="auto"/>
        </w:rPr>
        <w:t>”), pursuant to which Bidco agreed to acquire the entire issued and to be issued share capital of the Company (the “</w:t>
      </w:r>
      <w:r>
        <w:rPr>
          <w:rFonts w:ascii="Times New Roman" w:cs="Times New Roman" w:eastAsia="Times New Roman" w:hAnsi="Times New Roman"/>
          <w:sz w:val="18"/>
          <w:szCs w:val="18"/>
          <w:b w:val="1"/>
          <w:bCs w:val="1"/>
          <w:i w:val="1"/>
          <w:iCs w:val="1"/>
          <w:color w:val="auto"/>
        </w:rPr>
        <w:t>Transaction</w:t>
      </w:r>
      <w:r>
        <w:rPr>
          <w:rFonts w:ascii="Times New Roman" w:cs="Times New Roman" w:eastAsia="Times New Roman" w:hAnsi="Times New Roman"/>
          <w:sz w:val="18"/>
          <w:szCs w:val="18"/>
          <w:color w:val="auto"/>
        </w:rPr>
        <w:t>”) by means of a court-sanctioned English law scheme of arrangement (the “</w:t>
      </w:r>
      <w:r>
        <w:rPr>
          <w:rFonts w:ascii="Times New Roman" w:cs="Times New Roman" w:eastAsia="Times New Roman" w:hAnsi="Times New Roman"/>
          <w:sz w:val="18"/>
          <w:szCs w:val="18"/>
          <w:b w:val="1"/>
          <w:bCs w:val="1"/>
          <w:i w:val="1"/>
          <w:iCs w:val="1"/>
          <w:color w:val="auto"/>
        </w:rPr>
        <w:t>Scheme of Arrangement</w:t>
      </w:r>
      <w:r>
        <w:rPr>
          <w:rFonts w:ascii="Times New Roman" w:cs="Times New Roman" w:eastAsia="Times New Roman" w:hAnsi="Times New Roman"/>
          <w:sz w:val="18"/>
          <w:szCs w:val="18"/>
          <w:color w:val="auto"/>
        </w:rPr>
        <w:t>”) under Part 26 of the Companies Act 2006. On October 6, 2025, the High Court of Justice of England and Wales (the “</w:t>
      </w:r>
      <w:r>
        <w:rPr>
          <w:rFonts w:ascii="Times New Roman" w:cs="Times New Roman" w:eastAsia="Times New Roman" w:hAnsi="Times New Roman"/>
          <w:sz w:val="18"/>
          <w:szCs w:val="18"/>
          <w:b w:val="1"/>
          <w:bCs w:val="1"/>
          <w:i w:val="1"/>
          <w:iCs w:val="1"/>
          <w:color w:val="auto"/>
        </w:rPr>
        <w:t>Court</w:t>
      </w:r>
      <w:r>
        <w:rPr>
          <w:rFonts w:ascii="Times New Roman" w:cs="Times New Roman" w:eastAsia="Times New Roman" w:hAnsi="Times New Roman"/>
          <w:sz w:val="18"/>
          <w:szCs w:val="18"/>
          <w:color w:val="auto"/>
        </w:rPr>
        <w:t>”) sanctioned the Scheme of Arrangement at a public hearing convened by the Court and the Company. On October 7, 2025, Merck and Bidco consummated the Transaction in accordance with the Transaction Agreement and the Scheme of Arrangement.</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result of the Transaction, the Company has terminated all offerings of the Company’s securities registered pursuant to its existing registration statements under the Securities Act of 1933, as amended, including the Registration Statement. The Company, by filing this Post-Effective Amendment, hereby terminates the effectiveness of the Registration Statement and removes from registration any and all securities registered for issuance under the Registration Statement that remain unsold as of the date hereof. This filing is made in accordance with an undertaking made by the Company in the Registration Statement to remove from registration by means of a post-effective amendment any securities that had been registered for issuance that remain unsold at the termination of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S-3 and has duly caused this Post-Effective Amendment to the Registration Statement on Form S-3 to be signed on its behalf by the undersigned, thereunto duly authorized, in the City of London, United Kingdom on October 7, 2025.</w:t>
      </w:r>
    </w:p>
    <w:p>
      <w:pPr>
        <w:spacing w:after="0" w:line="38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Benjamin Lucas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Benjamin Lucas</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Principal Executive Officer and Director</w:t>
      </w:r>
    </w:p>
    <w:p>
      <w:pPr>
        <w:spacing w:after="0" w:line="20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Post-Effective Amendment to the Registration Statement has been signed by the following persons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300" w:type="dxa"/>
            <w:vAlign w:val="bottom"/>
            <w:tcBorders>
              <w:bottom w:val="single" w:sz="8" w:color="auto"/>
            </w:tcBorders>
          </w:tcPr>
          <w:p>
            <w:pPr>
              <w:ind w:left="132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08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5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Capacity</w:t>
            </w:r>
          </w:p>
        </w:tc>
        <w:tc>
          <w:tcPr>
            <w:tcW w:w="220" w:type="dxa"/>
            <w:vAlign w:val="bottom"/>
          </w:tcPr>
          <w:p>
            <w:pPr>
              <w:spacing w:after="0"/>
              <w:rPr>
                <w:sz w:val="21"/>
                <w:szCs w:val="21"/>
                <w:color w:val="auto"/>
              </w:rPr>
            </w:pPr>
          </w:p>
        </w:tc>
        <w:tc>
          <w:tcPr>
            <w:tcW w:w="224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432"/>
        </w:trPr>
        <w:tc>
          <w:tcPr>
            <w:tcW w:w="2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Benjamin Lucas</w:t>
            </w:r>
          </w:p>
        </w:tc>
        <w:tc>
          <w:tcPr>
            <w:tcW w:w="10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Principal Executive Officer and Director</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October 7, 2025</w:t>
            </w:r>
          </w:p>
        </w:tc>
      </w:tr>
      <w:tr>
        <w:trPr>
          <w:trHeight w:val="228"/>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Benjamin Lucas</w:t>
            </w: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4"/>
        </w:trPr>
        <w:tc>
          <w:tcPr>
            <w:tcW w:w="2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Ebru Can Temucin</w:t>
            </w:r>
          </w:p>
        </w:tc>
        <w:tc>
          <w:tcPr>
            <w:tcW w:w="10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Principal Accounting Officer, Principal Financial Officer and Director</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October 7, 2025</w:t>
            </w:r>
          </w:p>
        </w:tc>
      </w:tr>
      <w:tr>
        <w:trPr>
          <w:trHeight w:val="228"/>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Ebru Can Temucin</w:t>
            </w: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4"/>
        </w:trPr>
        <w:tc>
          <w:tcPr>
            <w:tcW w:w="2300" w:type="dxa"/>
            <w:vAlign w:val="bottom"/>
          </w:tcPr>
          <w:p>
            <w:pPr>
              <w:spacing w:after="0"/>
              <w:rPr>
                <w:sz w:val="24"/>
                <w:szCs w:val="24"/>
                <w:color w:val="auto"/>
              </w:rPr>
            </w:pPr>
          </w:p>
        </w:tc>
        <w:tc>
          <w:tcPr>
            <w:tcW w:w="6700" w:type="dxa"/>
            <w:vAlign w:val="bottom"/>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SIGNATURE OF AUTHORIZED U.S. REPRESENTATIVE OF REGISTRANT</w:t>
            </w:r>
          </w:p>
        </w:tc>
        <w:tc>
          <w:tcPr>
            <w:tcW w:w="2240" w:type="dxa"/>
            <w:vAlign w:val="bottom"/>
          </w:tcPr>
          <w:p>
            <w:pPr>
              <w:spacing w:after="0"/>
              <w:rPr>
                <w:sz w:val="24"/>
                <w:szCs w:val="24"/>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undersigned, the duly authorized representative in the United States of Verona Pharma plc, has signed this Post-Effective Amendment to the Registration Statement on Form S-3, in the City of New York, State of New York, on October 7,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Representative in the United States)</w:t>
      </w:r>
    </w:p>
    <w:p>
      <w:pPr>
        <w:spacing w:after="0" w:line="200" w:lineRule="exact"/>
        <w:rPr>
          <w:sz w:val="20"/>
          <w:szCs w:val="20"/>
          <w:color w:val="auto"/>
        </w:rPr>
      </w:pPr>
    </w:p>
    <w:p>
      <w:pPr>
        <w:spacing w:after="0" w:line="223"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Colleen A. De 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32746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Colleen A. De Vries</w:t>
      </w:r>
    </w:p>
    <w:p>
      <w:pPr>
        <w:spacing w:after="0" w:line="23" w:lineRule="exact"/>
        <w:rPr>
          <w:sz w:val="20"/>
          <w:szCs w:val="20"/>
          <w:color w:val="auto"/>
        </w:rPr>
      </w:pPr>
    </w:p>
    <w:p>
      <w:pPr>
        <w:ind w:left="460"/>
        <w:spacing w:after="0"/>
        <w:tabs>
          <w:tab w:leader="none" w:pos="10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 on behalf of Cogency Global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2025-10-07T12:03:28Z</dcterms:created>
  <dcterms:modified xsi:type="dcterms:W3CDTF">2025-10-07T12:03:28Z</dcterms:modified>
</cp:coreProperties>
</file>