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Rickard Kathleen A.</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0000FF"/>
                <w:w w:val="99"/>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420" w:type="dxa"/>
            <w:vAlign w:val="bottom"/>
          </w:tcPr>
          <w:p>
            <w:pPr>
              <w:ind w:left="240"/>
              <w:spacing w:after="0"/>
              <w:rPr>
                <w:sz w:val="20"/>
                <w:szCs w:val="20"/>
                <w:color w:val="auto"/>
              </w:rPr>
            </w:pPr>
            <w:r>
              <w:rPr>
                <w:rFonts w:ascii="Arial" w:cs="Arial" w:eastAsia="Arial" w:hAnsi="Arial"/>
                <w:sz w:val="17"/>
                <w:szCs w:val="17"/>
                <w:color w:val="0000FF"/>
              </w:rPr>
              <w:t>X0</w:t>
            </w:r>
          </w:p>
        </w:tc>
        <w:tc>
          <w:tcPr>
            <w:tcW w:w="1240" w:type="dxa"/>
            <w:vAlign w:val="bottom"/>
          </w:tcPr>
          <w:p>
            <w:pPr>
              <w:ind w:left="4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Verona Pharma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VRNA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700" w:type="dxa"/>
            <w:vAlign w:val="bottom"/>
            <w:gridSpan w:val="3"/>
          </w:tcPr>
          <w:p>
            <w:pPr>
              <w:ind w:left="80"/>
              <w:spacing w:after="0"/>
              <w:rPr>
                <w:sz w:val="20"/>
                <w:szCs w:val="20"/>
                <w:color w:val="auto"/>
              </w:rPr>
            </w:pPr>
            <w:r>
              <w:rPr>
                <w:rFonts w:ascii="Arial" w:cs="Arial" w:eastAsia="Arial" w:hAnsi="Arial"/>
                <w:sz w:val="17"/>
                <w:szCs w:val="17"/>
                <w:color w:val="0000FF"/>
              </w:rPr>
              <w:t>11/01/2023</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11/01/2023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88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95"/>
              </w:rPr>
              <w:t>173,136</w:t>
            </w:r>
            <w:r>
              <w:rPr>
                <w:rFonts w:ascii="Arial" w:cs="Arial" w:eastAsia="Arial" w:hAnsi="Arial"/>
                <w:sz w:val="22"/>
                <w:szCs w:val="22"/>
                <w:color w:val="008000"/>
                <w:w w:val="95"/>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1.7438</w:t>
            </w:r>
            <w:r>
              <w:rPr>
                <w:rFonts w:ascii="Arial" w:cs="Arial" w:eastAsia="Arial" w:hAnsi="Arial"/>
                <w:sz w:val="22"/>
                <w:szCs w:val="22"/>
                <w:color w:val="008000"/>
                <w:w w:val="98"/>
                <w:vertAlign w:val="superscript"/>
              </w:rPr>
              <w:t>(3)</w:t>
            </w:r>
          </w:p>
        </w:tc>
        <w:tc>
          <w:tcPr>
            <w:tcW w:w="120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2,899,392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11/03/2023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8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58,752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1.92</w:t>
            </w:r>
            <w:r>
              <w:rPr>
                <w:rFonts w:ascii="Arial" w:cs="Arial" w:eastAsia="Arial" w:hAnsi="Arial"/>
                <w:sz w:val="22"/>
                <w:szCs w:val="22"/>
                <w:color w:val="008000"/>
                <w:vertAlign w:val="superscript"/>
              </w:rPr>
              <w:t>(5)</w:t>
            </w:r>
          </w:p>
        </w:tc>
        <w:tc>
          <w:tcPr>
            <w:tcW w:w="120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0000FF"/>
              </w:rPr>
              <w:t>2,840,640</w:t>
            </w:r>
            <w:r>
              <w:rPr>
                <w:rFonts w:ascii="Arial" w:cs="Arial" w:eastAsia="Arial" w:hAnsi="Arial"/>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October 31, 2023 divided by eight (8).</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plan adopted on February 17, 2023.</w:t>
      </w:r>
    </w:p>
    <w:p>
      <w:pPr>
        <w:spacing w:after="0" w:line="50" w:lineRule="exact"/>
        <w:rPr>
          <w:rFonts w:ascii="Arial" w:cs="Arial" w:eastAsia="Arial" w:hAnsi="Arial"/>
          <w:sz w:val="13"/>
          <w:szCs w:val="13"/>
          <w:color w:val="008000"/>
        </w:rPr>
      </w:pPr>
    </w:p>
    <w:p>
      <w:pPr>
        <w:ind w:left="40" w:right="4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a weighted average sale price of the ADSs divided by eight (8). These shares were sold in multiple transactions at prices ranging from $1.88 to $1.94,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1,360,096 Ordinary Shares underlying Restricted Share Units, each of which represents a contingent right to receive one (1) Ordinary Share of the Issuer (which are represented by 170,012 ADSs); and (ii) 1,480,544 Ordinary Shares underlying 185,068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Claire Poll, Attorney-in-</w:t>
            </w:r>
          </w:p>
        </w:tc>
        <w:tc>
          <w:tcPr>
            <w:tcW w:w="1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11/03/2023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2023-11-03T19:31:30Z</dcterms:created>
  <dcterms:modified xsi:type="dcterms:W3CDTF">2023-11-03T19:31:30Z</dcterms:modified>
</cp:coreProperties>
</file>