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6346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34619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03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Poll Claire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01/20/2023</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17"/>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08" w:lineRule="exact"/>
        <w:rPr>
          <w:sz w:val="24"/>
          <w:szCs w:val="24"/>
          <w:color w:val="auto"/>
        </w:rPr>
      </w:pPr>
    </w:p>
    <w:p>
      <w:pPr>
        <w:sectPr>
          <w:pgSz w:w="11900" w:h="16838" w:orient="portrait"/>
          <w:cols w:equalWidth="0" w:num="3">
            <w:col w:w="3180" w:space="720"/>
            <w:col w:w="3103" w:space="720"/>
            <w:col w:w="3357"/>
          </w:cols>
          <w:pgMar w:left="460" w:top="217" w:right="359" w:bottom="1034"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40" w:space="160"/>
            <w:col w:w="7180"/>
          </w:cols>
          <w:pgMar w:left="460" w:top="217" w:right="359" w:bottom="103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01/20/2023</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178,800</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2,211,439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02/01/2023</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G</w:t>
            </w:r>
          </w:p>
        </w:tc>
        <w:tc>
          <w:tcPr>
            <w:tcW w:w="3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152,000</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2,059,439</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21"/>
                <w:szCs w:val="21"/>
                <w:color w:val="auto"/>
              </w:rPr>
            </w:pPr>
          </w:p>
        </w:tc>
        <w:tc>
          <w:tcPr>
            <w:tcW w:w="1600" w:type="dxa"/>
            <w:vAlign w:val="bottom"/>
            <w:gridSpan w:val="2"/>
            <w:vMerge w:val="restart"/>
          </w:tcPr>
          <w:p>
            <w:pPr>
              <w:jc w:val="center"/>
              <w:ind w:left="550"/>
              <w:spacing w:after="0"/>
              <w:rPr>
                <w:sz w:val="20"/>
                <w:szCs w:val="20"/>
                <w:color w:val="auto"/>
              </w:rPr>
            </w:pPr>
            <w:r>
              <w:rPr>
                <w:rFonts w:ascii="Times New Roman" w:cs="Times New Roman" w:eastAsia="Times New Roman" w:hAnsi="Times New Roman"/>
                <w:sz w:val="17"/>
                <w:szCs w:val="17"/>
                <w:color w:val="0000FF"/>
              </w:rPr>
              <w:t>02/01/2023</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4"/>
              </w:rPr>
              <w:t>G</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152,000</w:t>
            </w: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vMerge w:val="restart"/>
          </w:tcPr>
          <w:p>
            <w:pPr>
              <w:jc w:val="center"/>
              <w:ind w:left="6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926,256</w:t>
            </w:r>
          </w:p>
        </w:tc>
        <w:tc>
          <w:tcPr>
            <w:tcW w:w="280" w:type="dxa"/>
            <w:vAlign w:val="bottom"/>
          </w:tcPr>
          <w:p>
            <w:pPr>
              <w:spacing w:after="0"/>
              <w:rPr>
                <w:sz w:val="21"/>
                <w:szCs w:val="21"/>
                <w:color w:val="auto"/>
              </w:rPr>
            </w:pPr>
          </w:p>
        </w:tc>
        <w:tc>
          <w:tcPr>
            <w:tcW w:w="6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21"/>
                <w:szCs w:val="21"/>
                <w:color w:val="auto"/>
              </w:rPr>
            </w:pPr>
          </w:p>
        </w:tc>
        <w:tc>
          <w:tcPr>
            <w:tcW w:w="1600" w:type="dxa"/>
            <w:vAlign w:val="bottom"/>
            <w:gridSpan w:val="2"/>
            <w:vMerge w:val="restart"/>
          </w:tcPr>
          <w:p>
            <w:pPr>
              <w:jc w:val="center"/>
              <w:ind w:left="550"/>
              <w:spacing w:after="0"/>
              <w:rPr>
                <w:sz w:val="20"/>
                <w:szCs w:val="20"/>
                <w:color w:val="auto"/>
              </w:rPr>
            </w:pPr>
            <w:r>
              <w:rPr>
                <w:rFonts w:ascii="Times New Roman" w:cs="Times New Roman" w:eastAsia="Times New Roman" w:hAnsi="Times New Roman"/>
                <w:sz w:val="17"/>
                <w:szCs w:val="17"/>
                <w:color w:val="0000FF"/>
              </w:rPr>
              <w:t>02/01/2023</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(4)</w:t>
            </w:r>
          </w:p>
        </w:tc>
        <w:tc>
          <w:tcPr>
            <w:tcW w:w="300" w:type="dxa"/>
            <w:vAlign w:val="bottom"/>
          </w:tcPr>
          <w:p>
            <w:pPr>
              <w:spacing w:after="0"/>
              <w:rPr>
                <w:sz w:val="21"/>
                <w:szCs w:val="21"/>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152,000</w:t>
            </w: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2.5939</w:t>
            </w:r>
            <w:r>
              <w:rPr>
                <w:rFonts w:ascii="Times New Roman" w:cs="Times New Roman" w:eastAsia="Times New Roman" w:hAnsi="Times New Roman"/>
                <w:sz w:val="21"/>
                <w:szCs w:val="21"/>
                <w:color w:val="008000"/>
                <w:w w:val="93"/>
                <w:vertAlign w:val="superscript"/>
              </w:rPr>
              <w:t>(5)</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774,256</w:t>
            </w:r>
          </w:p>
        </w:tc>
        <w:tc>
          <w:tcPr>
            <w:tcW w:w="280" w:type="dxa"/>
            <w:vAlign w:val="bottom"/>
          </w:tcPr>
          <w:p>
            <w:pPr>
              <w:spacing w:after="0"/>
              <w:rPr>
                <w:sz w:val="21"/>
                <w:szCs w:val="21"/>
                <w:color w:val="auto"/>
              </w:rPr>
            </w:pPr>
          </w:p>
        </w:tc>
        <w:tc>
          <w:tcPr>
            <w:tcW w:w="6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86,272</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01/20/2023</w:t>
            </w:r>
          </w:p>
        </w:tc>
        <w:tc>
          <w:tcPr>
            <w:tcW w:w="1140" w:type="dxa"/>
            <w:vAlign w:val="bottom"/>
          </w:tcPr>
          <w:p>
            <w:pPr>
              <w:spacing w:after="0"/>
              <w:rPr>
                <w:sz w:val="11"/>
                <w:szCs w:val="11"/>
                <w:color w:val="auto"/>
              </w:rPr>
            </w:pPr>
          </w:p>
        </w:tc>
        <w:tc>
          <w:tcPr>
            <w:tcW w:w="46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1"/>
                <w:szCs w:val="11"/>
                <w:color w:val="auto"/>
              </w:rPr>
            </w:pP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86,272</w:t>
            </w:r>
          </w:p>
        </w:tc>
        <w:tc>
          <w:tcPr>
            <w:tcW w:w="4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04/26/2027</w:t>
            </w:r>
          </w:p>
        </w:tc>
        <w:tc>
          <w:tcPr>
            <w:tcW w:w="6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ind w:right="155"/>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34,248</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01/20/2023</w:t>
            </w:r>
          </w:p>
        </w:tc>
        <w:tc>
          <w:tcPr>
            <w:tcW w:w="1140" w:type="dxa"/>
            <w:vAlign w:val="bottom"/>
          </w:tcPr>
          <w:p>
            <w:pPr>
              <w:spacing w:after="0"/>
              <w:rPr>
                <w:sz w:val="11"/>
                <w:szCs w:val="11"/>
                <w:color w:val="auto"/>
              </w:rPr>
            </w:pPr>
          </w:p>
        </w:tc>
        <w:tc>
          <w:tcPr>
            <w:tcW w:w="46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1"/>
                <w:szCs w:val="11"/>
                <w:color w:val="auto"/>
              </w:rPr>
            </w:pP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34,248</w:t>
            </w:r>
          </w:p>
        </w:tc>
        <w:tc>
          <w:tcPr>
            <w:tcW w:w="4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03/08/2028</w:t>
            </w:r>
          </w:p>
        </w:tc>
        <w:tc>
          <w:tcPr>
            <w:tcW w:w="6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ind w:right="155"/>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58,280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01/20/2023</w:t>
            </w:r>
          </w:p>
        </w:tc>
        <w:tc>
          <w:tcPr>
            <w:tcW w:w="1140" w:type="dxa"/>
            <w:vAlign w:val="bottom"/>
          </w:tcPr>
          <w:p>
            <w:pPr>
              <w:spacing w:after="0"/>
              <w:rPr>
                <w:sz w:val="11"/>
                <w:szCs w:val="11"/>
                <w:color w:val="auto"/>
              </w:rPr>
            </w:pPr>
          </w:p>
        </w:tc>
        <w:tc>
          <w:tcPr>
            <w:tcW w:w="46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1"/>
                <w:szCs w:val="11"/>
                <w:color w:val="auto"/>
              </w:rPr>
            </w:pP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58,280</w:t>
            </w:r>
          </w:p>
        </w:tc>
        <w:tc>
          <w:tcPr>
            <w:tcW w:w="4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03/29/2029</w:t>
            </w:r>
          </w:p>
        </w:tc>
        <w:tc>
          <w:tcPr>
            <w:tcW w:w="6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ind w:right="155"/>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rPr>
              <w:t>8,328</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(unless otherwise indicated), each of which represents eight (8) Ordinary Shares of the Issuer.</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1,820,000 Ordinary Shares underlying Restricted Share Units (each of which represents a contingent right to receive one (1) Ordinary Share of the Issuer) (which may be represented by 227,500 ADSs); (ii) 239,432 Ordinary Shares underlying 29,929 ADSs; and (iii) 7 Ordinary Shares.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a family trust of which (a) the Reporting Person and spouse are trustees and (b) the Reporting Person and members of her immediate family are the sole beneficiaries of the trust.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the Form 4 were effected solely with the intent to cover taxes in connection with the vesting of certain previously reported Restricted Share Units.</w:t>
      </w:r>
    </w:p>
    <w:p>
      <w:pPr>
        <w:spacing w:after="0" w:line="44"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weighted average sale price of the ADSs divided by eight (8). These shares were sold in multiple transactions at prices ranging from $2.575 to $2.6138,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represents a contingent right to receive one (1) Ordinary Share of the Issuer (which may be represented by ADSs, each of which represents eight (8) Ordinary Shares of the Issuer) subject to certain time- and performance-based vesting criteria.</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Claire Poll</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02/03/2023</w:t>
            </w:r>
          </w:p>
        </w:tc>
      </w:tr>
      <w:tr>
        <w:trPr>
          <w:trHeight w:val="20"/>
        </w:trPr>
        <w:tc>
          <w:tcPr>
            <w:tcW w:w="9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0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20"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2023-02-03T17:17:27Z</dcterms:created>
  <dcterms:modified xsi:type="dcterms:W3CDTF">2023-02-03T17:17:27Z</dcterms:modified>
</cp:coreProperties>
</file>