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Cunningham Kenneth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13,104</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0.9938</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79,696</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and is based on the sale price of the ADSs divided by eight (8). The securities were sold in multiple transactions at per share prices ranging from</w:t>
      </w:r>
    </w:p>
    <w:p>
      <w:pPr>
        <w:spacing w:after="0" w:line="19" w:lineRule="exact"/>
        <w:rPr>
          <w:sz w:val="24"/>
          <w:szCs w:val="24"/>
          <w:color w:val="auto"/>
        </w:rPr>
      </w:pPr>
    </w:p>
    <w:p>
      <w:pPr>
        <w:ind w:left="40" w:right="360"/>
        <w:spacing w:after="0" w:line="250" w:lineRule="auto"/>
        <w:rPr>
          <w:sz w:val="20"/>
          <w:szCs w:val="20"/>
          <w:color w:val="auto"/>
        </w:rPr>
      </w:pPr>
      <w:r>
        <w:rPr>
          <w:rFonts w:ascii="Arial" w:cs="Arial" w:eastAsia="Arial" w:hAnsi="Arial"/>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sz w:val="24"/>
          <w:szCs w:val="24"/>
          <w:color w:val="auto"/>
        </w:rPr>
      </w:pPr>
    </w:p>
    <w:p>
      <w:pPr>
        <w:ind w:left="40" w:right="3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Consists of (i) 29,000 Ordinary Shares underlying Restricted Share Units, each of which represents a contingent right to receive one (1) Ordinary Share of the Issuer (which are represented by 3,625 ADSs); and (ii) 50,696 Ordinary Shares represented by 6,337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Claire Poll, Attorney-in-</w:t>
            </w:r>
          </w:p>
        </w:tc>
        <w:tc>
          <w:tcPr>
            <w:tcW w:w="2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02/03/2021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5"/>
              </w:rPr>
              <w:t>fact for Kenneth Cunningham</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6878"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2021-02-03T18:09:57Z</dcterms:created>
  <dcterms:modified xsi:type="dcterms:W3CDTF">2021-02-03T18:09:57Z</dcterms:modified>
</cp:coreProperties>
</file>