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Hahn Mark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11/01/2021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(2)</w:t>
            </w:r>
          </w:p>
        </w:tc>
        <w:tc>
          <w:tcPr>
            <w:tcW w:w="860" w:type="dxa"/>
            <w:vAlign w:val="bottom"/>
            <w:tcBorders>
              <w:bottom w:val="single" w:sz="8" w:color="2C2C2C"/>
            </w:tcBorders>
          </w:tcPr>
          <w:p>
            <w:pPr>
              <w:jc w:val="right"/>
              <w:ind w:right="91"/>
              <w:spacing w:after="0"/>
              <w:rPr>
                <w:sz w:val="20"/>
                <w:szCs w:val="20"/>
                <w:color w:val="auto"/>
              </w:rPr>
            </w:pPr>
            <w:r>
              <w:rPr>
                <w:rFonts w:ascii="Arial" w:cs="Arial" w:eastAsia="Arial" w:hAnsi="Arial"/>
                <w:sz w:val="17"/>
                <w:szCs w:val="17"/>
                <w:color w:val="0000FF"/>
              </w:rPr>
              <w:t>454,848</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0.64</w:t>
            </w:r>
            <w:r>
              <w:rPr>
                <w:rFonts w:ascii="Arial" w:cs="Arial" w:eastAsia="Arial" w:hAnsi="Arial"/>
                <w:sz w:val="22"/>
                <w:szCs w:val="22"/>
                <w:color w:val="008000"/>
                <w:vertAlign w:val="superscript"/>
              </w:rPr>
              <w:t>(3)</w:t>
            </w:r>
          </w:p>
        </w:tc>
        <w:tc>
          <w:tcPr>
            <w:tcW w:w="1220" w:type="dxa"/>
            <w:vAlign w:val="bottom"/>
            <w:tcBorders>
              <w:bottom w:val="single" w:sz="8" w:color="2C2C2C"/>
            </w:tcBorders>
            <w:gridSpan w:val="2"/>
          </w:tcPr>
          <w:p>
            <w:pPr>
              <w:jc w:val="right"/>
              <w:ind w:right="180"/>
              <w:spacing w:after="0"/>
              <w:rPr>
                <w:sz w:val="20"/>
                <w:szCs w:val="20"/>
                <w:color w:val="auto"/>
              </w:rPr>
            </w:pPr>
            <w:r>
              <w:rPr>
                <w:rFonts w:ascii="Arial" w:cs="Arial" w:eastAsia="Arial" w:hAnsi="Arial"/>
                <w:sz w:val="17"/>
                <w:szCs w:val="17"/>
                <w:color w:val="0000FF"/>
              </w:rPr>
              <w:t>16,001,536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11/02/2021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(4)</w:t>
            </w:r>
          </w:p>
        </w:tc>
        <w:tc>
          <w:tcPr>
            <w:tcW w:w="8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10,416</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0.6453</w:t>
            </w:r>
            <w:r>
              <w:rPr>
                <w:rFonts w:ascii="Arial" w:cs="Arial" w:eastAsia="Arial" w:hAnsi="Arial"/>
                <w:sz w:val="22"/>
                <w:szCs w:val="22"/>
                <w:color w:val="008000"/>
                <w:w w:val="98"/>
                <w:vertAlign w:val="superscript"/>
              </w:rPr>
              <w:t>(5)</w:t>
            </w:r>
          </w:p>
        </w:tc>
        <w:tc>
          <w:tcPr>
            <w:tcW w:w="1220" w:type="dxa"/>
            <w:vAlign w:val="bottom"/>
            <w:tcBorders>
              <w:bottom w:val="single" w:sz="8" w:color="2C2C2C"/>
            </w:tcBorders>
            <w:gridSpan w:val="2"/>
          </w:tcPr>
          <w:p>
            <w:pPr>
              <w:jc w:val="center"/>
              <w:ind w:right="100"/>
              <w:spacing w:after="0"/>
              <w:rPr>
                <w:sz w:val="20"/>
                <w:szCs w:val="20"/>
                <w:color w:val="auto"/>
              </w:rPr>
            </w:pPr>
            <w:r>
              <w:rPr>
                <w:rFonts w:ascii="Arial" w:cs="Arial" w:eastAsia="Arial" w:hAnsi="Arial"/>
                <w:sz w:val="17"/>
                <w:szCs w:val="17"/>
                <w:color w:val="0000FF"/>
                <w:w w:val="98"/>
              </w:rPr>
              <w:t>15,991,120</w:t>
            </w:r>
            <w:r>
              <w:rPr>
                <w:rFonts w:ascii="Arial" w:cs="Arial" w:eastAsia="Arial" w:hAnsi="Arial"/>
                <w:sz w:val="22"/>
                <w:szCs w:val="22"/>
                <w:color w:val="008000"/>
                <w:w w:val="98"/>
                <w:vertAlign w:val="superscript"/>
              </w:rPr>
              <w:t>(6)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3"/>
                <w:szCs w:val="13"/>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Ordinary Shares withheld to satisfy the tax withholding obligation in connection with the vesting of certain previously reported Restricted Share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represents the closing price of the Issuer's ADSs on the Nasdaq Stock Market LLC on October 29, 2021 divided by eight (8).</w:t>
      </w:r>
    </w:p>
    <w:p>
      <w:pPr>
        <w:spacing w:after="0" w:line="50"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the Form 4 was effected pursuant to a Rule 10b5-1 instruction solely with the intent to cover withholding taxes in connection with the vesting of certain previously reported Restricted Share Units.</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$0.6375 to $0.66. The Reporting Person undertakes to provide upon request to the SEC staff, the Issuer, or any shareholder of the Issuer, full information regarding the number of securities sold at each separate price within the range set forth in this footnote 5.</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10,429,712 Ordinary Shares underlying Restricted Share Units, each of which represents a contingent right to receive one (1) Ordinary Share of the Issuer (which are represented by 1,303,714 ADSs); and (ii) 5,561,408 Ordinary Shares underlying 695,176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11/03/2021</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Mark Hahn</w:t>
            </w:r>
          </w:p>
        </w:tc>
        <w:tc>
          <w:tcPr>
            <w:tcW w:w="7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6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8502"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2021-11-03T18:52:38Z</dcterms:created>
  <dcterms:modified xsi:type="dcterms:W3CDTF">2021-11-03T18:52:38Z</dcterms:modified>
</cp:coreProperties>
</file>