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6"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98-1489389</w:t>
            </w:r>
          </w:p>
        </w:tc>
      </w:tr>
      <w:tr>
        <w:trPr>
          <w:trHeight w:val="216"/>
        </w:trPr>
        <w:tc>
          <w:tcPr>
            <w:tcW w:w="2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342"/>
        </w:trPr>
        <w:tc>
          <w:tcPr>
            <w:tcW w:w="226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176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17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8"/>
                <w:szCs w:val="18"/>
                <w:color w:val="auto"/>
              </w:rPr>
            </w:pPr>
          </w:p>
        </w:tc>
      </w:tr>
      <w:tr>
        <w:trPr>
          <w:trHeight w:val="238"/>
        </w:trPr>
        <w:tc>
          <w:tcPr>
            <w:tcW w:w="2260" w:type="dxa"/>
            <w:vAlign w:val="bottom"/>
          </w:tcPr>
          <w:p>
            <w:pPr>
              <w:spacing w:after="0"/>
              <w:rPr>
                <w:sz w:val="20"/>
                <w:szCs w:val="20"/>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342"/>
        </w:trPr>
        <w:tc>
          <w:tcPr>
            <w:tcW w:w="226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1760" w:type="dxa"/>
            <w:vAlign w:val="bottom"/>
          </w:tcPr>
          <w:p>
            <w:pPr>
              <w:spacing w:after="0"/>
              <w:rPr>
                <w:sz w:val="24"/>
                <w:szCs w:val="24"/>
                <w:color w:val="auto"/>
              </w:rPr>
            </w:pPr>
          </w:p>
        </w:tc>
      </w:tr>
      <w:tr>
        <w:trPr>
          <w:trHeight w:val="238"/>
        </w:trPr>
        <w:tc>
          <w:tcPr>
            <w:tcW w:w="2260" w:type="dxa"/>
            <w:vAlign w:val="bottom"/>
          </w:tcPr>
          <w:p>
            <w:pPr>
              <w:spacing w:after="0"/>
              <w:rPr>
                <w:sz w:val="20"/>
                <w:szCs w:val="20"/>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342"/>
        </w:trPr>
        <w:tc>
          <w:tcPr>
            <w:tcW w:w="226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260" w:type="dxa"/>
            <w:vAlign w:val="bottom"/>
          </w:tcPr>
          <w:p>
            <w:pPr>
              <w:spacing w:after="0"/>
              <w:rPr>
                <w:sz w:val="20"/>
                <w:szCs w:val="20"/>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740" w:hanging="651"/>
        <w:spacing w:after="0"/>
        <w:tabs>
          <w:tab w:leader="none" w:pos="7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740" w:hanging="651"/>
        <w:spacing w:after="0"/>
        <w:tabs>
          <w:tab w:leader="none" w:pos="7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720" w:hanging="64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720" w:hanging="64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1" w:lineRule="exact"/>
        <w:rPr>
          <w:sz w:val="24"/>
          <w:szCs w:val="24"/>
          <w:color w:val="auto"/>
        </w:rPr>
      </w:pPr>
    </w:p>
    <w:tbl>
      <w:tblPr>
        <w:tblLayout w:type="fixed"/>
        <w:tblInd w:w="10" w:type="dxa"/>
        <w:tblCellMar>
          <w:top w:w="0" w:type="dxa"/>
          <w:left w:w="0" w:type="dxa"/>
          <w:bottom w:w="0" w:type="dxa"/>
          <w:right w:w="0" w:type="dxa"/>
        </w:tblCellMar>
      </w:tblPr>
      <w:tr>
        <w:trPr>
          <w:trHeight w:val="228"/>
        </w:trPr>
        <w:tc>
          <w:tcPr>
            <w:tcW w:w="5540" w:type="dxa"/>
            <w:vAlign w:val="bottom"/>
            <w:tcBorders>
              <w:top w:val="single" w:sz="8" w:color="auto"/>
              <w:left w:val="single" w:sz="8" w:color="auto"/>
              <w:right w:val="single" w:sz="8" w:color="auto"/>
            </w:tcBorders>
          </w:tcPr>
          <w:p>
            <w:pPr>
              <w:spacing w:after="0"/>
              <w:rPr>
                <w:sz w:val="19"/>
                <w:szCs w:val="19"/>
                <w:color w:val="auto"/>
              </w:rPr>
            </w:pPr>
          </w:p>
        </w:tc>
        <w:tc>
          <w:tcPr>
            <w:tcW w:w="2240" w:type="dxa"/>
            <w:vAlign w:val="bottom"/>
            <w:tcBorders>
              <w:top w:val="single" w:sz="8" w:color="auto"/>
              <w:right w:val="single" w:sz="8" w:color="auto"/>
            </w:tcBorders>
          </w:tcPr>
          <w:p>
            <w:pPr>
              <w:spacing w:after="0"/>
              <w:rPr>
                <w:sz w:val="19"/>
                <w:szCs w:val="19"/>
                <w:color w:val="auto"/>
              </w:rPr>
            </w:pPr>
          </w:p>
        </w:tc>
        <w:tc>
          <w:tcPr>
            <w:tcW w:w="3460" w:type="dxa"/>
            <w:vAlign w:val="bottom"/>
            <w:tcBorders>
              <w:top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5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44"/>
        </w:trPr>
        <w:tc>
          <w:tcPr>
            <w:tcW w:w="554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17"/>
        </w:trPr>
        <w:tc>
          <w:tcPr>
            <w:tcW w:w="5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£0.05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VRNA</w:t>
            </w:r>
          </w:p>
        </w:tc>
        <w:tc>
          <w:tcPr>
            <w:tcW w:w="346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223" w:lineRule="exact"/>
        <w:rPr>
          <w:sz w:val="24"/>
          <w:szCs w:val="24"/>
          <w:color w:val="auto"/>
        </w:rPr>
      </w:pPr>
    </w:p>
    <w:p>
      <w:pPr>
        <w:ind w:firstLine="8"/>
        <w:spacing w:after="0" w:line="284" w:lineRule="auto"/>
        <w:tabs>
          <w:tab w:leader="none" w:pos="157"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9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announced on July 9, 2025 in the Current Report on Form 8-K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by Verona Pharma plc, a public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Company entered into a transaction agreement, dated as of July 8, 2025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with Merck Sharp &amp; Dohme LLC, a New Jersey limited liability company (“</w:t>
      </w:r>
      <w:r>
        <w:rPr>
          <w:rFonts w:ascii="Times New Roman" w:cs="Times New Roman" w:eastAsia="Times New Roman" w:hAnsi="Times New Roman"/>
          <w:sz w:val="18"/>
          <w:szCs w:val="18"/>
          <w:u w:val="single" w:color="auto"/>
          <w:color w:val="auto"/>
        </w:rPr>
        <w:t>Merck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Vol Holdings LLC, a Delaware limited liability company and wholly owned subsidiary of Parent (“</w:t>
      </w:r>
      <w:r>
        <w:rPr>
          <w:rFonts w:ascii="Times New Roman" w:cs="Times New Roman" w:eastAsia="Times New Roman" w:hAnsi="Times New Roman"/>
          <w:sz w:val="18"/>
          <w:szCs w:val="18"/>
          <w:u w:val="single" w:color="auto"/>
          <w:color w:val="auto"/>
        </w:rPr>
        <w:t>Bidco</w:t>
      </w:r>
      <w:r>
        <w:rPr>
          <w:rFonts w:ascii="Times New Roman" w:cs="Times New Roman" w:eastAsia="Times New Roman" w:hAnsi="Times New Roman"/>
          <w:sz w:val="18"/>
          <w:szCs w:val="18"/>
          <w:color w:val="auto"/>
        </w:rPr>
        <w:t>”), pursuant to which Bidco agreed to acquire the entire issued and to be issued share capital of the Company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by means of a court-sanctioned English law scheme of arrangement (the “</w:t>
      </w:r>
      <w:r>
        <w:rPr>
          <w:rFonts w:ascii="Times New Roman" w:cs="Times New Roman" w:eastAsia="Times New Roman" w:hAnsi="Times New Roman"/>
          <w:sz w:val="18"/>
          <w:szCs w:val="18"/>
          <w:u w:val="single" w:color="auto"/>
          <w:color w:val="auto"/>
        </w:rPr>
        <w:t>Scheme of Arrangement</w:t>
      </w:r>
      <w:r>
        <w:rPr>
          <w:rFonts w:ascii="Times New Roman" w:cs="Times New Roman" w:eastAsia="Times New Roman" w:hAnsi="Times New Roman"/>
          <w:sz w:val="18"/>
          <w:szCs w:val="18"/>
          <w:color w:val="auto"/>
        </w:rPr>
        <w:t>”) under Part 26 of the U.K. Companies Act 2006.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6, 2025, the High Court of Justice of England and Wales (the “</w:t>
      </w:r>
      <w:r>
        <w:rPr>
          <w:rFonts w:ascii="Times New Roman" w:cs="Times New Roman" w:eastAsia="Times New Roman" w:hAnsi="Times New Roman"/>
          <w:sz w:val="18"/>
          <w:szCs w:val="18"/>
          <w:u w:val="single" w:color="auto"/>
          <w:color w:val="auto"/>
        </w:rPr>
        <w:t>Court</w:t>
      </w:r>
      <w:r>
        <w:rPr>
          <w:rFonts w:ascii="Times New Roman" w:cs="Times New Roman" w:eastAsia="Times New Roman" w:hAnsi="Times New Roman"/>
          <w:sz w:val="18"/>
          <w:szCs w:val="18"/>
          <w:color w:val="auto"/>
        </w:rPr>
        <w:t>”) sanctioned the Scheme of Arrangement at a public hearing convened by the Court and the Company. On October 7, 2025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Merck and Bidco consummated the Transaction in accordance with the Transaction Agreement and the Scheme of Arrangement. At the effective time of the Scheme of Arrangement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acquired all issued and outstanding ordinary shares, nominal value £0.05 per share, of the Company (each a “</w:t>
      </w:r>
      <w:r>
        <w:rPr>
          <w:rFonts w:ascii="Times New Roman" w:cs="Times New Roman" w:eastAsia="Times New Roman" w:hAnsi="Times New Roman"/>
          <w:sz w:val="18"/>
          <w:szCs w:val="18"/>
          <w:u w:val="single" w:color="auto"/>
          <w:color w:val="auto"/>
        </w:rPr>
        <w:t>Company Share</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Company Shares became entitled to receive, for each such share, $13.375 in cash, without interest (the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each American Depositary Share of the Company (each a “</w:t>
      </w:r>
      <w:r>
        <w:rPr>
          <w:rFonts w:ascii="Times New Roman" w:cs="Times New Roman" w:eastAsia="Times New Roman" w:hAnsi="Times New Roman"/>
          <w:sz w:val="18"/>
          <w:szCs w:val="18"/>
          <w:u w:val="single" w:color="auto"/>
          <w:color w:val="auto"/>
        </w:rPr>
        <w:t>Company ADS</w:t>
      </w:r>
      <w:r>
        <w:rPr>
          <w:rFonts w:ascii="Times New Roman" w:cs="Times New Roman" w:eastAsia="Times New Roman" w:hAnsi="Times New Roman"/>
          <w:sz w:val="18"/>
          <w:szCs w:val="18"/>
          <w:color w:val="auto"/>
        </w:rPr>
        <w:t>”) represented a beneficial interest in eight (8) Company Shares, holders of Company ADSs became entitled to receive for each Company ADS eight (8) times the foregoing cash amount, or $107 in cash (the “</w:t>
      </w:r>
      <w:r>
        <w:rPr>
          <w:rFonts w:ascii="Times New Roman" w:cs="Times New Roman" w:eastAsia="Times New Roman" w:hAnsi="Times New Roman"/>
          <w:sz w:val="18"/>
          <w:szCs w:val="18"/>
          <w:u w:val="single" w:color="auto"/>
          <w:color w:val="auto"/>
        </w:rPr>
        <w:t>ADS Consideration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subject to all required withholding taxes: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Company share option became vested and each such option that had an exercise price that was less than the ADS Consideration was automatically converted into the right to receive an amount in cash equal to the product of (1) the aggregate number of Company ADSs underlying such Company share option and (2) the excess, if any, of (x) an amount equal to the ADS Consideration over (y) the exercise price of such Company share option;</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Company time-based restricted share unit became vested and each such restricted share unit was automatically converted into the right to receive an amount in cash equal to the product of (A) the aggregate number of Company ADSs underlying such Company restricted share unit and (B) the ADS Consideration;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Company performance-based restricted share unit that had previously become earned or was eligible to be earned was automatically converted into the right to receive an amount in cash equal to the product of (a) the number of earned and vested Company ADSs underlying such Company restricted stock unit (with performance being deemed achieved at the maximum level of performance) and (b) the ADS Consideration.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by reference in this Item 2.01.</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Transaction set forth in this Item 2.01 does not purport to be complete and is qualified in its entirety by reference to the Transaction Agreement, which is incorporated by reference as Exhibit 2.1 hereto and is incorporated by reference in this Item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consummation of the Transaction, on October 6, 2025, the Company requested that the Nasdaq Global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suspend trading of Company ADSs (Nasdaq: VRNA), effective as of the open of trading on October 7, 2025 (which suspension was granted) and file with the SEC a Notification of Removal from Listing and/or Registration on Form 25 to delist and deregister Company ADSs under Section 12(b)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As a result, Company ADSs will no longer be listed on Nasdaq. In addition, the Company intends to file with the SEC a certification on Form 15 requesting the termination of registration of all Company Shares and Company ADSs and that its reporting obligations under Sections 13(a) and 15(d) of the Exchange Act be suspended.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and Item 2.01 of this Current Report on Form 8-K is incorporated by reference in this Item 3.01.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Item 2.01, Item 3.01 and Item 5.01 of this Current Report on Form 8-K is incorporated by reference in this Item 3.03.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Transaction, a change of control of the Company occurred and the Company became an indirect wholly owned subsidiary of Merck.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and Item 2.01 of this Current Report on Form 8-K is incorporated by reference in this Item 5.01.</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Transaction Agreement, on the Closing Date, each of the directors of the Company (Christina Ackermann, Michael Austwick, James Brady, Ken Cunningham, Lisa Deschamps, David Ebsworth, Martin Edwards, Mahendra Shah, Vikas Sinha and David Zaccardelli) resigned from the board of directors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Closing Date and following the consummation of the Transaction, Benjamin Lucas was appointed as the Principal Executive Officer and director and Ebru Can Temucin was appointed as the Principal Financial Officer, Principal Accounting Officer and director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and Item 2.01 of this Current Report on Form 8-K is incorporated by reference in this Item 5.02.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7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5"/>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385"/>
        </w:trPr>
        <w:tc>
          <w:tcPr>
            <w:tcW w:w="1240" w:type="dxa"/>
            <w:vAlign w:val="bottom"/>
            <w:tcBorders>
              <w:top w:val="single" w:sz="8" w:color="auto"/>
            </w:tcBorders>
            <w:gridSpan w:val="2"/>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24"/>
                <w:szCs w:val="24"/>
                <w:color w:val="auto"/>
              </w:rPr>
            </w:pPr>
          </w:p>
        </w:tc>
        <w:tc>
          <w:tcPr>
            <w:tcW w:w="9760" w:type="dxa"/>
            <w:vAlign w:val="bottom"/>
            <w:tcBorders>
              <w:top w:val="single" w:sz="8" w:color="auto"/>
            </w:tcBorders>
            <w:gridSpan w:val="2"/>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Transaction Agreement, dated as of July 8, 2025, by and among Verona Pharma, Merck and Vol Holdings LLC (incorporated herein by</w:t>
              </w:r>
            </w:hyperlink>
          </w:p>
        </w:tc>
      </w:tr>
      <w:tr>
        <w:trPr>
          <w:trHeight w:val="196"/>
        </w:trPr>
        <w:tc>
          <w:tcPr>
            <w:tcW w:w="24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reference to Exhibit 2.1 to the Registrant’s Current Report on Form 8-K filed on July 9, 2025 (SEC File No. 001-38067).*</w:t>
              </w:r>
            </w:hyperlink>
          </w:p>
        </w:tc>
      </w:tr>
      <w:tr>
        <w:trPr>
          <w:trHeight w:val="453"/>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87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980" w:type="dxa"/>
            <w:vAlign w:val="bottom"/>
          </w:tcPr>
          <w:p>
            <w:pPr>
              <w:spacing w:after="0"/>
              <w:rPr>
                <w:sz w:val="24"/>
                <w:szCs w:val="24"/>
                <w:color w:val="auto"/>
              </w:rPr>
            </w:pPr>
          </w:p>
        </w:tc>
      </w:tr>
    </w:tbl>
    <w:p>
      <w:pPr>
        <w:spacing w:after="0" w:line="225" w:lineRule="exact"/>
        <w:rPr>
          <w:sz w:val="20"/>
          <w:szCs w:val="20"/>
          <w:color w:val="auto"/>
        </w:rPr>
      </w:pPr>
    </w:p>
    <w:p>
      <w:pPr>
        <w:ind w:right="20" w:firstLine="8"/>
        <w:spacing w:after="0" w:line="282" w:lineRule="auto"/>
        <w:tabs>
          <w:tab w:leader="none" w:pos="1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601(b)(2) of Regulation S-K. The Company agrees to furnish supplementally to the U.S. Securities and Exchange Commission a copy of any omitted schedule or exhibit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7, 2025</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Lucas</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Benjamin Lucas</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19" Type="http://schemas.openxmlformats.org/officeDocument/2006/relationships/hyperlink" Target="https://www.sec.gov/Archives/edgar/data/1657312/000110465925066588/tm2520134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2025-10-07T06:07:23Z</dcterms:created>
  <dcterms:modified xsi:type="dcterms:W3CDTF">2025-10-07T06:07:23Z</dcterms:modified>
</cp:coreProperties>
</file>