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30,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VERONA PHARMA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36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United Kingdom</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2"/>
              </w:rPr>
              <w:t>Not Applicable</w:t>
            </w:r>
          </w:p>
        </w:tc>
      </w:tr>
      <w:tr>
        <w:trPr>
          <w:trHeight w:val="432"/>
        </w:trPr>
        <w:tc>
          <w:tcPr>
            <w:tcW w:w="4360" w:type="dxa"/>
            <w:vAlign w:val="bottom"/>
          </w:tcPr>
          <w:p>
            <w:pPr>
              <w:jc w:val="center"/>
              <w:ind w:right="1390"/>
              <w:spacing w:after="0"/>
              <w:rPr>
                <w:sz w:val="20"/>
                <w:szCs w:val="20"/>
                <w:color w:val="auto"/>
              </w:rPr>
            </w:pPr>
            <w:r>
              <w:rPr>
                <w:rFonts w:ascii="Arial" w:cs="Arial" w:eastAsia="Arial" w:hAnsi="Arial"/>
                <w:sz w:val="18"/>
                <w:szCs w:val="18"/>
                <w:color w:val="auto"/>
                <w:w w:val="91"/>
              </w:rPr>
              <w:t>(State or other jurisdiction</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432"/>
        </w:trPr>
        <w:tc>
          <w:tcPr>
            <w:tcW w:w="4360" w:type="dxa"/>
            <w:vAlign w:val="bottom"/>
          </w:tcPr>
          <w:p>
            <w:pPr>
              <w:jc w:val="center"/>
              <w:ind w:right="1390"/>
              <w:spacing w:after="0"/>
              <w:rPr>
                <w:sz w:val="20"/>
                <w:szCs w:val="20"/>
                <w:color w:val="auto"/>
              </w:rPr>
            </w:pPr>
            <w:r>
              <w:rPr>
                <w:rFonts w:ascii="Arial" w:cs="Arial" w:eastAsia="Arial" w:hAnsi="Arial"/>
                <w:sz w:val="18"/>
                <w:szCs w:val="18"/>
                <w:color w:val="auto"/>
                <w:w w:val="92"/>
              </w:rPr>
              <w:t>of incorporation or organization)</w:t>
            </w:r>
          </w:p>
        </w:tc>
        <w:tc>
          <w:tcPr>
            <w:tcW w:w="4000" w:type="dxa"/>
            <w:vAlign w:val="bottom"/>
          </w:tcPr>
          <w:p>
            <w:pPr>
              <w:spacing w:after="0"/>
              <w:rPr>
                <w:sz w:val="24"/>
                <w:szCs w:val="24"/>
                <w:color w:val="auto"/>
              </w:rPr>
            </w:pPr>
          </w:p>
        </w:tc>
      </w:tr>
      <w:tr>
        <w:trPr>
          <w:trHeight w:val="630"/>
        </w:trPr>
        <w:tc>
          <w:tcPr>
            <w:tcW w:w="43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3 More London Riverside</w:t>
            </w:r>
          </w:p>
        </w:tc>
        <w:tc>
          <w:tcPr>
            <w:tcW w:w="4000" w:type="dxa"/>
            <w:vAlign w:val="bottom"/>
          </w:tcPr>
          <w:p>
            <w:pPr>
              <w:spacing w:after="0"/>
              <w:rPr>
                <w:sz w:val="24"/>
                <w:szCs w:val="24"/>
                <w:color w:val="auto"/>
              </w:rPr>
            </w:pPr>
          </w:p>
        </w:tc>
      </w:tr>
      <w:tr>
        <w:trPr>
          <w:trHeight w:val="216"/>
        </w:trPr>
        <w:tc>
          <w:tcPr>
            <w:tcW w:w="4360" w:type="dxa"/>
            <w:vAlign w:val="bottom"/>
          </w:tcPr>
          <w:p>
            <w:pPr>
              <w:jc w:val="center"/>
              <w:ind w:right="1410"/>
              <w:spacing w:after="0"/>
              <w:rPr>
                <w:sz w:val="20"/>
                <w:szCs w:val="20"/>
                <w:color w:val="auto"/>
              </w:rPr>
            </w:pPr>
            <w:r>
              <w:rPr>
                <w:rFonts w:ascii="Arial" w:cs="Arial" w:eastAsia="Arial" w:hAnsi="Arial"/>
                <w:sz w:val="18"/>
                <w:szCs w:val="18"/>
                <w:b w:val="1"/>
                <w:bCs w:val="1"/>
                <w:color w:val="auto"/>
                <w:w w:val="94"/>
              </w:rPr>
              <w:t>London SE1 2RE UK</w:t>
            </w:r>
          </w:p>
        </w:tc>
        <w:tc>
          <w:tcPr>
            <w:tcW w:w="4000" w:type="dxa"/>
            <w:vAlign w:val="bottom"/>
          </w:tcPr>
          <w:p>
            <w:pPr>
              <w:spacing w:after="0"/>
              <w:rPr>
                <w:sz w:val="18"/>
                <w:szCs w:val="18"/>
                <w:color w:val="auto"/>
              </w:rPr>
            </w:pPr>
          </w:p>
        </w:tc>
      </w:tr>
      <w:tr>
        <w:trPr>
          <w:trHeight w:val="220"/>
        </w:trPr>
        <w:tc>
          <w:tcPr>
            <w:tcW w:w="436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Tel: +44 203 283 4200</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2"/>
              </w:rPr>
              <w:t>Not Applicable</w:t>
            </w:r>
          </w:p>
        </w:tc>
      </w:tr>
      <w:tr>
        <w:trPr>
          <w:trHeight w:val="230"/>
        </w:trPr>
        <w:tc>
          <w:tcPr>
            <w:tcW w:w="436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3"/>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582930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Verona Pharma plc 2017 Incentive Award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tbl>
      <w:tblPr>
        <w:tblLayout w:type="fixed"/>
        <w:tblInd w:w="19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4920" w:type="dxa"/>
            <w:vAlign w:val="bottom"/>
          </w:tcPr>
          <w:p>
            <w:pPr>
              <w:ind w:left="780"/>
              <w:spacing w:after="0"/>
              <w:rPr>
                <w:sz w:val="20"/>
                <w:szCs w:val="20"/>
                <w:color w:val="auto"/>
              </w:rPr>
            </w:pPr>
            <w:r>
              <w:rPr>
                <w:rFonts w:ascii="Arial" w:cs="Arial" w:eastAsia="Arial" w:hAnsi="Arial"/>
                <w:sz w:val="18"/>
                <w:szCs w:val="18"/>
                <w:b w:val="1"/>
                <w:bCs w:val="1"/>
                <w:color w:val="auto"/>
              </w:rPr>
              <w:t>Copies to:</w:t>
            </w:r>
          </w:p>
        </w:tc>
      </w:tr>
      <w:tr>
        <w:trPr>
          <w:trHeight w:val="418"/>
        </w:trPr>
        <w:tc>
          <w:tcPr>
            <w:tcW w:w="250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Peter N. Handrinos</w:t>
            </w:r>
          </w:p>
        </w:tc>
        <w:tc>
          <w:tcPr>
            <w:tcW w:w="4920" w:type="dxa"/>
            <w:vAlign w:val="bottom"/>
          </w:tcPr>
          <w:p>
            <w:pPr>
              <w:jc w:val="center"/>
              <w:ind w:left="3070"/>
              <w:spacing w:after="0"/>
              <w:rPr>
                <w:sz w:val="20"/>
                <w:szCs w:val="20"/>
                <w:color w:val="auto"/>
              </w:rPr>
            </w:pPr>
            <w:r>
              <w:rPr>
                <w:rFonts w:ascii="Arial" w:cs="Arial" w:eastAsia="Arial" w:hAnsi="Arial"/>
                <w:sz w:val="18"/>
                <w:szCs w:val="18"/>
                <w:b w:val="1"/>
                <w:bCs w:val="1"/>
                <w:color w:val="auto"/>
                <w:w w:val="84"/>
              </w:rPr>
              <w:t>James Inness</w:t>
            </w:r>
          </w:p>
        </w:tc>
      </w:tr>
      <w:tr>
        <w:trPr>
          <w:trHeight w:val="216"/>
        </w:trPr>
        <w:tc>
          <w:tcPr>
            <w:tcW w:w="2500" w:type="dxa"/>
            <w:vAlign w:val="bottom"/>
          </w:tcPr>
          <w:p>
            <w:pPr>
              <w:jc w:val="center"/>
              <w:ind w:right="690"/>
              <w:spacing w:after="0"/>
              <w:rPr>
                <w:sz w:val="20"/>
                <w:szCs w:val="20"/>
                <w:color w:val="auto"/>
              </w:rPr>
            </w:pPr>
            <w:r>
              <w:rPr>
                <w:rFonts w:ascii="Arial" w:cs="Arial" w:eastAsia="Arial" w:hAnsi="Arial"/>
                <w:sz w:val="18"/>
                <w:szCs w:val="18"/>
                <w:color w:val="auto"/>
                <w:w w:val="93"/>
              </w:rPr>
              <w:t>Latham &amp; Watkins LLP</w:t>
            </w:r>
          </w:p>
        </w:tc>
        <w:tc>
          <w:tcPr>
            <w:tcW w:w="4920" w:type="dxa"/>
            <w:vAlign w:val="bottom"/>
          </w:tcPr>
          <w:p>
            <w:pPr>
              <w:jc w:val="center"/>
              <w:ind w:left="3110"/>
              <w:spacing w:after="0"/>
              <w:rPr>
                <w:sz w:val="20"/>
                <w:szCs w:val="20"/>
                <w:color w:val="auto"/>
              </w:rPr>
            </w:pPr>
            <w:r>
              <w:rPr>
                <w:rFonts w:ascii="Arial" w:cs="Arial" w:eastAsia="Arial" w:hAnsi="Arial"/>
                <w:sz w:val="18"/>
                <w:szCs w:val="18"/>
                <w:color w:val="auto"/>
                <w:w w:val="93"/>
              </w:rPr>
              <w:t>Latham &amp; Watkins LLP</w:t>
            </w:r>
          </w:p>
        </w:tc>
      </w:tr>
      <w:tr>
        <w:trPr>
          <w:trHeight w:val="216"/>
        </w:trPr>
        <w:tc>
          <w:tcPr>
            <w:tcW w:w="2500" w:type="dxa"/>
            <w:vAlign w:val="bottom"/>
          </w:tcPr>
          <w:p>
            <w:pPr>
              <w:jc w:val="center"/>
              <w:ind w:right="730"/>
              <w:spacing w:after="0"/>
              <w:rPr>
                <w:sz w:val="20"/>
                <w:szCs w:val="20"/>
                <w:color w:val="auto"/>
              </w:rPr>
            </w:pPr>
            <w:r>
              <w:rPr>
                <w:rFonts w:ascii="Arial" w:cs="Arial" w:eastAsia="Arial" w:hAnsi="Arial"/>
                <w:sz w:val="18"/>
                <w:szCs w:val="18"/>
                <w:color w:val="auto"/>
                <w:w w:val="88"/>
              </w:rPr>
              <w:t>200 Clarendon Street</w:t>
            </w:r>
          </w:p>
        </w:tc>
        <w:tc>
          <w:tcPr>
            <w:tcW w:w="4920" w:type="dxa"/>
            <w:vAlign w:val="bottom"/>
          </w:tcPr>
          <w:p>
            <w:pPr>
              <w:jc w:val="center"/>
              <w:ind w:left="3070"/>
              <w:spacing w:after="0"/>
              <w:rPr>
                <w:sz w:val="20"/>
                <w:szCs w:val="20"/>
                <w:color w:val="auto"/>
              </w:rPr>
            </w:pPr>
            <w:r>
              <w:rPr>
                <w:rFonts w:ascii="Arial" w:cs="Arial" w:eastAsia="Arial" w:hAnsi="Arial"/>
                <w:sz w:val="18"/>
                <w:szCs w:val="18"/>
                <w:color w:val="auto"/>
                <w:w w:val="90"/>
              </w:rPr>
              <w:t>99 Bishopsgate</w:t>
            </w:r>
          </w:p>
        </w:tc>
      </w:tr>
      <w:tr>
        <w:trPr>
          <w:trHeight w:val="216"/>
        </w:trPr>
        <w:tc>
          <w:tcPr>
            <w:tcW w:w="2500" w:type="dxa"/>
            <w:vAlign w:val="bottom"/>
          </w:tcPr>
          <w:p>
            <w:pPr>
              <w:jc w:val="center"/>
              <w:ind w:right="710"/>
              <w:spacing w:after="0"/>
              <w:rPr>
                <w:sz w:val="20"/>
                <w:szCs w:val="20"/>
                <w:color w:val="auto"/>
              </w:rPr>
            </w:pPr>
            <w:r>
              <w:rPr>
                <w:rFonts w:ascii="Arial" w:cs="Arial" w:eastAsia="Arial" w:hAnsi="Arial"/>
                <w:sz w:val="18"/>
                <w:szCs w:val="18"/>
                <w:color w:val="auto"/>
                <w:w w:val="93"/>
              </w:rPr>
              <w:t>Boston, MA 02116</w:t>
            </w:r>
          </w:p>
        </w:tc>
        <w:tc>
          <w:tcPr>
            <w:tcW w:w="4920" w:type="dxa"/>
            <w:vAlign w:val="bottom"/>
          </w:tcPr>
          <w:p>
            <w:pPr>
              <w:jc w:val="center"/>
              <w:ind w:left="3070"/>
              <w:spacing w:after="0"/>
              <w:rPr>
                <w:sz w:val="20"/>
                <w:szCs w:val="20"/>
                <w:color w:val="auto"/>
              </w:rPr>
            </w:pPr>
            <w:r>
              <w:rPr>
                <w:rFonts w:ascii="Arial" w:cs="Arial" w:eastAsia="Arial" w:hAnsi="Arial"/>
                <w:sz w:val="18"/>
                <w:szCs w:val="18"/>
                <w:color w:val="auto"/>
                <w:w w:val="94"/>
              </w:rPr>
              <w:t>London EC2M 3XF</w:t>
            </w:r>
          </w:p>
        </w:tc>
      </w:tr>
      <w:tr>
        <w:trPr>
          <w:trHeight w:val="216"/>
        </w:trPr>
        <w:tc>
          <w:tcPr>
            <w:tcW w:w="2500" w:type="dxa"/>
            <w:vAlign w:val="bottom"/>
          </w:tcPr>
          <w:p>
            <w:pPr>
              <w:jc w:val="center"/>
              <w:ind w:right="730"/>
              <w:spacing w:after="0"/>
              <w:rPr>
                <w:sz w:val="20"/>
                <w:szCs w:val="20"/>
                <w:color w:val="auto"/>
              </w:rPr>
            </w:pPr>
            <w:r>
              <w:rPr>
                <w:rFonts w:ascii="Arial" w:cs="Arial" w:eastAsia="Arial" w:hAnsi="Arial"/>
                <w:sz w:val="18"/>
                <w:szCs w:val="18"/>
                <w:color w:val="auto"/>
                <w:w w:val="90"/>
              </w:rPr>
              <w:t>(617) 948-6000</w:t>
            </w:r>
          </w:p>
        </w:tc>
        <w:tc>
          <w:tcPr>
            <w:tcW w:w="4920" w:type="dxa"/>
            <w:vAlign w:val="bottom"/>
          </w:tcPr>
          <w:p>
            <w:pPr>
              <w:jc w:val="center"/>
              <w:ind w:left="3070"/>
              <w:spacing w:after="0"/>
              <w:rPr>
                <w:sz w:val="20"/>
                <w:szCs w:val="20"/>
                <w:color w:val="auto"/>
              </w:rPr>
            </w:pPr>
            <w:r>
              <w:rPr>
                <w:rFonts w:ascii="Arial" w:cs="Arial" w:eastAsia="Arial" w:hAnsi="Arial"/>
                <w:sz w:val="18"/>
                <w:szCs w:val="18"/>
                <w:color w:val="auto"/>
                <w:w w:val="93"/>
              </w:rPr>
              <w:t>United Kingdom</w:t>
            </w:r>
          </w:p>
        </w:tc>
      </w:tr>
      <w:tr>
        <w:trPr>
          <w:trHeight w:val="230"/>
        </w:trPr>
        <w:tc>
          <w:tcPr>
            <w:tcW w:w="2500" w:type="dxa"/>
            <w:vAlign w:val="bottom"/>
          </w:tcPr>
          <w:p>
            <w:pPr>
              <w:spacing w:after="0"/>
              <w:rPr>
                <w:sz w:val="20"/>
                <w:szCs w:val="20"/>
                <w:color w:val="auto"/>
              </w:rPr>
            </w:pPr>
          </w:p>
        </w:tc>
        <w:tc>
          <w:tcPr>
            <w:tcW w:w="4920" w:type="dxa"/>
            <w:vAlign w:val="bottom"/>
          </w:tcPr>
          <w:p>
            <w:pPr>
              <w:jc w:val="center"/>
              <w:ind w:left="3070"/>
              <w:spacing w:after="0"/>
              <w:rPr>
                <w:sz w:val="20"/>
                <w:szCs w:val="20"/>
                <w:color w:val="auto"/>
              </w:rPr>
            </w:pPr>
            <w:r>
              <w:rPr>
                <w:rFonts w:ascii="Arial" w:cs="Arial" w:eastAsia="Arial" w:hAnsi="Arial"/>
                <w:sz w:val="18"/>
                <w:szCs w:val="18"/>
                <w:color w:val="auto"/>
                <w:w w:val="90"/>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308610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0" w:gutter="0" w:footer="0" w:header="0"/>
        </w:sectPr>
      </w:pPr>
    </w:p>
    <w:p>
      <w:pPr>
        <w:spacing w:after="0" w:line="151" w:lineRule="exact"/>
        <w:rPr>
          <w:sz w:val="24"/>
          <w:szCs w:val="24"/>
          <w:color w:val="auto"/>
        </w:rPr>
      </w:pPr>
    </w:p>
    <w:p>
      <w:pPr>
        <w:ind w:left="6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920" w:space="720"/>
            <w:col w:w="3600"/>
          </w:cols>
          <w:pgMar w:left="320" w:top="472" w:right="339" w:bottom="0" w:gutter="0" w:footer="0" w:header="0"/>
          <w:type w:val="continuous"/>
        </w:sectPr>
      </w:pPr>
    </w:p>
    <w:p>
      <w:pPr>
        <w:spacing w:after="0" w:line="48" w:lineRule="exact"/>
        <w:rPr>
          <w:sz w:val="24"/>
          <w:szCs w:val="24"/>
          <w:color w:val="auto"/>
        </w:rPr>
      </w:pPr>
    </w:p>
    <w:p>
      <w:pPr>
        <w:ind w:left="6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920" w:space="720"/>
            <w:col w:w="3600"/>
          </w:cols>
          <w:pgMar w:left="320" w:top="472" w:right="339" w:bottom="0" w:gutter="0" w:footer="0" w:header="0"/>
          <w:type w:val="continuous"/>
        </w:sectPr>
      </w:pPr>
    </w:p>
    <w:p>
      <w:pPr>
        <w:spacing w:after="0" w:line="48" w:lineRule="exact"/>
        <w:rPr>
          <w:sz w:val="24"/>
          <w:szCs w:val="24"/>
          <w:color w:val="auto"/>
        </w:rPr>
      </w:pPr>
    </w:p>
    <w:p>
      <w:pPr>
        <w:ind w:left="76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472" w:right="339" w:bottom="0" w:gutter="0" w:footer="0" w:header="0"/>
          <w:type w:val="continuous"/>
        </w:sectPr>
      </w:pPr>
    </w:p>
    <w:bookmarkStart w:id="1" w:name="page2"/>
    <w:bookmarkEnd w:id="1"/>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159385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Proposed</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Proposed</w:t>
            </w:r>
          </w:p>
        </w:tc>
        <w:tc>
          <w:tcPr>
            <w:tcW w:w="1340" w:type="dxa"/>
            <w:vAlign w:val="bottom"/>
          </w:tcPr>
          <w:p>
            <w:pPr>
              <w:spacing w:after="0"/>
              <w:rPr>
                <w:sz w:val="20"/>
                <w:szCs w:val="20"/>
                <w:color w:val="auto"/>
              </w:rPr>
            </w:pPr>
          </w:p>
        </w:tc>
      </w:tr>
      <w:tr>
        <w:trPr>
          <w:trHeight w:val="270"/>
        </w:trPr>
        <w:tc>
          <w:tcPr>
            <w:tcW w:w="4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Amount</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Maximum</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Maximum</w:t>
            </w:r>
          </w:p>
        </w:tc>
        <w:tc>
          <w:tcPr>
            <w:tcW w:w="1340" w:type="dxa"/>
            <w:vAlign w:val="bottom"/>
          </w:tcPr>
          <w:p>
            <w:pPr>
              <w:spacing w:after="0"/>
              <w:rPr>
                <w:sz w:val="23"/>
                <w:szCs w:val="23"/>
                <w:color w:val="auto"/>
              </w:rPr>
            </w:pPr>
          </w:p>
        </w:tc>
      </w:tr>
      <w:tr>
        <w:trPr>
          <w:trHeight w:val="270"/>
        </w:trPr>
        <w:tc>
          <w:tcPr>
            <w:tcW w:w="5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Title of Securities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 be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Offering Price</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310"/>
        </w:trPr>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140" w:type="dxa"/>
            <w:vAlign w:val="bottom"/>
          </w:tcPr>
          <w:p>
            <w:pPr>
              <w:spacing w:after="0"/>
              <w:rPr>
                <w:sz w:val="24"/>
                <w:szCs w:val="24"/>
                <w:color w:val="auto"/>
              </w:rPr>
            </w:pPr>
          </w:p>
        </w:tc>
        <w:tc>
          <w:tcPr>
            <w:tcW w:w="1780" w:type="dxa"/>
            <w:vAlign w:val="bottom"/>
            <w:tcBorders>
              <w:bottom w:val="single" w:sz="8" w:color="auto"/>
            </w:tcBorders>
          </w:tcPr>
          <w:p>
            <w:pPr>
              <w:jc w:val="center"/>
              <w:spacing w:after="0" w:line="310"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29"/>
                <w:szCs w:val="29"/>
                <w:b w:val="1"/>
                <w:bCs w:val="1"/>
                <w:color w:val="auto"/>
                <w:w w:val="83"/>
                <w:vertAlign w:val="superscript"/>
              </w:rPr>
              <w:t>(1)</w:t>
            </w:r>
          </w:p>
        </w:tc>
        <w:tc>
          <w:tcPr>
            <w:tcW w:w="1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w:t>
            </w:r>
            <w:r>
              <w:rPr>
                <w:rFonts w:ascii="Arial" w:cs="Arial" w:eastAsia="Arial" w:hAnsi="Arial"/>
                <w:sz w:val="18"/>
                <w:szCs w:val="18"/>
                <w:color w:val="auto"/>
                <w:w w:val="89"/>
              </w:rPr>
              <w:t>e</w:t>
            </w:r>
          </w:p>
        </w:tc>
      </w:tr>
      <w:tr>
        <w:trPr>
          <w:trHeight w:val="311"/>
        </w:trPr>
        <w:tc>
          <w:tcPr>
            <w:tcW w:w="5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Ordinary Shares, nominal value £0.05 per share</w:t>
            </w:r>
          </w:p>
        </w:tc>
        <w:tc>
          <w:tcPr>
            <w:tcW w:w="1920" w:type="dxa"/>
            <w:vAlign w:val="bottom"/>
            <w:tcBorders>
              <w:bottom w:val="single" w:sz="8" w:color="auto"/>
            </w:tcBorders>
            <w:gridSpan w:val="2"/>
          </w:tcPr>
          <w:p>
            <w:pPr>
              <w:jc w:val="center"/>
              <w:ind w:right="140"/>
              <w:spacing w:after="0" w:line="303" w:lineRule="exact"/>
              <w:rPr>
                <w:sz w:val="20"/>
                <w:szCs w:val="20"/>
                <w:color w:val="auto"/>
              </w:rPr>
            </w:pPr>
            <w:r>
              <w:rPr>
                <w:rFonts w:ascii="Arial" w:cs="Arial" w:eastAsia="Arial" w:hAnsi="Arial"/>
                <w:sz w:val="18"/>
                <w:szCs w:val="18"/>
                <w:color w:val="auto"/>
                <w:w w:val="84"/>
              </w:rPr>
              <w:t>11,998,660 shares</w:t>
            </w:r>
            <w:r>
              <w:rPr>
                <w:rFonts w:ascii="Arial" w:cs="Arial" w:eastAsia="Arial" w:hAnsi="Arial"/>
                <w:sz w:val="29"/>
                <w:szCs w:val="29"/>
                <w:color w:val="auto"/>
                <w:w w:val="84"/>
                <w:vertAlign w:val="superscript"/>
              </w:rPr>
              <w:t>(2)</w:t>
            </w:r>
          </w:p>
        </w:tc>
        <w:tc>
          <w:tcPr>
            <w:tcW w:w="1180" w:type="dxa"/>
            <w:vAlign w:val="bottom"/>
            <w:tcBorders>
              <w:bottom w:val="single" w:sz="8" w:color="auto"/>
            </w:tcBorders>
          </w:tcPr>
          <w:p>
            <w:pPr>
              <w:jc w:val="center"/>
              <w:spacing w:after="0" w:line="303" w:lineRule="exact"/>
              <w:rPr>
                <w:sz w:val="20"/>
                <w:szCs w:val="20"/>
                <w:color w:val="auto"/>
              </w:rPr>
            </w:pPr>
            <w:r>
              <w:rPr>
                <w:rFonts w:ascii="Arial" w:cs="Arial" w:eastAsia="Arial" w:hAnsi="Arial"/>
                <w:sz w:val="18"/>
                <w:szCs w:val="18"/>
                <w:color w:val="auto"/>
                <w:w w:val="84"/>
              </w:rPr>
              <w:t>$ 0.65</w:t>
            </w:r>
            <w:r>
              <w:rPr>
                <w:rFonts w:ascii="Arial" w:cs="Arial" w:eastAsia="Arial" w:hAnsi="Arial"/>
                <w:sz w:val="29"/>
                <w:szCs w:val="29"/>
                <w:color w:val="auto"/>
                <w:w w:val="84"/>
                <w:vertAlign w:val="superscript"/>
              </w:rPr>
              <w:t>(3)</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spacing w:after="0" w:line="303" w:lineRule="exact"/>
              <w:rPr>
                <w:sz w:val="20"/>
                <w:szCs w:val="20"/>
                <w:color w:val="auto"/>
              </w:rPr>
            </w:pPr>
            <w:r>
              <w:rPr>
                <w:rFonts w:ascii="Arial" w:cs="Arial" w:eastAsia="Arial" w:hAnsi="Arial"/>
                <w:sz w:val="18"/>
                <w:szCs w:val="18"/>
                <w:color w:val="auto"/>
                <w:w w:val="87"/>
              </w:rPr>
              <w:t>$ 7,799,129.00</w:t>
            </w:r>
            <w:r>
              <w:rPr>
                <w:rFonts w:ascii="Arial" w:cs="Arial" w:eastAsia="Arial" w:hAnsi="Arial"/>
                <w:sz w:val="29"/>
                <w:szCs w:val="29"/>
                <w:color w:val="auto"/>
                <w:w w:val="87"/>
                <w:vertAlign w:val="superscript"/>
              </w:rPr>
              <w:t>(3)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$ 1,013</w:t>
            </w:r>
          </w:p>
        </w:tc>
      </w:tr>
    </w:tbl>
    <w:p>
      <w:pPr>
        <w:spacing w:after="0" w:line="202" w:lineRule="exact"/>
        <w:rPr>
          <w:sz w:val="20"/>
          <w:szCs w:val="20"/>
          <w:color w:val="auto"/>
        </w:rPr>
      </w:pPr>
    </w:p>
    <w:p>
      <w:pPr>
        <w:ind w:left="440" w:right="200" w:hanging="432"/>
        <w:spacing w:after="0" w:line="25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and Rule 416(b) under the Securities Act of 1933, as amended (the “Securities Act”), this Registration Statement shall also cover an indeterminate number of additional ordinary shares, nominal value £0.05 per share (“Ordinary Shares”) of Verona Pharma plc (the “Registrant”), which may become issuable under the Verona Pharma plc 2017 Incentive Award Plan (the “2017 Plan”) by reason of any share split, share dividend, recapitalization or other similar transaction.</w:t>
      </w:r>
    </w:p>
    <w:p>
      <w:pPr>
        <w:spacing w:after="0" w:line="2" w:lineRule="exact"/>
        <w:rPr>
          <w:rFonts w:ascii="Arial" w:cs="Arial" w:eastAsia="Arial" w:hAnsi="Arial"/>
          <w:sz w:val="18"/>
          <w:szCs w:val="18"/>
          <w:color w:val="auto"/>
        </w:rPr>
      </w:pPr>
    </w:p>
    <w:p>
      <w:pPr>
        <w:jc w:val="both"/>
        <w:ind w:left="440" w:right="40" w:hanging="432"/>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11,998,660 Ordinary Shares that may become issuable under the 2017 Plan pursuant to its terms. These shares may be represented by the Registrant’s American Depositary Shares (“ADSs”), each of which represents eight Ordinary Shares. The Registrant’s ADSs issuable upon deposit of the Ordinary Shares registered hereby have been registered under a separate registration statement on Form F-6 (File No. 333-217353).</w:t>
      </w:r>
    </w:p>
    <w:p>
      <w:pPr>
        <w:spacing w:after="0" w:line="1" w:lineRule="exact"/>
        <w:rPr>
          <w:rFonts w:ascii="Arial" w:cs="Arial" w:eastAsia="Arial" w:hAnsi="Arial"/>
          <w:sz w:val="16"/>
          <w:szCs w:val="16"/>
          <w:color w:val="auto"/>
        </w:rPr>
      </w:pPr>
    </w:p>
    <w:p>
      <w:pPr>
        <w:jc w:val="both"/>
        <w:ind w:left="440" w:right="120" w:hanging="432"/>
        <w:spacing w:after="0" w:line="302"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457(h) under the Securities Act solely for the purpose of calculating the registration fee based on the average of the high and low prices of the Ordinary Shares of £0.53, as reported on AIM, a market of the London Stock Exchange, on April 24, 2020 and converted to $0.65 at the noon buying rate of the Federal Reserve Bank of New York of £1.00 to $1.2335 on 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11,998,660 ordinary shares, nominal value £0.05 per share (“Ordinary Shares”) of Verona Pharma plc (the “Registrant”) that may become issuable under the Verona Pharma plc 2017 Incentive Award Plan, as it may be amended or restated from time to time (the “2017 Plan”). A Registration Statement of the Registrant on Form S-8 relating to the 2017 Plan is effective.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 OF CONTENTS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 ON FORM S-8</w:t>
      </w:r>
    </w:p>
    <w:p>
      <w:pPr>
        <w:spacing w:after="0" w:line="211" w:lineRule="exact"/>
        <w:rPr>
          <w:sz w:val="20"/>
          <w:szCs w:val="20"/>
          <w:color w:val="auto"/>
        </w:rPr>
      </w:pPr>
    </w:p>
    <w:p>
      <w:pPr>
        <w:ind w:right="400" w:firstLine="48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Except as set forth below, the contents of the Registration Statement on </w:t>
      </w:r>
      <w:hyperlink r:id="rId20">
        <w:r>
          <w:rPr>
            <w:rFonts w:ascii="Arial" w:cs="Arial" w:eastAsia="Arial" w:hAnsi="Arial"/>
            <w:sz w:val="18"/>
            <w:szCs w:val="18"/>
            <w:u w:val="single" w:color="auto"/>
            <w:color w:val="0000EE"/>
          </w:rPr>
          <w:t>Form S-8 (File No. 333-217521)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Securities and Exchange Commission, relating to the 2017 Plan, are incorporated by reference herein.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Item 8. Exhibits.</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0"/>
                <w:szCs w:val="20"/>
                <w:color w:val="auto"/>
              </w:rPr>
            </w:pPr>
          </w:p>
        </w:tc>
        <w:tc>
          <w:tcPr>
            <w:tcW w:w="970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1140" w:type="dxa"/>
            <w:vAlign w:val="bottom"/>
            <w:tcBorders>
              <w:top w:val="single" w:sz="8" w:color="auto"/>
            </w:tcBorders>
          </w:tcPr>
          <w:p>
            <w:pPr>
              <w:ind w:left="60"/>
              <w:spacing w:after="0" w:line="169" w:lineRule="exact"/>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3.1</w:t>
              </w:r>
            </w:hyperlink>
          </w:p>
        </w:tc>
        <w:tc>
          <w:tcPr>
            <w:tcW w:w="3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100" w:type="dxa"/>
            <w:vAlign w:val="bottom"/>
            <w:tcBorders>
              <w:top w:val="single" w:sz="8" w:color="auto"/>
              <w:bottom w:val="single" w:sz="8" w:color="0000EE"/>
            </w:tcBorders>
            <w:gridSpan w:val="3"/>
          </w:tcPr>
          <w:p>
            <w:pPr>
              <w:spacing w:after="0" w:line="169"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Articles of Association of the Registrant, as amended and as currently in effect (incorporated by reference to Exhibit 3.1 to the</w:t>
              </w:r>
            </w:hyperlink>
          </w:p>
        </w:tc>
        <w:tc>
          <w:tcPr>
            <w:tcW w:w="600" w:type="dxa"/>
            <w:vAlign w:val="bottom"/>
            <w:tcBorders>
              <w:top w:val="single" w:sz="8" w:color="auto"/>
            </w:tcBorders>
            <w:gridSpan w:val="2"/>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Registrant’s Registration Statement on Form F-1 (Reg. No. 333-217124) filed on April 3, 2017).</w:t>
              </w:r>
            </w:hyperlink>
          </w:p>
        </w:tc>
        <w:tc>
          <w:tcPr>
            <w:tcW w:w="2760" w:type="dxa"/>
            <w:vAlign w:val="bottom"/>
            <w:gridSpan w:val="3"/>
          </w:tcPr>
          <w:p>
            <w:pPr>
              <w:spacing w:after="0"/>
              <w:rPr>
                <w:sz w:val="17"/>
                <w:szCs w:val="17"/>
                <w:color w:val="auto"/>
              </w:rPr>
            </w:pPr>
          </w:p>
        </w:tc>
      </w:tr>
      <w:tr>
        <w:trPr>
          <w:trHeight w:val="453"/>
        </w:trPr>
        <w:tc>
          <w:tcPr>
            <w:tcW w:w="114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5.1+</w:t>
              </w:r>
            </w:hyperlink>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Opinion of Latham &amp; Watkins LLP, counsel of the Registrant.</w:t>
              </w:r>
            </w:hyperlink>
          </w:p>
        </w:tc>
      </w:tr>
      <w:tr>
        <w:trPr>
          <w:trHeight w:val="432"/>
        </w:trPr>
        <w:tc>
          <w:tcPr>
            <w:tcW w:w="1140" w:type="dxa"/>
            <w:vAlign w:val="bottom"/>
          </w:tcPr>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23.1+</w:t>
              </w:r>
            </w:hyperlink>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Consent of PricewaterhouseCoopers LLP, independent registered public accounting firm.</w:t>
              </w:r>
            </w:hyperlink>
          </w:p>
        </w:tc>
      </w:tr>
      <w:tr>
        <w:trPr>
          <w:trHeight w:val="432"/>
        </w:trPr>
        <w:tc>
          <w:tcPr>
            <w:tcW w:w="114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23.2 +</w:t>
              </w:r>
            </w:hyperlink>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Consent of Latham &amp; Watkins LLP, counsel of the Registrant (included in Exhibit 5.1).</w:t>
              </w:r>
            </w:hyperlink>
          </w:p>
        </w:tc>
      </w:tr>
      <w:tr>
        <w:trPr>
          <w:trHeight w:val="432"/>
        </w:trPr>
        <w:tc>
          <w:tcPr>
            <w:tcW w:w="114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24.1+</w:t>
              </w:r>
            </w:hyperlink>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signature page).</w:t>
              </w:r>
            </w:hyperlink>
          </w:p>
        </w:tc>
      </w:tr>
      <w:tr>
        <w:trPr>
          <w:trHeight w:val="391"/>
        </w:trPr>
        <w:tc>
          <w:tcPr>
            <w:tcW w:w="1140" w:type="dxa"/>
            <w:vAlign w:val="bottom"/>
          </w:tcPr>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99.1+</w:t>
              </w:r>
            </w:hyperlink>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Verona Pharma plc 2017 Incentive Award Plan, as it may be amended or restated from time to time, and forms of award agreements</w:t>
              </w:r>
            </w:hyperlink>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thereunder.</w:t>
              </w:r>
            </w:hyperlink>
          </w:p>
        </w:tc>
        <w:tc>
          <w:tcPr>
            <w:tcW w:w="8680" w:type="dxa"/>
            <w:vAlign w:val="bottom"/>
            <w:tcBorders>
              <w:top w:val="single" w:sz="8" w:color="0000EE"/>
            </w:tcBorders>
            <w:gridSpan w:val="3"/>
          </w:tcPr>
          <w:p>
            <w:pPr>
              <w:spacing w:after="0"/>
              <w:rPr>
                <w:sz w:val="17"/>
                <w:szCs w:val="17"/>
                <w:color w:val="auto"/>
              </w:rPr>
            </w:pPr>
          </w:p>
        </w:tc>
        <w:tc>
          <w:tcPr>
            <w:tcW w:w="2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this 30th day of April, 2020.</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Zaccardelli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 W. Hahn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the undersigned officers and directors of Verona Pharma plc, hereby severally constitute and appoint David Zaccardelli and Mark W. Hahn,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1440"/>
              <w:spacing w:after="0"/>
              <w:rPr>
                <w:sz w:val="20"/>
                <w:szCs w:val="20"/>
                <w:color w:val="auto"/>
              </w:rPr>
            </w:pPr>
            <w:r>
              <w:rPr>
                <w:rFonts w:ascii="Arial" w:cs="Arial" w:eastAsia="Arial" w:hAnsi="Arial"/>
                <w:sz w:val="18"/>
                <w:szCs w:val="18"/>
                <w:b w:val="1"/>
                <w:bCs w:val="1"/>
                <w:color w:val="auto"/>
              </w:rPr>
              <w:t>Signature</w:t>
            </w:r>
          </w:p>
        </w:tc>
        <w:tc>
          <w:tcPr>
            <w:tcW w:w="320" w:type="dxa"/>
            <w:vAlign w:val="bottom"/>
          </w:tcPr>
          <w:p>
            <w:pPr>
              <w:spacing w:after="0"/>
              <w:rPr>
                <w:sz w:val="20"/>
                <w:szCs w:val="20"/>
                <w:color w:val="auto"/>
              </w:rPr>
            </w:pPr>
          </w:p>
        </w:tc>
        <w:tc>
          <w:tcPr>
            <w:tcW w:w="3700" w:type="dxa"/>
            <w:vAlign w:val="bottom"/>
            <w:gridSpan w:val="2"/>
          </w:tcPr>
          <w:p>
            <w:pPr>
              <w:ind w:left="1520"/>
              <w:spacing w:after="0"/>
              <w:rPr>
                <w:sz w:val="20"/>
                <w:szCs w:val="20"/>
                <w:color w:val="auto"/>
              </w:rPr>
            </w:pPr>
            <w:r>
              <w:rPr>
                <w:rFonts w:ascii="Arial" w:cs="Arial" w:eastAsia="Arial" w:hAnsi="Arial"/>
                <w:sz w:val="18"/>
                <w:szCs w:val="18"/>
                <w:b w:val="1"/>
                <w:bCs w:val="1"/>
                <w:color w:val="auto"/>
              </w:rPr>
              <w:t>Title</w:t>
            </w:r>
          </w:p>
        </w:tc>
        <w:tc>
          <w:tcPr>
            <w:tcW w:w="3600" w:type="dxa"/>
            <w:vAlign w:val="bottom"/>
          </w:tcPr>
          <w:p>
            <w:pPr>
              <w:ind w:left="16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3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Chief Executive Officer and Member of the</w:t>
            </w:r>
          </w:p>
        </w:tc>
        <w:tc>
          <w:tcPr>
            <w:tcW w:w="3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 David Zaccardelli</w:t>
            </w:r>
          </w:p>
        </w:tc>
        <w:tc>
          <w:tcPr>
            <w:tcW w:w="32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Board</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David Zaccardelli</w:t>
            </w:r>
          </w:p>
        </w:tc>
        <w:tc>
          <w:tcPr>
            <w:tcW w:w="320" w:type="dxa"/>
            <w:vAlign w:val="bottom"/>
          </w:tcPr>
          <w:p>
            <w:pPr>
              <w:spacing w:after="0"/>
              <w:rPr>
                <w:sz w:val="19"/>
                <w:szCs w:val="19"/>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Financial Officer</w:t>
            </w:r>
          </w:p>
        </w:tc>
        <w:tc>
          <w:tcPr>
            <w:tcW w:w="3600" w:type="dxa"/>
            <w:vAlign w:val="bottom"/>
            <w:vMerge w:val="restart"/>
          </w:tcPr>
          <w:p>
            <w:pPr>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Hahn</w:t>
            </w:r>
          </w:p>
        </w:tc>
        <w:tc>
          <w:tcPr>
            <w:tcW w:w="3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Mark W. Hahn</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Ebsworth, Ph.D.</w:t>
            </w: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3600" w:type="dxa"/>
            <w:vAlign w:val="bottom"/>
          </w:tcPr>
          <w:p>
            <w:pPr>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David Ebsworth, Ph.D.</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Cunningham, M.D.</w:t>
            </w: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Member of the Board</w:t>
            </w:r>
          </w:p>
        </w:tc>
        <w:tc>
          <w:tcPr>
            <w:tcW w:w="3600" w:type="dxa"/>
            <w:vAlign w:val="bottom"/>
          </w:tcPr>
          <w:p>
            <w:pPr>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Ken Cunningham, M.D.</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Member of the Board</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Martin Edwards, M.D.</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Rishi Gupta</w:t>
            </w: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Member of the Board</w:t>
            </w:r>
          </w:p>
        </w:tc>
        <w:tc>
          <w:tcPr>
            <w:tcW w:w="3600" w:type="dxa"/>
            <w:vAlign w:val="bottom"/>
          </w:tcPr>
          <w:p>
            <w:pPr>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Rishi Gupta</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Mahendra G. Shah, Ph.D.</w:t>
            </w: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Member of the Board</w:t>
            </w:r>
          </w:p>
        </w:tc>
        <w:tc>
          <w:tcPr>
            <w:tcW w:w="3600" w:type="dxa"/>
            <w:vAlign w:val="bottom"/>
          </w:tcPr>
          <w:p>
            <w:pPr>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Mahendra G. Shah, Ph.D.</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Sinclair, Ph.D.</w:t>
            </w: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Member of the Board</w:t>
            </w:r>
          </w:p>
        </w:tc>
        <w:tc>
          <w:tcPr>
            <w:tcW w:w="3600" w:type="dxa"/>
            <w:vAlign w:val="bottom"/>
          </w:tcPr>
          <w:p>
            <w:pPr>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Andrew Sinclair, Ph.D.</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Member of the Board</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Vikas Sinha</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Anders Ullman, M.D., Ph.D.</w:t>
            </w:r>
          </w:p>
        </w:tc>
        <w:tc>
          <w:tcPr>
            <w:tcW w:w="3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Member of the Board</w:t>
            </w:r>
          </w:p>
        </w:tc>
        <w:tc>
          <w:tcPr>
            <w:tcW w:w="3600" w:type="dxa"/>
            <w:vAlign w:val="bottom"/>
          </w:tcPr>
          <w:p>
            <w:pPr>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Anders Ullman, M.D., Ph.D.</w:t>
            </w:r>
          </w:p>
        </w:tc>
        <w:tc>
          <w:tcPr>
            <w:tcW w:w="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undersigned, the duly authorized representative in the United States of Verona Pharma plc, has signed this Registration Statement on Form S-8, in the City of New York, State of New York , on April 30, 2020.</w:t>
      </w:r>
    </w:p>
    <w:p>
      <w:pPr>
        <w:spacing w:after="0" w:line="35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COGENCY GLOBAL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Representative in the United States)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240"/>
          </w:cols>
          <w:pgMar w:left="320" w:top="111" w:right="339" w:bottom="1440" w:gutter="0" w:footer="0" w:header="0"/>
        </w:sectPr>
      </w:pPr>
    </w:p>
    <w:p>
      <w:pPr>
        <w:spacing w:after="0" w:line="28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99 Bishopsgate</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London EC2M 3XF</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Tel: +44(0)20.7710.1000</w:t>
      </w:r>
    </w:p>
    <w:p>
      <w:pPr>
        <w:spacing w:after="0" w:line="3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+44(0)20.7374.4460</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558" w:lineRule="exact"/>
        <w:rPr>
          <w:sz w:val="20"/>
          <w:szCs w:val="20"/>
          <w:color w:val="auto"/>
        </w:rPr>
      </w:pPr>
    </w:p>
    <w:p>
      <w:pPr>
        <w:sectPr>
          <w:pgSz w:w="11900" w:h="16838" w:orient="portrait"/>
          <w:cols w:equalWidth="0" w:num="2">
            <w:col w:w="9340" w:space="100"/>
            <w:col w:w="180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30 April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FIRM / AFFILIATE OFFICES</w:t>
      </w:r>
    </w:p>
    <w:p>
      <w:pPr>
        <w:spacing w:after="0" w:line="23"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6"/>
          <w:szCs w:val="16"/>
          <w:color w:val="auto"/>
        </w:rPr>
        <w:t>Shanghai</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6"/>
          <w:szCs w:val="16"/>
          <w:color w:val="auto"/>
        </w:rPr>
        <w:t>Madrid</w:t>
      </w:r>
      <w:r>
        <w:rPr>
          <w:sz w:val="20"/>
          <w:szCs w:val="20"/>
          <w:color w:val="auto"/>
        </w:rPr>
        <w:tab/>
      </w:r>
      <w:r>
        <w:rPr>
          <w:rFonts w:ascii="Arial" w:cs="Arial" w:eastAsia="Arial" w:hAnsi="Arial"/>
          <w:sz w:val="16"/>
          <w:szCs w:val="16"/>
          <w:color w:val="auto"/>
        </w:rPr>
        <w:t>Washington, D.C.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9" w:lineRule="exact"/>
        <w:rPr>
          <w:sz w:val="20"/>
          <w:szCs w:val="20"/>
          <w:color w:val="auto"/>
        </w:rPr>
      </w:pPr>
    </w:p>
    <w:p>
      <w:pPr>
        <w:sectPr>
          <w:pgSz w:w="11900" w:h="16838" w:orient="portrait"/>
          <w:cols w:equalWidth="0" w:num="2">
            <w:col w:w="6820" w:space="720"/>
            <w:col w:w="3700"/>
          </w:cols>
          <w:pgMar w:left="320" w:top="11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Verona Pharma plc</w:t>
      </w:r>
    </w:p>
    <w:p>
      <w:pPr>
        <w:spacing w:after="0" w:line="235" w:lineRule="auto"/>
        <w:rPr>
          <w:sz w:val="20"/>
          <w:szCs w:val="20"/>
          <w:color w:val="auto"/>
        </w:rPr>
      </w:pPr>
      <w:r>
        <w:rPr>
          <w:rFonts w:ascii="Arial" w:cs="Arial" w:eastAsia="Arial" w:hAnsi="Arial"/>
          <w:sz w:val="22"/>
          <w:szCs w:val="22"/>
          <w:color w:val="auto"/>
        </w:rPr>
        <w:t>One Central Square</w:t>
      </w:r>
    </w:p>
    <w:p>
      <w:pPr>
        <w:spacing w:after="0" w:line="231" w:lineRule="auto"/>
        <w:rPr>
          <w:sz w:val="20"/>
          <w:szCs w:val="20"/>
          <w:color w:val="auto"/>
        </w:rPr>
      </w:pPr>
      <w:r>
        <w:rPr>
          <w:rFonts w:ascii="Arial" w:cs="Arial" w:eastAsia="Arial" w:hAnsi="Arial"/>
          <w:sz w:val="22"/>
          <w:szCs w:val="22"/>
          <w:color w:val="auto"/>
        </w:rPr>
        <w:t>Cardiff</w:t>
      </w:r>
    </w:p>
    <w:p>
      <w:pPr>
        <w:spacing w:after="0" w:line="230" w:lineRule="auto"/>
        <w:rPr>
          <w:sz w:val="20"/>
          <w:szCs w:val="20"/>
          <w:color w:val="auto"/>
        </w:rPr>
      </w:pPr>
      <w:r>
        <w:rPr>
          <w:rFonts w:ascii="Arial" w:cs="Arial" w:eastAsia="Arial" w:hAnsi="Arial"/>
          <w:sz w:val="22"/>
          <w:szCs w:val="22"/>
          <w:color w:val="auto"/>
        </w:rPr>
        <w:t>CF10 1FS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Verona Pharma plc – Registration Statement on Form S-8 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have acted as English legal advisers to Verona Pharma plc, a public limited company incorporated in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and filing of the registration statement on Form S-8 to which this opinion letter is attached as an exhibit (such registration statement, as amended, including the documents incorporated by reference therein,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pursuant to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set out in the Registration Statement, it is proposed that an additional 11,998,660 ordinary shares of the Company each having a nominal value of £0.05 (the “</w:t>
      </w:r>
      <w:r>
        <w:rPr>
          <w:rFonts w:ascii="Arial" w:cs="Arial" w:eastAsia="Arial" w:hAnsi="Arial"/>
          <w:sz w:val="18"/>
          <w:szCs w:val="18"/>
          <w:b w:val="1"/>
          <w:bCs w:val="1"/>
          <w:color w:val="auto"/>
        </w:rPr>
        <w:t>Shares</w:t>
      </w:r>
      <w:r>
        <w:rPr>
          <w:rFonts w:ascii="Arial" w:cs="Arial" w:eastAsia="Arial" w:hAnsi="Arial"/>
          <w:sz w:val="18"/>
          <w:szCs w:val="18"/>
          <w:color w:val="auto"/>
        </w:rPr>
        <w:t>”) may become issuable under the Verona Pharma plc 2017 Incentive Plan (the “</w:t>
      </w:r>
      <w:r>
        <w:rPr>
          <w:rFonts w:ascii="Arial" w:cs="Arial" w:eastAsia="Arial" w:hAnsi="Arial"/>
          <w:sz w:val="18"/>
          <w:szCs w:val="18"/>
          <w:b w:val="1"/>
          <w:bCs w:val="1"/>
          <w:color w:val="auto"/>
        </w:rPr>
        <w:t>2017 Plan</w:t>
      </w:r>
      <w:r>
        <w:rPr>
          <w:rFonts w:ascii="Arial" w:cs="Arial" w:eastAsia="Arial" w:hAnsi="Arial"/>
          <w:sz w:val="18"/>
          <w:szCs w:val="18"/>
          <w:color w:val="auto"/>
        </w:rPr>
        <w:t>”).</w:t>
      </w:r>
    </w:p>
    <w:p>
      <w:pPr>
        <w:spacing w:after="0" w:line="166"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 We have taken instruction in this regard solely from the Company.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Defined terms and headings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1280" w:hanging="638"/>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 w:name="page8"/>
    <w:bookmarkEnd w:id="7"/>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85991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59915" cy="128905"/>
                    </a:xfrm>
                    <a:prstGeom prst="rect">
                      <a:avLst/>
                    </a:prstGeom>
                    <a:noFill/>
                  </pic:spPr>
                </pic:pic>
              </a:graphicData>
            </a:graphic>
          </wp:anchor>
        </w:drawing>
        <w:t>headings are for ease of reference only and shall not affect interpretation.</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purpose of issuing this letter we have reviewed only the following documents and conducted only the following enquiries and searches:</w:t>
      </w:r>
    </w:p>
    <w:p>
      <w:pPr>
        <w:spacing w:after="0" w:line="248" w:lineRule="exact"/>
        <w:rPr>
          <w:sz w:val="20"/>
          <w:szCs w:val="20"/>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search at Companies House in respect of the Company conducted on 30 April 2020 at 10:16 am;</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enquiry by telephone at the Central Registry of Winding Up Petitions, London on 30 April 2020 at 10:07 am with respect to the Company ((a) and (b)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minutes of the annual general meeting of the Company held on 12 April 2017 at which it was resolved, inter alia, to approve the 2017 Plan (the “</w:t>
      </w:r>
      <w:r>
        <w:rPr>
          <w:rFonts w:ascii="Arial" w:cs="Arial" w:eastAsia="Arial" w:hAnsi="Arial"/>
          <w:sz w:val="18"/>
          <w:szCs w:val="18"/>
          <w:b w:val="1"/>
          <w:bCs w:val="1"/>
          <w:color w:val="auto"/>
        </w:rPr>
        <w:t>Annual General Meeting</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copies of the minutes of meetings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held on 22 September 2006 and 12 April 2017,</w:t>
      </w:r>
    </w:p>
    <w:p>
      <w:pPr>
        <w:spacing w:after="0" w:line="252" w:lineRule="exact"/>
        <w:rPr>
          <w:rFonts w:ascii="Arial" w:cs="Arial" w:eastAsia="Arial" w:hAnsi="Arial"/>
          <w:sz w:val="16"/>
          <w:szCs w:val="16"/>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a written resolution of the Board dated 12 March 2020;</w:t>
      </w:r>
    </w:p>
    <w:p>
      <w:pPr>
        <w:spacing w:after="0" w:line="221" w:lineRule="exact"/>
        <w:rPr>
          <w:rFonts w:ascii="Arial" w:cs="Arial" w:eastAsia="Arial" w:hAnsi="Arial"/>
          <w:sz w:val="18"/>
          <w:szCs w:val="18"/>
          <w:color w:val="auto"/>
        </w:rPr>
      </w:pPr>
    </w:p>
    <w:p>
      <w:pPr>
        <w:ind w:left="1280" w:hanging="638"/>
        <w:spacing w:after="0" w:line="282"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minutes of the meeting of the remuneration committee of the Company (“</w:t>
      </w:r>
      <w:r>
        <w:rPr>
          <w:rFonts w:ascii="Arial" w:cs="Arial" w:eastAsia="Arial" w:hAnsi="Arial"/>
          <w:sz w:val="18"/>
          <w:szCs w:val="18"/>
          <w:b w:val="1"/>
          <w:bCs w:val="1"/>
          <w:color w:val="auto"/>
        </w:rPr>
        <w:t>Remuneration Committee</w:t>
      </w:r>
      <w:r>
        <w:rPr>
          <w:rFonts w:ascii="Arial" w:cs="Arial" w:eastAsia="Arial" w:hAnsi="Arial"/>
          <w:sz w:val="18"/>
          <w:szCs w:val="18"/>
          <w:color w:val="auto"/>
        </w:rPr>
        <w:t>”) held on 3 March 2020;</w:t>
      </w:r>
    </w:p>
    <w:p>
      <w:pPr>
        <w:spacing w:after="0" w:line="165"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2017 Plan;</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24 February 2005;</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certificate of incorporation on change of name of the Company dated 18 September 2006;</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current articles of association of the Company adopted pursuant to a special resolution of shareholders passed at the general meeting held on 8 February 2017;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draft copy of the Registration Statement as at 29 April 2020 and to be filed with the SEC on 30 April 2020.</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shall be construed in accordance with English law (including European Union law to the extent directly applicable) and relate only to English law (including European Union law to the extent directly applicable) as applied by the English courts as at today’s date. In particular:</w:t>
      </w:r>
    </w:p>
    <w:p>
      <w:pPr>
        <w:spacing w:after="0" w:line="187" w:lineRule="exact"/>
        <w:rPr>
          <w:sz w:val="20"/>
          <w:szCs w:val="20"/>
          <w:color w:val="auto"/>
        </w:rPr>
      </w:pPr>
    </w:p>
    <w:p>
      <w:pPr>
        <w:ind w:left="1280" w:hanging="638"/>
        <w:spacing w:after="0" w:line="277"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25"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United Kingdom exited the European Union on 31 January 2020. By virtue of sections 1A and 1B of the European Union (Withdrawal) Act 2018 (as amended by the European Union (Withdrawal Agreement) Act 2020) (“</w:t>
      </w:r>
      <w:r>
        <w:rPr>
          <w:rFonts w:ascii="Arial" w:cs="Arial" w:eastAsia="Arial" w:hAnsi="Arial"/>
          <w:sz w:val="18"/>
          <w:szCs w:val="18"/>
          <w:b w:val="1"/>
          <w:bCs w:val="1"/>
          <w:color w:val="auto"/>
        </w:rPr>
        <w:t>EUWA</w:t>
      </w:r>
      <w:r>
        <w:rPr>
          <w:rFonts w:ascii="Arial" w:cs="Arial" w:eastAsia="Arial" w:hAnsi="Arial"/>
          <w:sz w:val="18"/>
          <w:szCs w:val="18"/>
          <w:color w:val="auto"/>
        </w:rPr>
        <w:t>”), European Union law will continue to be applicable to the United Kingdom for the duration of the implementation period set out in section 1A(6) of the EUWA. We express no opinion on the effect of European Union law in the United Kingdom after the end of such implementation period.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 w:name="page9"/>
    <w:bookmarkEnd w:id="8"/>
    <w:p>
      <w:pPr>
        <w:spacing w:after="0"/>
        <w:tabs>
          <w:tab w:leader="none" w:pos="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85991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59915" cy="128905"/>
                    </a:xfrm>
                    <a:prstGeom prst="rect">
                      <a:avLst/>
                    </a:prstGeom>
                    <a:noFill/>
                  </pic:spPr>
                </pic:pic>
              </a:graphicData>
            </a:graphic>
          </wp:anchor>
        </w:drawing>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The opinions given in this letter are given on the basis of each of the assumptions set out in Schedule 1 (</w:t>
      </w:r>
      <w:r>
        <w:rPr>
          <w:rFonts w:ascii="Arial" w:cs="Arial" w:eastAsia="Arial" w:hAnsi="Arial"/>
          <w:sz w:val="16"/>
          <w:szCs w:val="16"/>
          <w:i w:val="1"/>
          <w:iCs w:val="1"/>
          <w:color w:val="auto"/>
        </w:rPr>
        <w:t>Assumptions</w:t>
      </w:r>
      <w:r>
        <w:rPr>
          <w:rFonts w:ascii="Arial" w:cs="Arial" w:eastAsia="Arial" w:hAnsi="Arial"/>
          <w:sz w:val="16"/>
          <w:szCs w:val="16"/>
          <w:color w:val="auto"/>
        </w:rPr>
        <w:t>) and are subject to each of the reservations set out in Schedule 2 (</w:t>
      </w:r>
      <w:r>
        <w:rPr>
          <w:rFonts w:ascii="Arial" w:cs="Arial" w:eastAsia="Arial" w:hAnsi="Arial"/>
          <w:sz w:val="16"/>
          <w:szCs w:val="16"/>
          <w:i w:val="1"/>
          <w:iCs w:val="1"/>
          <w:color w:val="auto"/>
        </w:rPr>
        <w:t>Reservations</w:t>
      </w:r>
      <w:r>
        <w:rPr>
          <w:rFonts w:ascii="Arial" w:cs="Arial" w:eastAsia="Arial" w:hAnsi="Arial"/>
          <w:sz w:val="16"/>
          <w:szCs w:val="16"/>
          <w:color w:val="auto"/>
        </w:rPr>
        <w:t>) to this letter. The opinions given in this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below and do not extend, and should not be read as extending, by implication or otherwise, to any other matters.</w:t>
      </w:r>
    </w:p>
    <w:p>
      <w:pPr>
        <w:spacing w:after="0" w:line="14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36" w:lineRule="exact"/>
        <w:rPr>
          <w:rFonts w:ascii="Arial" w:cs="Arial" w:eastAsia="Arial" w:hAnsi="Arial"/>
          <w:sz w:val="18"/>
          <w:szCs w:val="18"/>
          <w:b w:val="1"/>
          <w:bCs w:val="1"/>
          <w:color w:val="auto"/>
        </w:rPr>
      </w:pPr>
    </w:p>
    <w:p>
      <w:pPr>
        <w:ind w:left="1280" w:hanging="638"/>
        <w:spacing w:after="0"/>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Registration Statement, as finally amended, having become effective under the Securities Act;</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shareholders of the Company in a general meeting or within the Company’s articles of association duly and validly having resolved:</w:t>
      </w:r>
    </w:p>
    <w:p>
      <w:pPr>
        <w:spacing w:after="0" w:line="46" w:lineRule="exact"/>
        <w:rPr>
          <w:rFonts w:ascii="Arial" w:cs="Arial" w:eastAsia="Arial" w:hAnsi="Arial"/>
          <w:sz w:val="16"/>
          <w:szCs w:val="16"/>
          <w:color w:val="auto"/>
        </w:rPr>
      </w:pPr>
    </w:p>
    <w:p>
      <w:pPr>
        <w:jc w:val="both"/>
        <w:ind w:left="1280"/>
        <w:spacing w:after="0" w:line="252" w:lineRule="auto"/>
        <w:rPr>
          <w:rFonts w:ascii="Arial" w:cs="Arial" w:eastAsia="Arial" w:hAnsi="Arial"/>
          <w:sz w:val="16"/>
          <w:szCs w:val="16"/>
          <w:color w:val="auto"/>
        </w:rPr>
      </w:pPr>
      <w:r>
        <w:rPr>
          <w:rFonts w:ascii="Arial" w:cs="Arial" w:eastAsia="Arial" w:hAnsi="Arial"/>
          <w:sz w:val="18"/>
          <w:szCs w:val="18"/>
          <w:color w:val="auto"/>
        </w:rPr>
        <w:t>(i) as may be required, as an ordinary resolution, or within the Company’s articles of association, to authorise the board of directors of the Company pursuant to section 551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to allot Shares, or to grant rights to subscribe for Shares, pursuant to the 2017 Plan;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193" w:lineRule="exact"/>
        <w:rPr>
          <w:rFonts w:ascii="Arial" w:cs="Arial" w:eastAsia="Arial" w:hAnsi="Arial"/>
          <w:sz w:val="16"/>
          <w:szCs w:val="16"/>
          <w:color w:val="auto"/>
        </w:rPr>
      </w:pPr>
    </w:p>
    <w:p>
      <w:pPr>
        <w:ind w:left="1280" w:hanging="638"/>
        <w:spacing w:after="0" w:line="277" w:lineRule="auto"/>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delegation of authority to the Remuneration Committee having been validly effected (among other things, in accordance with the Company’s articles of association and the 2017 Plan);</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directors of the Company or the Remuneration Committee and the shareholders of the Company having validly approved the 2017 Plan;</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directors of the Company or the Remuneration Committee having validly granted the awards in respect of the Shares under the 2017 Plan;</w:t>
      </w:r>
    </w:p>
    <w:p>
      <w:pPr>
        <w:spacing w:after="0" w:line="170" w:lineRule="exact"/>
        <w:rPr>
          <w:rFonts w:ascii="Arial" w:cs="Arial" w:eastAsia="Arial" w:hAnsi="Arial"/>
          <w:sz w:val="18"/>
          <w:szCs w:val="18"/>
          <w:color w:val="auto"/>
        </w:rPr>
      </w:pPr>
    </w:p>
    <w:p>
      <w:pPr>
        <w:jc w:val="both"/>
        <w:ind w:left="1280" w:hanging="638"/>
        <w:spacing w:after="0" w:line="259" w:lineRule="auto"/>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directors of the Company or the Remuneration Committee having validly resolved to allot and issue the Shares, or grant rights to subscribe for the Shares, at duly convened and quorate meetings of the board of directors of the Company or the Remuneration Committee or by way of duly passed written resolutions of the board of directors of the Company or the Remuneration Committee and such resolutions being in full force and effect and not having been rescinded or amended;</w:t>
      </w:r>
    </w:p>
    <w:p>
      <w:pPr>
        <w:spacing w:after="0" w:line="186" w:lineRule="exact"/>
        <w:rPr>
          <w:rFonts w:ascii="Arial" w:cs="Arial" w:eastAsia="Arial" w:hAnsi="Arial"/>
          <w:sz w:val="18"/>
          <w:szCs w:val="18"/>
          <w:color w:val="auto"/>
        </w:rPr>
      </w:pPr>
    </w:p>
    <w:p>
      <w:pPr>
        <w:jc w:val="both"/>
        <w:ind w:left="1280" w:hanging="638"/>
        <w:spacing w:after="0" w:line="257" w:lineRule="auto"/>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2017 Plan are duly authorised by all necessary corporate action as described in (e) above and duly granted or awarded and exercised in accordance with the requirements of law, the Company’s articles of association and the 2017 Plan (and the agreements and awards duly adopted thereunder and in accordance therewith);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9" w:name="page10"/>
    <w:bookmarkEnd w:id="9"/>
    <w:p>
      <w:pPr>
        <w:ind w:left="1280" w:hanging="638"/>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5991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59915" cy="128905"/>
                    </a:xfrm>
                    <a:prstGeom prst="rect">
                      <a:avLst/>
                    </a:prstGeom>
                    <a:noFill/>
                  </pic:spPr>
                </pic:pic>
              </a:graphicData>
            </a:graphic>
          </wp:anchor>
        </w:drawing>
        <w:t>valid entries having been made in relation to the allotment and issue of the Shares in the books and registers of the Company,</w:t>
      </w:r>
    </w:p>
    <w:p>
      <w:pPr>
        <w:spacing w:after="0" w:line="237"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it is our opinion that the Shares, if and when allotted and issued, registered in the name of the recipient in the register of members of the Company and delivered in accordance with the terms and conditions referred to above and/or in the 2017 Plan,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183"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2017 Plan.</w:t>
      </w:r>
    </w:p>
    <w:p>
      <w:pPr>
        <w:spacing w:after="0" w:line="170" w:lineRule="exact"/>
        <w:rPr>
          <w:rFonts w:ascii="Arial" w:cs="Arial" w:eastAsia="Arial" w:hAnsi="Arial"/>
          <w:sz w:val="18"/>
          <w:szCs w:val="18"/>
          <w:b w:val="1"/>
          <w:bCs w:val="1"/>
          <w:color w:val="auto"/>
        </w:rPr>
      </w:pPr>
    </w:p>
    <w:p>
      <w:pPr>
        <w:jc w:val="both"/>
        <w:ind w:left="6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44" w:lineRule="exact"/>
        <w:rPr>
          <w:rFonts w:ascii="Arial" w:cs="Arial" w:eastAsia="Arial" w:hAnsi="Arial"/>
          <w:sz w:val="18"/>
          <w:szCs w:val="18"/>
          <w:b w:val="1"/>
          <w:bCs w:val="1"/>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229" w:lineRule="exact"/>
        <w:rPr>
          <w:rFonts w:ascii="Arial" w:cs="Arial" w:eastAsia="Arial" w:hAnsi="Arial"/>
          <w:sz w:val="18"/>
          <w:szCs w:val="18"/>
          <w:b w:val="1"/>
          <w:bCs w:val="1"/>
          <w:color w:val="auto"/>
        </w:rPr>
      </w:pPr>
    </w:p>
    <w:p>
      <w:pPr>
        <w:jc w:val="both"/>
        <w:ind w:left="6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LATHAM &amp; WATKINS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225" w:lineRule="exact"/>
        <w:rPr>
          <w:sz w:val="20"/>
          <w:szCs w:val="20"/>
          <w:color w:val="auto"/>
        </w:rPr>
      </w:pPr>
    </w:p>
    <w:p>
      <w:pPr>
        <w:ind w:left="1280" w:hanging="638"/>
        <w:spacing w:after="0" w:line="277"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in the case of a document signed electronically, the person signing it intended to sign and be bound by the document;</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170"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1.3(h)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2017 Plan remains in full force and effect and no alteration has been made or will be made to the 2017 Plan prior to an Allotment Date;</w:t>
      </w:r>
    </w:p>
    <w:p>
      <w:pPr>
        <w:spacing w:after="0" w:line="170" w:lineRule="exact"/>
        <w:rPr>
          <w:rFonts w:ascii="Arial" w:cs="Arial" w:eastAsia="Arial" w:hAnsi="Arial"/>
          <w:sz w:val="18"/>
          <w:szCs w:val="18"/>
          <w:color w:val="auto"/>
        </w:rPr>
      </w:pPr>
    </w:p>
    <w:p>
      <w:pPr>
        <w:jc w:val="both"/>
        <w:ind w:left="1280" w:hanging="638"/>
        <w:spacing w:after="0" w:line="311"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48" w:lineRule="exact"/>
        <w:rPr>
          <w:rFonts w:ascii="Arial" w:cs="Arial" w:eastAsia="Arial" w:hAnsi="Arial"/>
          <w:sz w:val="16"/>
          <w:szCs w:val="16"/>
          <w:color w:val="auto"/>
        </w:rPr>
      </w:pPr>
    </w:p>
    <w:p>
      <w:pPr>
        <w:jc w:val="both"/>
        <w:ind w:left="1280" w:hanging="638"/>
        <w:spacing w:after="0" w:line="268"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(i) the resolutions described in the written resolutions of the board of directors of the Company and the Remuneration Committee provided to us in connection with the giving of this opinion or otherwise contemplated in connection with the matters referred to herein were and/or will be duly passed as written resolutions of the board of directors of the Company or the Remuneration Committee, as applicable, all constitutional, statutory and other formalities were and/or will be observed and such resolutions have not been, and will not be, revoked or varied and remain in full force and effect and will remain so at each Allotment Date; and (ii) the proceedings and resolutions described in the minutes of the meetings of the board of directors of the Company and the Remuneration Committee provided to us in connection with the giving of this opinion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186" w:lineRule="exact"/>
        <w:rPr>
          <w:rFonts w:ascii="Arial" w:cs="Arial" w:eastAsia="Arial" w:hAnsi="Arial"/>
          <w:sz w:val="17"/>
          <w:szCs w:val="17"/>
          <w:color w:val="auto"/>
        </w:rPr>
      </w:pPr>
    </w:p>
    <w:p>
      <w:pPr>
        <w:jc w:val="both"/>
        <w:ind w:left="1280" w:hanging="638"/>
        <w:spacing w:after="0" w:line="296"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left="638" w:hanging="638"/>
        <w:spacing w:after="0" w:line="259"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186" w:lineRule="exact"/>
        <w:rPr>
          <w:rFonts w:ascii="Arial" w:cs="Arial" w:eastAsia="Arial" w:hAnsi="Arial"/>
          <w:sz w:val="18"/>
          <w:szCs w:val="18"/>
          <w:color w:val="auto"/>
        </w:rPr>
      </w:pPr>
    </w:p>
    <w:p>
      <w:pPr>
        <w:jc w:val="both"/>
        <w:ind w:left="638" w:hanging="638"/>
        <w:spacing w:after="0" w:line="259"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relation to any allotment and issue of any Shares by the Company pursuant to the 2017 Plan, that the recipient will have become entitled to such Shares under the terms of the 2017 Plan such Shares will, where applicable, be fully vested each in accordance with the terms of the 2017 Plan and such recipient has or will have complied with all other requirements of the 2017 Plan in connection with the allotment and issue of such Shares;</w:t>
      </w:r>
    </w:p>
    <w:p>
      <w:pPr>
        <w:spacing w:after="0" w:line="186" w:lineRule="exact"/>
        <w:rPr>
          <w:rFonts w:ascii="Arial" w:cs="Arial" w:eastAsia="Arial" w:hAnsi="Arial"/>
          <w:sz w:val="18"/>
          <w:szCs w:val="18"/>
          <w:color w:val="auto"/>
        </w:rPr>
      </w:pPr>
    </w:p>
    <w:p>
      <w:pPr>
        <w:jc w:val="both"/>
        <w:ind w:left="638" w:hanging="638"/>
        <w:spacing w:after="0" w:line="263"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all awards have been made under the terms of the 2017 Plan, that the terms of all awards have not materially deviated from the terms set out in the 2017 Plan and that any Shares will be allotted and issued in accordance with the terms set out in the 2017 Plan and in accordance with the Company’s articles of association;</w:t>
      </w:r>
    </w:p>
    <w:p>
      <w:pPr>
        <w:spacing w:after="0" w:line="183" w:lineRule="exact"/>
        <w:rPr>
          <w:rFonts w:ascii="Arial" w:cs="Arial" w:eastAsia="Arial" w:hAnsi="Arial"/>
          <w:sz w:val="18"/>
          <w:szCs w:val="18"/>
          <w:color w:val="auto"/>
        </w:rPr>
      </w:pPr>
    </w:p>
    <w:p>
      <w:pPr>
        <w:ind w:left="638" w:hanging="638"/>
        <w:spacing w:after="0"/>
        <w:tabs>
          <w:tab w:leader="none" w:pos="63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that the 2017 Plan has been validly adopted and no alteration has been or shall be made to the 2017 Plan since the date of adoption;</w:t>
      </w:r>
    </w:p>
    <w:p>
      <w:pPr>
        <w:spacing w:after="0" w:line="248" w:lineRule="exact"/>
        <w:rPr>
          <w:rFonts w:ascii="Arial" w:cs="Arial" w:eastAsia="Arial" w:hAnsi="Arial"/>
          <w:sz w:val="16"/>
          <w:szCs w:val="16"/>
          <w:color w:val="auto"/>
        </w:rPr>
      </w:pPr>
    </w:p>
    <w:p>
      <w:pPr>
        <w:jc w:val="both"/>
        <w:ind w:left="638" w:hanging="638"/>
        <w:spacing w:after="0" w:line="273" w:lineRule="auto"/>
        <w:tabs>
          <w:tab w:leader="none" w:pos="63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immediately prior to each Allotment Date, the directors of the Company and/or the Remuneration Committee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and/or the Remuneration Committee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177" w:lineRule="exact"/>
        <w:rPr>
          <w:rFonts w:ascii="Arial" w:cs="Arial" w:eastAsia="Arial" w:hAnsi="Arial"/>
          <w:sz w:val="17"/>
          <w:szCs w:val="17"/>
          <w:color w:val="auto"/>
        </w:rPr>
      </w:pPr>
    </w:p>
    <w:p>
      <w:pPr>
        <w:jc w:val="both"/>
        <w:ind w:left="638" w:hanging="638"/>
        <w:spacing w:after="0" w:line="263"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in relation to the allotment and issuance of Shares pursuant to the 2017 Plan or otherwise to an employee benefit trust, that such Shares will be allotted and issued in accordance with the terms of the 2017 Plan, the Company’s articles of association and the requirements of all applicable laws;</w:t>
      </w:r>
    </w:p>
    <w:p>
      <w:pPr>
        <w:spacing w:after="0" w:line="183"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no Shares shall be allotted or issued, or are or shall be committed to be allotted or issued, at a discount to their nominal value (whether in dollars or equivalent in any other currency);</w:t>
      </w:r>
    </w:p>
    <w:p>
      <w:pPr>
        <w:spacing w:after="0" w:line="170" w:lineRule="exact"/>
        <w:rPr>
          <w:rFonts w:ascii="Arial" w:cs="Arial" w:eastAsia="Arial" w:hAnsi="Arial"/>
          <w:sz w:val="18"/>
          <w:szCs w:val="18"/>
          <w:color w:val="auto"/>
        </w:rPr>
      </w:pPr>
    </w:p>
    <w:p>
      <w:pPr>
        <w:jc w:val="both"/>
        <w:ind w:left="638" w:hanging="638"/>
        <w:spacing w:after="0" w:line="257"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or shall be offered to the public in the United 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200" w:lineRule="exact"/>
        <w:rPr>
          <w:sz w:val="20"/>
          <w:szCs w:val="20"/>
          <w:color w:val="auto"/>
        </w:rPr>
      </w:pPr>
    </w:p>
    <w:p>
      <w:pPr>
        <w:spacing w:after="0" w:line="204"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8" w:right="339" w:bottom="1440" w:gutter="0" w:footer="0" w:header="0"/>
        </w:sectPr>
      </w:pPr>
    </w:p>
    <w:bookmarkStart w:id="12" w:name="page13"/>
    <w:bookmarkEnd w:id="12"/>
    <w:p>
      <w:pPr>
        <w:ind w:left="638" w:hanging="638"/>
        <w:spacing w:after="0" w:line="277" w:lineRule="auto"/>
        <w:tabs>
          <w:tab w:leader="none" w:pos="6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in issuing and allotting and granting rights to acquire Shares and administering the 2017 Plan, the Company is not carrying on a regulated activity for the purposes of section 19 of FSMA;</w:t>
      </w:r>
    </w:p>
    <w:p>
      <w:pPr>
        <w:spacing w:after="0" w:line="170" w:lineRule="exact"/>
        <w:rPr>
          <w:rFonts w:ascii="Arial" w:cs="Arial" w:eastAsia="Arial" w:hAnsi="Arial"/>
          <w:sz w:val="18"/>
          <w:szCs w:val="18"/>
          <w:color w:val="auto"/>
        </w:rPr>
      </w:pPr>
    </w:p>
    <w:p>
      <w:pPr>
        <w:jc w:val="both"/>
        <w:ind w:left="638" w:hanging="638"/>
        <w:spacing w:after="0" w:line="263" w:lineRule="auto"/>
        <w:tabs>
          <w:tab w:leader="none" w:pos="6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2017 Plan will be consistent with all such laws and regulations;</w:t>
      </w:r>
    </w:p>
    <w:p>
      <w:pPr>
        <w:spacing w:after="0" w:line="183" w:lineRule="exact"/>
        <w:rPr>
          <w:rFonts w:ascii="Arial" w:cs="Arial" w:eastAsia="Arial" w:hAnsi="Arial"/>
          <w:sz w:val="18"/>
          <w:szCs w:val="18"/>
          <w:color w:val="auto"/>
        </w:rPr>
      </w:pPr>
    </w:p>
    <w:p>
      <w:pPr>
        <w:jc w:val="both"/>
        <w:ind w:left="638" w:hanging="638"/>
        <w:spacing w:after="0" w:line="259" w:lineRule="auto"/>
        <w:tabs>
          <w:tab w:leader="none" w:pos="6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the 2017 Plan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2017 Plan and the allotment and issue of the Shares will promote the success of the Company for the benefit of its members as a whole; and</w:t>
      </w:r>
    </w:p>
    <w:p>
      <w:pPr>
        <w:spacing w:after="0" w:line="186" w:lineRule="exact"/>
        <w:rPr>
          <w:rFonts w:ascii="Arial" w:cs="Arial" w:eastAsia="Arial" w:hAnsi="Arial"/>
          <w:sz w:val="18"/>
          <w:szCs w:val="18"/>
          <w:color w:val="auto"/>
        </w:rPr>
      </w:pPr>
    </w:p>
    <w:p>
      <w:pPr>
        <w:jc w:val="both"/>
        <w:ind w:left="638" w:hanging="638"/>
        <w:spacing w:after="0" w:line="290" w:lineRule="auto"/>
        <w:tabs>
          <w:tab w:leader="none" w:pos="6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or administration order or appointment of a receiver, administrator, administrative receiver or similar officer has been made with respect to the Company), and such actions and steps will not have been taken as at any Allotment Date.</w:t>
      </w:r>
    </w:p>
    <w:p>
      <w:pPr>
        <w:spacing w:after="0" w:line="381"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8"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are subject to the following reservations:</w:t>
      </w:r>
    </w:p>
    <w:p>
      <w:pPr>
        <w:spacing w:after="0" w:line="225" w:lineRule="exact"/>
        <w:rPr>
          <w:sz w:val="20"/>
          <w:szCs w:val="20"/>
          <w:color w:val="auto"/>
        </w:rPr>
      </w:pPr>
    </w:p>
    <w:p>
      <w:pPr>
        <w:jc w:val="both"/>
        <w:ind w:left="1280" w:hanging="638"/>
        <w:spacing w:after="0" w:line="263"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We have not made enquiries of any District Registry or County Court;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920" w:right="20" w:hanging="643"/>
        <w:spacing w:after="0" w:line="277"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limitations arising from applicable laws relating to insolvency, bankruptcy, administration, reorganisation, liquidation, moratoria, schemes or analogous circumstances; and</w:t>
      </w:r>
    </w:p>
    <w:p>
      <w:pPr>
        <w:spacing w:after="0" w:line="170"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English court exercising its discretion under section 426 of the Insolvency Act 1986 (</w:t>
      </w:r>
      <w:r>
        <w:rPr>
          <w:rFonts w:ascii="Arial" w:cs="Arial" w:eastAsia="Arial" w:hAnsi="Arial"/>
          <w:sz w:val="18"/>
          <w:szCs w:val="18"/>
          <w:i w:val="1"/>
          <w:iCs w:val="1"/>
          <w:color w:val="auto"/>
        </w:rPr>
        <w:t>co-</w:t>
      </w:r>
      <w:r>
        <w:rPr>
          <w:rFonts w:ascii="Arial" w:cs="Arial" w:eastAsia="Arial" w:hAnsi="Arial"/>
          <w:sz w:val="18"/>
          <w:szCs w:val="18"/>
          <w:color w:val="auto"/>
        </w:rPr>
        <w:t xml:space="preserve">operation </w:t>
      </w:r>
      <w:r>
        <w:rPr>
          <w:rFonts w:ascii="Arial" w:cs="Arial" w:eastAsia="Arial" w:hAnsi="Arial"/>
          <w:sz w:val="18"/>
          <w:szCs w:val="18"/>
          <w:i w:val="1"/>
          <w:iCs w:val="1"/>
          <w:color w:val="auto"/>
        </w:rPr>
        <w:t>between courts exercising</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 in relation to insolvency</w:t>
      </w:r>
      <w:r>
        <w:rPr>
          <w:rFonts w:ascii="Arial" w:cs="Arial" w:eastAsia="Arial" w:hAnsi="Arial"/>
          <w:sz w:val="18"/>
          <w:szCs w:val="18"/>
          <w:color w:val="auto"/>
        </w:rPr>
        <w:t>) to assist the courts having the corresponding jurisdiction in any part of the United Kingdom</w:t>
      </w:r>
      <w:r>
        <w:rPr>
          <w:rFonts w:ascii="Arial" w:cs="Arial" w:eastAsia="Arial" w:hAnsi="Arial"/>
          <w:sz w:val="18"/>
          <w:szCs w:val="18"/>
          <w:i w:val="1"/>
          <w:iCs w:val="1"/>
          <w:color w:val="auto"/>
        </w:rPr>
        <w:t xml:space="preserve"> </w:t>
      </w:r>
      <w:r>
        <w:rPr>
          <w:rFonts w:ascii="Arial" w:cs="Arial" w:eastAsia="Arial" w:hAnsi="Arial"/>
          <w:sz w:val="18"/>
          <w:szCs w:val="18"/>
          <w:color w:val="auto"/>
        </w:rPr>
        <w:t>or any relevant country or territory;</w:t>
      </w:r>
    </w:p>
    <w:p>
      <w:pPr>
        <w:spacing w:after="0" w:line="183" w:lineRule="exact"/>
        <w:rPr>
          <w:rFonts w:ascii="Arial" w:cs="Arial" w:eastAsia="Arial" w:hAnsi="Arial"/>
          <w:sz w:val="18"/>
          <w:szCs w:val="18"/>
          <w:color w:val="auto"/>
        </w:rPr>
      </w:pPr>
    </w:p>
    <w:p>
      <w:pPr>
        <w:ind w:left="1280" w:hanging="63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225" w:lineRule="exact"/>
        <w:rPr>
          <w:rFonts w:ascii="Arial" w:cs="Arial" w:eastAsia="Arial" w:hAnsi="Arial"/>
          <w:sz w:val="18"/>
          <w:szCs w:val="18"/>
          <w:color w:val="auto"/>
        </w:rPr>
      </w:pPr>
    </w:p>
    <w:p>
      <w:pPr>
        <w:jc w:val="both"/>
        <w:ind w:left="1280" w:hanging="638"/>
        <w:spacing w:after="0" w:line="286"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express no opinion on the compliance of the 2017 Plan, or the compliance of any award made under the 2017 Plan, with the rules or regulations of the NASDAQ Stock Market LLC, the rules or regulations of, or the AIM Rules for Companies published by, the London Stock Exchange plc or the rules or regulations of any other securities exchange that are applicable to the Company;</w:t>
      </w:r>
    </w:p>
    <w:p>
      <w:pPr>
        <w:spacing w:after="0" w:line="165" w:lineRule="exact"/>
        <w:rPr>
          <w:rFonts w:ascii="Arial" w:cs="Arial" w:eastAsia="Arial" w:hAnsi="Arial"/>
          <w:sz w:val="17"/>
          <w:szCs w:val="17"/>
          <w:color w:val="auto"/>
        </w:rPr>
      </w:pPr>
    </w:p>
    <w:p>
      <w:pPr>
        <w:jc w:val="both"/>
        <w:ind w:left="1280" w:hanging="638"/>
        <w:spacing w:after="0" w:line="293"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express no opinion in relation to the legality, enforceability or validity of the 2017 Plan or any award agreement entered into pursuant to such 2017 Plan. In particular, but without prejudice to the generality of the foregoing, we have assumed that the Shares to be allotted under the 2017 Plan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164" w:lineRule="exact"/>
        <w:rPr>
          <w:rFonts w:ascii="Arial" w:cs="Arial" w:eastAsia="Arial" w:hAnsi="Arial"/>
          <w:sz w:val="16"/>
          <w:szCs w:val="16"/>
          <w:color w:val="auto"/>
        </w:rPr>
      </w:pPr>
    </w:p>
    <w:p>
      <w:pPr>
        <w:jc w:val="both"/>
        <w:ind w:left="1280" w:hanging="638"/>
        <w:spacing w:after="0" w:line="311"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any award under the 2017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148" w:lineRule="exact"/>
        <w:rPr>
          <w:rFonts w:ascii="Arial" w:cs="Arial" w:eastAsia="Arial" w:hAnsi="Arial"/>
          <w:sz w:val="16"/>
          <w:szCs w:val="16"/>
          <w:color w:val="auto"/>
        </w:rPr>
      </w:pPr>
    </w:p>
    <w:p>
      <w:pPr>
        <w:jc w:val="both"/>
        <w:ind w:left="1280" w:hanging="638"/>
        <w:spacing w:after="0" w:line="263"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Amended by Circular Resolution of the Board of Directors Dated March 12, 2020</w:t>
      </w:r>
    </w:p>
    <w:p>
      <w:pPr>
        <w:spacing w:after="0" w:line="26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304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6130" cy="30416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2017 INCENTIVE AWARD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18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Plan is administered by the Administrator. The Administrator has authority to determine which Service Providers receive Awards, grant Awards, set Award terms and conditions, and designate whether such Awards will cover Ordinary Shares or ADSs,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b w:val="1"/>
                <w:bCs w:val="1"/>
                <w:color w:val="auto"/>
              </w:rPr>
              <w:t>ARTICLE IV.</w:t>
            </w:r>
          </w:p>
        </w:tc>
      </w:tr>
      <w:tr>
        <w:trPr>
          <w:trHeight w:val="234"/>
        </w:trPr>
        <w:tc>
          <w:tcPr>
            <w:tcW w:w="580" w:type="dxa"/>
            <w:vAlign w:val="bottom"/>
          </w:tcPr>
          <w:p>
            <w:pPr>
              <w:spacing w:after="0"/>
              <w:rPr>
                <w:sz w:val="20"/>
                <w:szCs w:val="20"/>
                <w:color w:val="auto"/>
              </w:rPr>
            </w:pPr>
          </w:p>
        </w:tc>
        <w:tc>
          <w:tcPr>
            <w:tcW w:w="10000" w:type="dxa"/>
            <w:vAlign w:val="bottom"/>
          </w:tcPr>
          <w:p>
            <w:pPr>
              <w:jc w:val="center"/>
              <w:ind w:right="1130"/>
              <w:spacing w:after="0"/>
              <w:rPr>
                <w:sz w:val="20"/>
                <w:szCs w:val="20"/>
                <w:color w:val="auto"/>
              </w:rPr>
            </w:pPr>
            <w:r>
              <w:rPr>
                <w:rFonts w:ascii="Arial" w:cs="Arial" w:eastAsia="Arial" w:hAnsi="Arial"/>
                <w:sz w:val="18"/>
                <w:szCs w:val="18"/>
                <w:b w:val="1"/>
                <w:bCs w:val="1"/>
                <w:color w:val="auto"/>
                <w:w w:val="96"/>
              </w:rPr>
              <w:t>SHARES AVAILABLE FOR AWARDS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4.1</w:t>
            </w:r>
          </w:p>
        </w:tc>
        <w:tc>
          <w:tcPr>
            <w:tcW w:w="10000" w:type="dxa"/>
            <w:vAlign w:val="bottom"/>
          </w:tcPr>
          <w:p>
            <w:pPr>
              <w:ind w:left="360"/>
              <w:spacing w:after="0"/>
              <w:rPr>
                <w:sz w:val="20"/>
                <w:szCs w:val="20"/>
                <w:color w:val="auto"/>
              </w:rPr>
            </w:pPr>
            <w:r>
              <w:rPr>
                <w:rFonts w:ascii="Arial" w:cs="Arial" w:eastAsia="Arial" w:hAnsi="Arial"/>
                <w:sz w:val="18"/>
                <w:szCs w:val="18"/>
                <w:u w:val="single" w:color="auto"/>
                <w:color w:val="auto"/>
                <w:w w:val="94"/>
              </w:rPr>
              <w:t>Number of Shares</w:t>
            </w:r>
            <w:r>
              <w:rPr>
                <w:rFonts w:ascii="Arial" w:cs="Arial" w:eastAsia="Arial" w:hAnsi="Arial"/>
                <w:sz w:val="18"/>
                <w:szCs w:val="18"/>
                <w:color w:val="auto"/>
                <w:w w:val="94"/>
              </w:rPr>
              <w:t>. Subject to adjustment under Article VIII and the terms of this Article IV, Awards may be made under the Plan</w:t>
            </w:r>
          </w:p>
        </w:tc>
      </w:tr>
    </w:tbl>
    <w:p>
      <w:pPr>
        <w:jc w:val="both"/>
        <w:spacing w:after="0" w:line="255" w:lineRule="auto"/>
        <w:rPr>
          <w:sz w:val="20"/>
          <w:szCs w:val="20"/>
          <w:color w:val="auto"/>
        </w:rPr>
      </w:pPr>
      <w:r>
        <w:rPr>
          <w:rFonts w:ascii="Arial" w:cs="Arial" w:eastAsia="Arial" w:hAnsi="Arial"/>
          <w:sz w:val="18"/>
          <w:szCs w:val="18"/>
          <w:color w:val="auto"/>
        </w:rPr>
        <w:t>covering up to the Overall Share Limit. As of the Plan’s effective date under Section 10.3, the Company will cease granting awards under the Prior Plans; however, Prior Plan Awards will remain subject to the terms of the applicable Prior Plan. Shares issued under the Plan may consist of authorized but unissued Shares, Shares purchased on the open market, treasury Shares or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ind w:firstLine="648"/>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Share Recycling</w:t>
      </w:r>
      <w:r>
        <w:rPr>
          <w:rFonts w:ascii="Arial" w:cs="Arial" w:eastAsia="Arial" w:hAnsi="Arial"/>
          <w:sz w:val="17"/>
          <w:szCs w:val="17"/>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Option Limitations</w:t>
      </w:r>
      <w:r>
        <w:rPr>
          <w:rFonts w:ascii="Arial" w:cs="Arial" w:eastAsia="Arial" w:hAnsi="Arial"/>
          <w:sz w:val="18"/>
          <w:szCs w:val="18"/>
          <w:color w:val="auto"/>
        </w:rPr>
        <w:t>. Notwithstanding anything to the contrary herein, no more than 5,000,000 Shares may be issued pursuant to the exercise of Incentive Options.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an entity’s merger or consolidation with the Company or the Company’s acquisition of an entity’s property or stock, the Administrator may grant Awards in substitution for any options or other equity or equity-based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Options will count against the maximum number of Shares that may be issued pursuant to the exercise of Incentive Options under the Plan.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AND SHARE APPRECIATION RIGHTS</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or Share Appreciation Rights to Service Providers subject to the limitations in the Plan, including any limitations in the Plan that apply to Incentive Options. The Administrator will determine the number of Shares covered by each Option and Share Appreciation Right, the exercise price of each Option and Share Appreciation Right and the conditions and limitations applicable to the exercise of each Option and Share Appreciation Right. A Share Appreciation Right will entitle the Participant (or other person entitled to exercise the Share Appreciation Right) to receive from the Company upon exercise of the exercisable portion of the Share Appreciation Right an amount determined by multiplying the excess, if any, of the Fair Market Value of one Share on the date of exercise over the exercise price per Share of the Share Appreciation Right by the number of Shares with respect to which the Share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will establish each Option’s and Share Appreciation Right’s exercise price and specify the exercise price in the Award Agreement. The exercise price will not be less than 100% of the Fair Market Value on the grant date of the Option or Share Appreciation Right.</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Duration</w:t>
      </w:r>
      <w:r>
        <w:rPr>
          <w:rFonts w:ascii="Arial" w:cs="Arial" w:eastAsia="Arial" w:hAnsi="Arial"/>
          <w:sz w:val="16"/>
          <w:szCs w:val="16"/>
          <w:color w:val="auto"/>
        </w:rPr>
        <w:t>. Each Option or Share Appreciation Right will be exercisable at such times and as specified in the Award Agreement, provided that the term of an Option or Share Appreciation Right will not exceed ten years. Notwithstanding the foregoing and unless determined otherwise by the Company, in the event that on the last business day of the term of an Option or Share Appreciation Right (other than an Incentive Option) (i) the exercise of the Option or Share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Share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Share Appreciation Right. Notwithstanding the foregoing, if the Participant, prior to the end of the term of an Option or Share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Share Appreciation Right issued to the Participant shall terminate immediately upon such violation, unless the Company otherwise determines. In addition, if, prior to the end of the term of an Option or Share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Share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Share Appreciation Right issued to the Participant will terminate immediately upon the effective date of such Termination of Service).</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Share Appreciation Rights may be exercised by delivering to the Company a written notice of exercise, in a form the Administrator approves (which may be electronic), signed by the person authorized to exercise the Option or Share Appreciation Right, together with, as applicable, payment in full (i) as specified in Section 5.5 for the number of Shares for which the Award is exercised and (ii) as specified in Section 9.5 for any applicable taxes. Unless the Administrator otherwise determines, an Option or Share Appreciation Right may not be exercised for a fraction of a Share.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Section 10.8, any Company insider trading policy (including blackout periods) and Applicable Laws, the exercise price of an Option must be paid by:</w:t>
      </w:r>
    </w:p>
    <w:p>
      <w:pPr>
        <w:spacing w:after="0" w:line="170" w:lineRule="exact"/>
        <w:rPr>
          <w:sz w:val="20"/>
          <w:szCs w:val="20"/>
          <w:color w:val="auto"/>
        </w:rPr>
      </w:pPr>
    </w:p>
    <w:p>
      <w:pPr>
        <w:ind w:firstLine="1304"/>
        <w:spacing w:after="0" w:line="277" w:lineRule="auto"/>
        <w:tabs>
          <w:tab w:leader="none" w:pos="23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304"/>
        <w:spacing w:after="0" w:line="275" w:lineRule="auto"/>
        <w:tabs>
          <w:tab w:leader="none" w:pos="20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76" w:lineRule="exact"/>
        <w:rPr>
          <w:rFonts w:ascii="Arial" w:cs="Arial" w:eastAsia="Arial" w:hAnsi="Arial"/>
          <w:sz w:val="17"/>
          <w:szCs w:val="17"/>
          <w:color w:val="auto"/>
        </w:rPr>
      </w:pPr>
    </w:p>
    <w:p>
      <w:pPr>
        <w:ind w:firstLine="1304"/>
        <w:spacing w:after="0" w:line="277" w:lineRule="auto"/>
        <w:tabs>
          <w:tab w:leader="none" w:pos="2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w:t>
      </w:r>
    </w:p>
    <w:p>
      <w:pPr>
        <w:spacing w:after="0" w:line="170" w:lineRule="exact"/>
        <w:rPr>
          <w:rFonts w:ascii="Arial" w:cs="Arial" w:eastAsia="Arial" w:hAnsi="Arial"/>
          <w:sz w:val="18"/>
          <w:szCs w:val="18"/>
          <w:color w:val="auto"/>
        </w:rPr>
      </w:pPr>
    </w:p>
    <w:p>
      <w:pPr>
        <w:ind w:firstLine="1304"/>
        <w:spacing w:after="0" w:line="277" w:lineRule="auto"/>
        <w:tabs>
          <w:tab w:leader="none" w:pos="20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firstLine="1304"/>
        <w:spacing w:after="0" w:line="277" w:lineRule="auto"/>
        <w:tabs>
          <w:tab w:leader="none" w:pos="22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property that the Administrator determines is good and valuable consideration; or</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the extent permitted by the Company, any combination of the above payment forms approved by the Administrator.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 RESTRICTED SHARE UNITS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Restricted Shares, or the right to purchase Restricted Shares,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Share Units, which may be subject to vesting and forfeiture conditions during the applicable restriction period or periods, as set forth in an Award Agreement. The Administrator will determine and set forth in the Award Agreement the terms and conditions for each Restricted Share and Restricted Share Unit Award, subject to the conditions and limitations contained in the Plan.</w:t>
      </w:r>
    </w:p>
    <w:p>
      <w:pPr>
        <w:spacing w:after="0" w:line="19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Restricted Shares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7" w:lineRule="auto"/>
        <w:tabs>
          <w:tab w:leader="none" w:pos="223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Restricted Shares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Restricted Shares of property other than an ordinary cash dividend, the Shares or other property will be subject to the same restrictions on transferability and forfeitability as the Restricted Shares with respect to which they were paid.</w:t>
      </w:r>
    </w:p>
    <w:p>
      <w:pPr>
        <w:spacing w:after="0" w:line="187" w:lineRule="exact"/>
        <w:rPr>
          <w:rFonts w:ascii="Arial" w:cs="Arial" w:eastAsia="Arial" w:hAnsi="Arial"/>
          <w:sz w:val="18"/>
          <w:szCs w:val="18"/>
          <w:color w:val="auto"/>
        </w:rPr>
      </w:pPr>
    </w:p>
    <w:p>
      <w:pPr>
        <w:ind w:firstLine="1304"/>
        <w:spacing w:after="0" w:line="277" w:lineRule="auto"/>
        <w:tabs>
          <w:tab w:leader="none" w:pos="234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The Company may require that the Participant deposit in escrow with the Company (or its designee) any certificates issued in respect of Restricted Shares, together with a stock transfer form endorsed in blank.</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Restricted Share Units.</w:t>
      </w:r>
    </w:p>
    <w:p>
      <w:pPr>
        <w:spacing w:after="0" w:line="225" w:lineRule="exact"/>
        <w:rPr>
          <w:sz w:val="20"/>
          <w:szCs w:val="20"/>
          <w:color w:val="auto"/>
        </w:rPr>
      </w:pPr>
    </w:p>
    <w:p>
      <w:pPr>
        <w:ind w:firstLine="1304"/>
        <w:spacing w:after="0" w:line="277" w:lineRule="auto"/>
        <w:tabs>
          <w:tab w:leader="none" w:pos="207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Administrator may provide that settlement of Restricted Share Units will occur upon or as soon as reasonably practicable after the Restricted Share Units vest or will instead be deferred, on a mandatory basis or at the Participant’s election.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20" w:firstLine="1304"/>
        <w:spacing w:after="0" w:line="277" w:lineRule="auto"/>
        <w:tabs>
          <w:tab w:leader="none" w:pos="210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A Participant will have no rights of a shareholder with respect to Shares subject to any Restricted Share Unit unless and until the Shares are delivered in settlement of the Restricted Share Unit.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06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the Administrator provides, a grant of Restricted Share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Share Units with respect to which the Dividend Equivalents are granted and subject to other terms and conditions as set forth in the Award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SHARE OR CASH BASED AWARDS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Share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Share or Cash Based Awards will also be available as a payment form in the settlement of other Awards, as standalone payments and as payment in lieu of compensation to which a Participant is otherwise entitled. Other Share or Cash Based Awards may be paid in Shares, cash or other property, as the Administrator determines. Subject to the provisions of the Plan, the Administrator will determine the terms and conditions of each Other Share or Cash Based Award, including any purchase price, performance goal (which may be based on the Performance Criteria), transfer restrictions, and vesting conditions, which will be set forth in the applicable Award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FOR CHANGES IN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CERTAIN OTHER EVENTS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Equity Restructuring</w:t>
      </w:r>
      <w:r>
        <w:rPr>
          <w:rFonts w:ascii="Arial" w:cs="Arial" w:eastAsia="Arial" w:hAnsi="Arial"/>
          <w:sz w:val="17"/>
          <w:szCs w:val="17"/>
          <w:color w:val="auto"/>
        </w:rPr>
        <w:t>(a).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Transactions</w:t>
      </w:r>
      <w:r>
        <w:rPr>
          <w:rFonts w:ascii="Arial" w:cs="Arial" w:eastAsia="Arial" w:hAnsi="Arial"/>
          <w:sz w:val="17"/>
          <w:szCs w:val="17"/>
          <w:color w:val="auto"/>
        </w:rPr>
        <w:t>. In the event of any Equity Restructuring, dividend or other distribution (whether in the form of cash, Shares, other securities, or other property), capitalization, share issue, offer, subdivision, reorganization, merger, consolidation, combination, amalgamation, repurchase, recapitalization, liquidation, dissolution, or sale, transfer, exchange or other disposition of all or substantially all of the assets of the Company, or sale or exchange of Shares or other securities of the Company, Change in Control, issuance of warrants or other rights to purchase Shares or other securities of the Company, other similar corporate transaction or event, other unusual or nonrecurring transaction or event affecting the Company or its financial statements or any change in any Applicable Laws or accounting principles (any “</w:t>
      </w:r>
      <w:r>
        <w:rPr>
          <w:rFonts w:ascii="Arial" w:cs="Arial" w:eastAsia="Arial" w:hAnsi="Arial"/>
          <w:sz w:val="17"/>
          <w:szCs w:val="17"/>
          <w:b w:val="1"/>
          <w:bCs w:val="1"/>
          <w:i w:val="1"/>
          <w:iCs w:val="1"/>
          <w:color w:val="auto"/>
        </w:rPr>
        <w:t>Corporate Event</w:t>
      </w:r>
      <w:r>
        <w:rPr>
          <w:rFonts w:ascii="Arial" w:cs="Arial" w:eastAsia="Arial" w:hAnsi="Arial"/>
          <w:sz w:val="17"/>
          <w:szCs w:val="17"/>
          <w:color w:val="auto"/>
        </w:rPr>
        <w:t>”),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304"/>
        <w:spacing w:after="0" w:line="257" w:lineRule="auto"/>
        <w:tabs>
          <w:tab w:leader="none" w:pos="21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7" w:lineRule="exact"/>
        <w:rPr>
          <w:rFonts w:ascii="Arial" w:cs="Arial" w:eastAsia="Arial" w:hAnsi="Arial"/>
          <w:sz w:val="18"/>
          <w:szCs w:val="18"/>
          <w:color w:val="auto"/>
        </w:rPr>
      </w:pPr>
    </w:p>
    <w:p>
      <w:pPr>
        <w:ind w:firstLine="1304"/>
        <w:spacing w:after="0" w:line="277" w:lineRule="auto"/>
        <w:tabs>
          <w:tab w:leader="none" w:pos="24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20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awards covering the equity securities of the successor or survivor corporation, or a parent or subsidiary thereof, with appropriate adjustments as to the number and kind of shares and/or applicable exercise or purchase price, in all cases, as determined by the Administrator;</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20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86" w:lineRule="exact"/>
        <w:rPr>
          <w:rFonts w:ascii="Arial" w:cs="Arial" w:eastAsia="Arial" w:hAnsi="Arial"/>
          <w:sz w:val="18"/>
          <w:szCs w:val="18"/>
          <w:color w:val="auto"/>
        </w:rPr>
      </w:pPr>
    </w:p>
    <w:p>
      <w:pPr>
        <w:ind w:left="2040" w:hanging="736"/>
        <w:spacing w:after="0"/>
        <w:tabs>
          <w:tab w:leader="none" w:pos="2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provide that the Award will terminate and cannot vest, be exercised or become payable after the applicable transaction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Corporate Event or other similar transaction, for administrative convenience, the Administrator may refuse to permit the exercise of any Award for up to sixty days before or after such transaction.</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General</w:t>
      </w:r>
      <w:r>
        <w:rPr>
          <w:rFonts w:ascii="Arial" w:cs="Arial" w:eastAsia="Arial" w:hAnsi="Arial"/>
          <w:sz w:val="16"/>
          <w:szCs w:val="16"/>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issue, rights issue, offer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w:t>
      </w:r>
    </w:p>
    <w:p>
      <w:pPr>
        <w:spacing w:after="0" w:line="2" w:lineRule="exact"/>
        <w:rPr>
          <w:sz w:val="20"/>
          <w:szCs w:val="20"/>
          <w:color w:val="auto"/>
        </w:rPr>
      </w:pPr>
    </w:p>
    <w:p>
      <w:pPr>
        <w:ind w:right="20" w:firstLine="8"/>
        <w:spacing w:after="0" w:line="290" w:lineRule="auto"/>
        <w:tabs>
          <w:tab w:leader="none" w:pos="2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Corporate Event or (iii)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the Administrator may determine or provide in an Award Agreement or otherwise for Awards other than Incentive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which may be written or electronic, as the Administrator determines. Each Award may contain terms and conditions in addition to those set forth in the Plan.</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Termination of Status</w:t>
      </w:r>
      <w:r>
        <w:rPr>
          <w:rFonts w:ascii="Arial" w:cs="Arial" w:eastAsia="Arial" w:hAnsi="Arial"/>
          <w:sz w:val="17"/>
          <w:szCs w:val="17"/>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Withholding</w:t>
      </w:r>
      <w:r>
        <w:rPr>
          <w:rFonts w:ascii="Arial" w:cs="Arial" w:eastAsia="Arial" w:hAnsi="Arial"/>
          <w:sz w:val="17"/>
          <w:szCs w:val="17"/>
          <w:color w:val="auto"/>
        </w:rPr>
        <w:t>. Each Participant must pay the Company, or make provision satisfactory to the Administrator for payment of, any taxes (which includes any social security contributions or the like) required by law to be withheld or paid by the Company or by an Subsidiary that is the employing entity of the Participant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Amendment of Award; Repricing</w:t>
      </w:r>
      <w:r>
        <w:rPr>
          <w:rFonts w:ascii="Arial" w:cs="Arial" w:eastAsia="Arial" w:hAnsi="Arial"/>
          <w:sz w:val="17"/>
          <w:szCs w:val="17"/>
          <w:color w:val="auto"/>
        </w:rPr>
        <w:t>. The Administrator may amend, modify or terminate any outstanding Award, including by substituting another Award of the same or a different type, changing the exercise or settlement date, and converting an Incentive Option to a Non-Qualified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 without the approval of the shareholders of the Company, reduce the exercise price per share of outstanding Options or Share Appreciation Rights or cancel outstanding Options or Share Appreciation Rights in exchange for cash, other Awards or Options or Share Appreciation Rights with an exercise price per share that is less than the exercise price per share of the original Options or Share Appreciation Rights.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Conditions on Delivery of Shares</w:t>
      </w:r>
      <w:r>
        <w:rPr>
          <w:rFonts w:ascii="Arial" w:cs="Arial" w:eastAsia="Arial" w:hAnsi="Arial"/>
          <w:sz w:val="17"/>
          <w:szCs w:val="17"/>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Additional Terms of Incentive Options</w:t>
      </w:r>
      <w:r>
        <w:rPr>
          <w:rFonts w:ascii="Arial" w:cs="Arial" w:eastAsia="Arial" w:hAnsi="Arial"/>
          <w:sz w:val="16"/>
          <w:szCs w:val="16"/>
          <w:color w:val="auto"/>
        </w:rPr>
        <w:t>. The Administrator may grant Incentive Options only to employees of the Company, any of its present or future parent or subsidiary corporations, as defined in Sections 424(e) or (f) of the Code, respectively, and any other entities the employees of which are eligible to receive Incentive Options under the Code. If an Incentive Option is granted to a Greater Than 10% Shareholder, the exercise price will not be less than 110% of the Fair Market Value on the Option’s grant date, and the term of the Option will not exceed five years. All Incentive Options will be subject to and construed consistently with Section 422 of the Code. By accepting an Incentive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Option fails or ceases to qualify as an “incentive stock option” under Section 422 of the Code. Any Incentive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Option.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Shareholder; Certificates</w:t>
      </w:r>
      <w:r>
        <w:rPr>
          <w:rFonts w:ascii="Arial" w:cs="Arial" w:eastAsia="Arial" w:hAnsi="Arial"/>
          <w:sz w:val="18"/>
          <w:szCs w:val="18"/>
          <w:color w:val="auto"/>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certificates issued under the Plan that the Administrator deems necessary or appropriate to comply with Applicable Laws.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became effective on April 26, 2017 and, unless earlier terminated by the Board, will remain in effect until April 29, 2030, but Awards previously granted may extend beyond that date in accordance with the Plan. If the Plan is not approved by the Company’s shareholders, the Plan will not become effective, no Awards will be granted under the Plan and the Prior Plans will continue in full force and effect in accordance with their terms.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shareholder approval of any Plan amendment to the extent necessary to comply with Applicable Laws.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 The following provisions only apply to Participants subject to tax in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304"/>
        <w:spacing w:after="0" w:line="269" w:lineRule="auto"/>
        <w:tabs>
          <w:tab w:leader="none" w:pos="213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5" w:lineRule="exact"/>
        <w:rPr>
          <w:rFonts w:ascii="Arial" w:cs="Arial" w:eastAsia="Arial" w:hAnsi="Arial"/>
          <w:sz w:val="17"/>
          <w:szCs w:val="17"/>
          <w:color w:val="auto"/>
        </w:rPr>
      </w:pPr>
    </w:p>
    <w:p>
      <w:pPr>
        <w:jc w:val="both"/>
        <w:ind w:firstLine="1304"/>
        <w:spacing w:after="0" w:line="275" w:lineRule="auto"/>
        <w:tabs>
          <w:tab w:leader="none" w:pos="209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Separation from Service</w:t>
      </w:r>
      <w:r>
        <w:rPr>
          <w:rFonts w:ascii="Arial" w:cs="Arial" w:eastAsia="Arial" w:hAnsi="Arial"/>
          <w:sz w:val="17"/>
          <w:szCs w:val="17"/>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76" w:lineRule="exact"/>
        <w:rPr>
          <w:rFonts w:ascii="Arial" w:cs="Arial" w:eastAsia="Arial" w:hAnsi="Arial"/>
          <w:sz w:val="17"/>
          <w:szCs w:val="17"/>
          <w:color w:val="auto"/>
        </w:rPr>
      </w:pPr>
    </w:p>
    <w:p>
      <w:pPr>
        <w:jc w:val="both"/>
        <w:ind w:firstLine="1304"/>
        <w:spacing w:after="0" w:line="291" w:lineRule="auto"/>
        <w:tabs>
          <w:tab w:leader="none" w:pos="235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Employees</w:t>
      </w:r>
      <w:r>
        <w:rPr>
          <w:rFonts w:ascii="Arial" w:cs="Arial" w:eastAsia="Arial" w:hAnsi="Arial"/>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85"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United Kingdom, disregarding any state’s choice-of-law principles requiring the application of a jurisdiction’s laws other than the United Kingdom.</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Claw-back Provisions</w:t>
      </w:r>
      <w:r>
        <w:rPr>
          <w:rFonts w:ascii="Arial" w:cs="Arial" w:eastAsia="Arial" w:hAnsi="Arial"/>
          <w:sz w:val="17"/>
          <w:szCs w:val="17"/>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Broker-Assisted Sales</w:t>
      </w:r>
      <w:r>
        <w:rPr>
          <w:rFonts w:ascii="Arial" w:cs="Arial" w:eastAsia="Arial" w:hAnsi="Arial"/>
          <w:sz w:val="17"/>
          <w:szCs w:val="17"/>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ADSs</w:t>
      </w:r>
      <w:r>
        <w:rPr>
          <w:rFonts w:ascii="Arial" w:cs="Arial" w:eastAsia="Arial" w:hAnsi="Arial"/>
          <w:sz w:val="18"/>
          <w:szCs w:val="18"/>
          <w:color w:val="auto"/>
        </w:rPr>
        <w:t>” means American Depositary Shares, representing Ordinary Shares on deposit with a U.S. banking institution selected by the Company and which are registered pursuant to a Form F-6.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shall mean any applicable law, including without limitation: (a) the requirements relating to the administration of equity incentive plans under U.S. federal and state securities, tax and other applicable laws, rules and regulations, the applicable rules of any stock exchange or quotation system on which the Shares are listed or quoted and the applicable laws and rules of any foreign country or other jurisdiction where Awards are granted; and (b) corporate, securities, tax or other laws, statutes, rules, requirements or regulations, whether U.S. federal, state, local or foreign, applicable in the United Kingdom, United States or any other relevant jurisdiction.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Share Appreciation Rights, Restricted Shares, Restricted Share Units or Other Share or Cash Based Awards.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spacing w:after="0"/>
        <w:tabs>
          <w:tab w:leader="none" w:pos="14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(i) if a Participant is a party to a written employment or consulting agreement with the Company or any of its Subsidiaries or an Award Agreement in which the term “cause” is defined (a “</w:t>
      </w:r>
      <w:r>
        <w:rPr>
          <w:rFonts w:ascii="Arial" w:cs="Arial" w:eastAsia="Arial" w:hAnsi="Arial"/>
          <w:sz w:val="16"/>
          <w:szCs w:val="16"/>
          <w:b w:val="1"/>
          <w:bCs w:val="1"/>
          <w:i w:val="1"/>
          <w:iCs w:val="1"/>
          <w:color w:val="auto"/>
        </w:rPr>
        <w:t>Relevant Agreement</w:t>
      </w:r>
      <w:r>
        <w:rPr>
          <w:rFonts w:ascii="Arial" w:cs="Arial" w:eastAsia="Arial" w:hAnsi="Arial"/>
          <w:sz w:val="16"/>
          <w:szCs w:val="16"/>
          <w:color w:val="auto"/>
        </w:rPr>
        <w:t>”), “Cause” as defined in the Relevant Agreement, and</w:t>
      </w:r>
    </w:p>
    <w:p>
      <w:pPr>
        <w:jc w:val="both"/>
        <w:ind w:firstLine="8"/>
        <w:spacing w:after="0" w:line="268" w:lineRule="auto"/>
        <w:tabs>
          <w:tab w:leader="none" w:pos="26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and includes each of the following:</w:t>
      </w:r>
    </w:p>
    <w:p>
      <w:pPr>
        <w:spacing w:after="0" w:line="225" w:lineRule="exact"/>
        <w:rPr>
          <w:sz w:val="20"/>
          <w:szCs w:val="20"/>
          <w:color w:val="auto"/>
        </w:rPr>
      </w:pPr>
    </w:p>
    <w:p>
      <w:pPr>
        <w:ind w:left="2800" w:hanging="848"/>
        <w:spacing w:after="0"/>
        <w:tabs>
          <w:tab w:leader="none" w:pos="2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Sale; or</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Takeover.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 and the regulations issued thereunder.</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11.10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Verona Pharma plc, registered in England and Wales with company number 05375156, or any successor.</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11.12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tabs>
          <w:tab w:leader="none" w:pos="13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shall have the meaning given in section 995 (2) of the UK Income Tax Act 2007, unless otherwise specified.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2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11.19 “</w:t>
      </w:r>
      <w:r>
        <w:rPr>
          <w:rFonts w:ascii="Arial" w:cs="Arial" w:eastAsia="Arial" w:hAnsi="Arial"/>
          <w:sz w:val="16"/>
          <w:szCs w:val="16"/>
          <w:b w:val="1"/>
          <w:bCs w:val="1"/>
          <w:i w:val="1"/>
          <w:iCs w:val="1"/>
          <w:color w:val="auto"/>
        </w:rPr>
        <w:t>Equity Restructuring</w:t>
      </w:r>
      <w:r>
        <w:rPr>
          <w:rFonts w:ascii="Arial" w:cs="Arial" w:eastAsia="Arial" w:hAnsi="Arial"/>
          <w:sz w:val="16"/>
          <w:szCs w:val="16"/>
          <w:color w:val="auto"/>
        </w:rPr>
        <w:t>” means a nonreciprocal transaction between the Company and its shareholders, such as a share dividend, share split, spin-off, rights offering or recapitalization through a large, nonrecurring cash dividend, that affects the number or kind of Shares (or other Company securities) or the price of Shares (or other Company securities) and causes a change in the per share value of the Shares underlying outstanding Awards.</w:t>
      </w:r>
    </w:p>
    <w:p>
      <w:pPr>
        <w:spacing w:after="0" w:line="14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11.21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Shares determined as follows: (i) if the Shares are listed on one or more established stock exchanges, its Fair Market Value will be the closing sales price for Shares as quoted on any exchange (as determined by the Administrator) for the last day preceding such date during which a sale occurred, as reported in The Wall Street Journal or another source the Administrator deems reliable; (ii) if the Shares are not traded on a stock exchange but is quoted on a national market or other quotation system, the closing sales price on the last date preceding such date during which a sale occurred, as reported in The Wall Street Journal or another source the Administrator deems reliable; or</w:t>
      </w:r>
    </w:p>
    <w:p>
      <w:pPr>
        <w:spacing w:after="0" w:line="2" w:lineRule="exact"/>
        <w:rPr>
          <w:sz w:val="20"/>
          <w:szCs w:val="20"/>
          <w:color w:val="auto"/>
        </w:rPr>
      </w:pPr>
    </w:p>
    <w:p>
      <w:pPr>
        <w:jc w:val="both"/>
        <w:ind w:firstLine="8"/>
        <w:spacing w:after="0" w:line="277" w:lineRule="auto"/>
        <w:tabs>
          <w:tab w:leader="none" w:pos="322"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without an established market for the Shares, the Administrator will determine the Fair Market Value in its discretion. Notwithstanding the foregoing, with respect to any Award granted on the date of the effectiveness of the Company’s first registration statement filed under the Securities Act, the Fair Market Value shall mean the price of a Share as set forth in the Company’s final prospectus relating to such registration statement.</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i w:val="1"/>
          <w:iCs w:val="1"/>
          <w:color w:val="auto"/>
        </w:rPr>
        <w:t>Greater Than 10% Shareholder</w:t>
      </w:r>
      <w:r>
        <w:rPr>
          <w:rFonts w:ascii="Arial" w:cs="Arial" w:eastAsia="Arial" w:hAnsi="Arial"/>
          <w:sz w:val="18"/>
          <w:szCs w:val="18"/>
          <w:color w:val="auto"/>
        </w:rPr>
        <w:t>” means an individual then owning (within the meaning of Section 424(d) of the Code) more than 10% of the total combined voting power of all classes of equity securities of the Company or its parent or subsidiary corporation, as defined in Section 424(e) and (f) of the Code, respectively.</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Option</w:t>
      </w:r>
      <w:r>
        <w:rPr>
          <w:rFonts w:ascii="Arial" w:cs="Arial" w:eastAsia="Arial" w:hAnsi="Arial"/>
          <w:sz w:val="16"/>
          <w:szCs w:val="16"/>
          <w:color w:val="auto"/>
        </w:rPr>
        <w:t>” means an Option intended to qualify as an “incentive stock option” as defined in Section 422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NASDAQ Listing Date</w:t>
      </w:r>
      <w:r>
        <w:rPr>
          <w:rFonts w:ascii="Arial" w:cs="Arial" w:eastAsia="Arial" w:hAnsi="Arial"/>
          <w:sz w:val="18"/>
          <w:szCs w:val="18"/>
          <w:color w:val="auto"/>
        </w:rPr>
        <w:t>” means the first date upon which the Shares are listed (or approved for listing) upon notice of issuance on the NASDAQ Global Market.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660"/>
        <w:spacing w:after="0"/>
        <w:tabs>
          <w:tab w:leader="none" w:pos="140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Non-Qualified Option</w:t>
      </w:r>
      <w:r>
        <w:rPr>
          <w:rFonts w:ascii="Arial" w:cs="Arial" w:eastAsia="Arial" w:hAnsi="Arial"/>
          <w:sz w:val="16"/>
          <w:szCs w:val="16"/>
          <w:color w:val="auto"/>
        </w:rPr>
        <w:t>” means an Option not intended or not qualifying as an Incentive Option.</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option to purchase Shares.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Ordinary Share</w:t>
      </w:r>
      <w:r>
        <w:rPr>
          <w:rFonts w:ascii="Arial" w:cs="Arial" w:eastAsia="Arial" w:hAnsi="Arial"/>
          <w:sz w:val="16"/>
          <w:szCs w:val="16"/>
          <w:color w:val="auto"/>
        </w:rPr>
        <w:t>” means an ordinary share of £0.05 each in the capital of the Company.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i w:val="1"/>
          <w:iCs w:val="1"/>
          <w:color w:val="auto"/>
        </w:rPr>
        <w:t>Other Share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Overall Share Limit</w:t>
      </w:r>
      <w:r>
        <w:rPr>
          <w:rFonts w:ascii="Arial" w:cs="Arial" w:eastAsia="Arial" w:hAnsi="Arial"/>
          <w:sz w:val="16"/>
          <w:szCs w:val="16"/>
          <w:color w:val="auto"/>
        </w:rPr>
        <w:t>” means the sum of:</w:t>
      </w:r>
    </w:p>
    <w:p>
      <w:pPr>
        <w:spacing w:after="0" w:line="225" w:lineRule="exact"/>
        <w:rPr>
          <w:sz w:val="20"/>
          <w:szCs w:val="20"/>
          <w:color w:val="auto"/>
        </w:rPr>
      </w:pPr>
    </w:p>
    <w:p>
      <w:pPr>
        <w:jc w:val="both"/>
        <w:ind w:left="660" w:hanging="4"/>
        <w:spacing w:after="0" w:line="259" w:lineRule="auto"/>
        <w:tabs>
          <w:tab w:leader="none" w:pos="8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number of Shares equal to the sum of (1) 26,331,660 Shares and (2) an annual increase on the first day of each calendar year beginning January 1, 2021 and ending on and including January 1, 2030 or, if earlier, the date of the closing of a Qualified Financing (as defined below), equal to the lesser of (A) 4% of the aggregate number of Shares in issue on the final day of the immediately preceding calendar year and (B) such smaller number of Shares as is determined by the Board; plus</w:t>
      </w:r>
    </w:p>
    <w:p>
      <w:pPr>
        <w:spacing w:after="0" w:line="186" w:lineRule="exact"/>
        <w:rPr>
          <w:rFonts w:ascii="Arial" w:cs="Arial" w:eastAsia="Arial" w:hAnsi="Arial"/>
          <w:sz w:val="18"/>
          <w:szCs w:val="18"/>
          <w:color w:val="auto"/>
        </w:rPr>
      </w:pPr>
    </w:p>
    <w:p>
      <w:pPr>
        <w:jc w:val="both"/>
        <w:ind w:left="660" w:hanging="4"/>
        <w:spacing w:after="0" w:line="279" w:lineRule="auto"/>
        <w:tabs>
          <w:tab w:leader="none" w:pos="938"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event of the closing of an equity financing by the Company prior to June 1, 2021 that results in the Overall Share Limit immediately thereafter representing less than 20% of the total number of Shares in issue immediately after the closing of such equity financing (a “</w:t>
      </w:r>
      <w:r>
        <w:rPr>
          <w:rFonts w:ascii="Arial" w:cs="Arial" w:eastAsia="Arial" w:hAnsi="Arial"/>
          <w:sz w:val="17"/>
          <w:szCs w:val="17"/>
          <w:b w:val="1"/>
          <w:bCs w:val="1"/>
          <w:color w:val="auto"/>
        </w:rPr>
        <w:t>Qualified</w:t>
      </w:r>
      <w:r>
        <w:rPr>
          <w:rFonts w:ascii="Arial" w:cs="Arial" w:eastAsia="Arial" w:hAnsi="Arial"/>
          <w:sz w:val="17"/>
          <w:szCs w:val="17"/>
          <w:color w:val="auto"/>
        </w:rPr>
        <w:t xml:space="preserve"> </w:t>
      </w:r>
      <w:r>
        <w:rPr>
          <w:rFonts w:ascii="Arial" w:cs="Arial" w:eastAsia="Arial" w:hAnsi="Arial"/>
          <w:sz w:val="17"/>
          <w:szCs w:val="17"/>
          <w:b w:val="1"/>
          <w:bCs w:val="1"/>
          <w:color w:val="auto"/>
        </w:rPr>
        <w:t>Financing</w:t>
      </w:r>
      <w:r>
        <w:rPr>
          <w:rFonts w:ascii="Arial" w:cs="Arial" w:eastAsia="Arial" w:hAnsi="Arial"/>
          <w:sz w:val="17"/>
          <w:szCs w:val="17"/>
          <w:color w:val="auto"/>
        </w:rPr>
        <w:t>”), a number of Shares equal to the number of additional Shares that would result in the Overall Share Limit representing 20%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total number of Shares in issue as of immediately after the closing of such Qualified Financing; plus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9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of the closing of an equity financing by the Company prior to June 1, 2021, an annual increase on the first day of each calendar year beginning January 1 of the calendar year following the calendar year in which such Qualified Financing occurs and ending on and including January 1, 2030, equal to the lesser of (A) 1.5% of the aggregate number of Shares in issue on the final day of the immediately preceding calendar year and (B) such lesser number of Shares as is determined by the Board; plus</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Shares which are subject to Prior Plan Awards which become available for issuance under the Plan pursuant to Article IV.</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Service Provider who has been granted an Award.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48"/>
        <w:spacing w:after="0" w:line="284" w:lineRule="auto"/>
        <w:rPr>
          <w:sz w:val="20"/>
          <w:szCs w:val="20"/>
          <w:color w:val="auto"/>
        </w:rPr>
      </w:pPr>
      <w:r>
        <w:rPr>
          <w:rFonts w:ascii="Arial" w:cs="Arial" w:eastAsia="Arial" w:hAnsi="Arial"/>
          <w:sz w:val="16"/>
          <w:szCs w:val="16"/>
          <w:color w:val="auto"/>
        </w:rPr>
        <w:t>11.31 “</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Shares, (m) any business interruption event (n) the cumulative effects of tax or accounting changes in accordance with U.S. generally accepted accounting principles, or (o) the effect of changes in other laws or regulatory rules affecting reported results.</w:t>
      </w:r>
    </w:p>
    <w:p>
      <w:pPr>
        <w:spacing w:after="0" w:line="38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2017 Incentive Award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i w:val="1"/>
          <w:iCs w:val="1"/>
          <w:color w:val="auto"/>
        </w:rPr>
        <w:t>Prior Plans</w:t>
      </w:r>
      <w:r>
        <w:rPr>
          <w:rFonts w:ascii="Arial" w:cs="Arial" w:eastAsia="Arial" w:hAnsi="Arial"/>
          <w:sz w:val="18"/>
          <w:szCs w:val="18"/>
          <w:color w:val="auto"/>
        </w:rPr>
        <w:t>” means, collectively, the Verona Pharma plc EMI Option Scheme, the Verona Pharma plc Unapproved Share Option Scheme and any prior equity incentive plans of the Company or its predecessor.</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 Award</w:t>
      </w:r>
      <w:r>
        <w:rPr>
          <w:rFonts w:ascii="Arial" w:cs="Arial" w:eastAsia="Arial" w:hAnsi="Arial"/>
          <w:sz w:val="16"/>
          <w:szCs w:val="16"/>
          <w:color w:val="auto"/>
        </w:rPr>
        <w:t>” means an award outstanding under the Prior Plans as of the Plan’s effective date in Section 10.3.</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means Shares awarded to a Participant under Article VI subject to certain vesting conditions and other restrictions.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11.36 “</w:t>
      </w:r>
      <w:r>
        <w:rPr>
          <w:rFonts w:ascii="Arial" w:cs="Arial" w:eastAsia="Arial" w:hAnsi="Arial"/>
          <w:sz w:val="18"/>
          <w:szCs w:val="18"/>
          <w:b w:val="1"/>
          <w:bCs w:val="1"/>
          <w:i w:val="1"/>
          <w:iCs w:val="1"/>
          <w:color w:val="auto"/>
        </w:rPr>
        <w:t>Restricted Share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Sale</w:t>
      </w:r>
      <w:r>
        <w:rPr>
          <w:rFonts w:ascii="Arial" w:cs="Arial" w:eastAsia="Arial" w:hAnsi="Arial"/>
          <w:sz w:val="16"/>
          <w:szCs w:val="16"/>
          <w:color w:val="auto"/>
        </w:rPr>
        <w:t>” shall mean the sale of all or substantially all of the assets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11.39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11.40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spacing w:after="0"/>
        <w:tabs>
          <w:tab w:leader="none" w:pos="140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means an Ordinary Share or the number of ADSs equal to an Ordinary Share.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 Appreciation Right</w:t>
      </w:r>
      <w:r>
        <w:rPr>
          <w:rFonts w:ascii="Arial" w:cs="Arial" w:eastAsia="Arial" w:hAnsi="Arial"/>
          <w:sz w:val="16"/>
          <w:szCs w:val="16"/>
          <w:color w:val="auto"/>
        </w:rPr>
        <w:t>” means a Share Appreciation right granted under Article V.</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11.44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11.45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84" w:lineRule="exact"/>
        <w:rPr>
          <w:sz w:val="20"/>
          <w:szCs w:val="20"/>
          <w:color w:val="auto"/>
        </w:rPr>
      </w:pPr>
    </w:p>
    <w:p>
      <w:pPr>
        <w:ind w:left="2040" w:hanging="736"/>
        <w:spacing w:after="0"/>
        <w:tabs>
          <w:tab w:leader="none" w:pos="204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“Takeover” </w:t>
      </w:r>
      <w:r>
        <w:rPr>
          <w:rFonts w:ascii="Arial" w:cs="Arial" w:eastAsia="Arial" w:hAnsi="Arial"/>
          <w:sz w:val="18"/>
          <w:szCs w:val="18"/>
          <w:color w:val="auto"/>
        </w:rPr>
        <w:t>shall mean if any person (or a group of persons acting in concert) (the “</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w:t>
      </w:r>
    </w:p>
    <w:p>
      <w:pPr>
        <w:spacing w:after="0" w:line="225" w:lineRule="exact"/>
        <w:rPr>
          <w:sz w:val="20"/>
          <w:szCs w:val="20"/>
          <w:color w:val="auto"/>
        </w:rPr>
      </w:pPr>
    </w:p>
    <w:p>
      <w:pPr>
        <w:ind w:left="2800" w:hanging="848"/>
        <w:spacing w:after="0"/>
        <w:tabs>
          <w:tab w:leader="none" w:pos="2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obtains Control of the Company as the result of making a general offer to:-</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all of the issued ordinary share capital of the Company, which is made on a condition that, if it is satisfied, the Acquiring Person will have Control of the Company;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all of the shares in the Company which are of the same class as the Shares; or</w:t>
      </w:r>
    </w:p>
    <w:p>
      <w:pPr>
        <w:spacing w:after="0" w:line="225" w:lineRule="exact"/>
        <w:rPr>
          <w:rFonts w:ascii="Arial" w:cs="Arial" w:eastAsia="Arial" w:hAnsi="Arial"/>
          <w:sz w:val="18"/>
          <w:szCs w:val="18"/>
          <w:color w:val="auto"/>
        </w:rPr>
      </w:pPr>
    </w:p>
    <w:p>
      <w:pPr>
        <w:ind w:firstLine="1952"/>
        <w:spacing w:after="0" w:line="277" w:lineRule="auto"/>
        <w:tabs>
          <w:tab w:leader="none" w:pos="27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obtains Control of the Company as a result of a compromise or arrangement sanctioned by a court under Section 899 of the UK Companies Act 2006, or sanctioned under any other similar law of another jurisdiction; or</w:t>
      </w:r>
    </w:p>
    <w:p>
      <w:pPr>
        <w:spacing w:after="0" w:line="170" w:lineRule="exact"/>
        <w:rPr>
          <w:rFonts w:ascii="Arial" w:cs="Arial" w:eastAsia="Arial" w:hAnsi="Arial"/>
          <w:sz w:val="18"/>
          <w:szCs w:val="18"/>
          <w:color w:val="auto"/>
        </w:rPr>
      </w:pPr>
    </w:p>
    <w:p>
      <w:pPr>
        <w:ind w:firstLine="1952"/>
        <w:spacing w:after="0" w:line="277" w:lineRule="auto"/>
        <w:tabs>
          <w:tab w:leader="none" w:pos="29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becomes bound or entitled under Sections 979 to 985 of the UK Companies Act 2006 (or similar law of another jurisdiction) to acquire shares of the same class as the Shares; or</w:t>
      </w:r>
    </w:p>
    <w:p>
      <w:pPr>
        <w:spacing w:after="0" w:line="170" w:lineRule="exact"/>
        <w:rPr>
          <w:rFonts w:ascii="Arial" w:cs="Arial" w:eastAsia="Arial" w:hAnsi="Arial"/>
          <w:sz w:val="18"/>
          <w:szCs w:val="18"/>
          <w:color w:val="auto"/>
        </w:rPr>
      </w:pPr>
    </w:p>
    <w:p>
      <w:pPr>
        <w:ind w:left="2840" w:hanging="888"/>
        <w:spacing w:after="0"/>
        <w:tabs>
          <w:tab w:leader="none" w:pos="28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obtains Control of the Company in any other way.</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11.46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Termination of Service</w:t>
      </w:r>
      <w:r>
        <w:rPr>
          <w:rFonts w:ascii="Arial" w:cs="Arial" w:eastAsia="Arial" w:hAnsi="Arial"/>
          <w:sz w:val="15"/>
          <w:szCs w:val="15"/>
          <w:color w:val="auto"/>
        </w:rPr>
        <w:t>” means the date the Participant ceases to be a Service Provider.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968375" cy="771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96837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Verona Pharma Plc of our report dated February 27, 2020 relating to the financial statements, which appears in Verona Pharma Plc’s Annual Report on Form 20-F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pacing w:after="0" w:line="200" w:lineRule="exact"/>
        <w:rPr>
          <w:sz w:val="20"/>
          <w:szCs w:val="20"/>
          <w:color w:val="auto"/>
        </w:rPr>
      </w:pPr>
    </w:p>
    <w:p>
      <w:pPr>
        <w:spacing w:after="0" w:line="274" w:lineRule="exact"/>
        <w:rPr>
          <w:sz w:val="20"/>
          <w:szCs w:val="20"/>
          <w:color w:val="auto"/>
        </w:rPr>
      </w:pPr>
    </w:p>
    <w:p>
      <w:pPr>
        <w:ind w:right="2900"/>
        <w:spacing w:after="0" w:line="274" w:lineRule="auto"/>
        <w:rPr>
          <w:sz w:val="20"/>
          <w:szCs w:val="20"/>
          <w:color w:val="auto"/>
        </w:rPr>
      </w:pPr>
      <w:r>
        <w:rPr>
          <w:rFonts w:ascii="Arial" w:cs="Arial" w:eastAsia="Arial" w:hAnsi="Arial"/>
          <w:sz w:val="21"/>
          <w:szCs w:val="21"/>
          <w:color w:val="auto"/>
        </w:rPr>
        <w:t>PricewaterhouseCoopers LLP, 3 Forbury Place, 23 Forbury Road, Reading, Berkshire, RG1 3JH T: +44 (0) 118 597 111, F: +44 (0) 1189 383 020, www.pwc.co.uk</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PricewaterhouseCoopers LLP is a limited liability partnership registered in England with registered number OC303525. The registered office of PricewaterhouseCoopers LLP is 1 Embankment Place, London WC2N 6RH. PricewaterhouseCoopers LLP is authorised and regulated by the Financial Conduct Authority for designated investment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2"/>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decimal"/>
      <w:start w:val="2"/>
    </w:lvl>
    <w:lvl w:ilvl="1">
      <w:lvlJc w:val="left"/>
      <w:lvlText w:val="(%2)"/>
      <w:numFmt w:val="lowerLetter"/>
      <w:start w:val="1"/>
    </w:lvl>
  </w:abstractNum>
  <w:abstractNum w:abstractNumId="7">
    <w:nsid w:val="7C83E458"/>
    <w:multiLevelType w:val="hybridMultilevel"/>
    <w:lvl w:ilvl="0">
      <w:lvlJc w:val="left"/>
      <w:lvlText w:val="(%1)"/>
      <w:numFmt w:val="lowerLetter"/>
      <w:start w:val="8"/>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9"/>
    </w:lvl>
  </w:abstractNum>
  <w:abstractNum w:abstractNumId="11">
    <w:nsid w:val="628C895D"/>
    <w:multiLevelType w:val="hybridMultilevel"/>
    <w:lvl w:ilvl="0">
      <w:lvlJc w:val="left"/>
      <w:lvlText w:val="(%1)"/>
      <w:numFmt w:val="lowerLetter"/>
      <w:start w:val="17"/>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1"/>
    </w:lvl>
    <w:lvl w:ilvl="1">
      <w:lvlJc w:val="left"/>
      <w:lvlText w:val="(%2)"/>
      <w:numFmt w:val="lowerRoman"/>
      <w:start w:val="1"/>
    </w:lvl>
  </w:abstractNum>
  <w:abstractNum w:abstractNumId="14">
    <w:nsid w:val="2443A858"/>
    <w:multiLevelType w:val="hybridMultilevel"/>
    <w:lvl w:ilvl="0">
      <w:lvlJc w:val="left"/>
      <w:lvlText w:val="(%1)"/>
      <w:numFmt w:val="lowerLetter"/>
      <w:start w:val="3"/>
    </w:lvl>
    <w:lvl w:ilvl="1">
      <w:lvlJc w:val="left"/>
      <w:lvlText w:val="%2"/>
      <w:numFmt w:val="lowerRoman"/>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2"/>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Roman"/>
      <w:start w:val="2"/>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Roman"/>
      <w:start w:val="2"/>
    </w:lvl>
  </w:abstractNum>
  <w:abstractNum w:abstractNumId="24">
    <w:nsid w:val="71F32454"/>
    <w:multiLevelType w:val="hybridMultilevel"/>
    <w:lvl w:ilvl="0">
      <w:lvlJc w:val="left"/>
      <w:lvlText w:val="(%1)"/>
      <w:numFmt w:val="lowerRoman"/>
      <w:start w:val="1"/>
    </w:lvl>
  </w:abstractNum>
  <w:abstractNum w:abstractNumId="25">
    <w:nsid w:val="2CA88611"/>
    <w:multiLevelType w:val="hybridMultilevel"/>
    <w:lvl w:ilvl="0">
      <w:lvlJc w:val="left"/>
      <w:lvlText w:val="(%1)"/>
      <w:numFmt w:val="lowerRoman"/>
      <w:start w:val="3"/>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upperLetter"/>
      <w:start w:val="1"/>
    </w:lvl>
    <w:lvl w:ilvl="1">
      <w:lvlJc w:val="left"/>
      <w:lvlText w:val="(%2)"/>
      <w:numFmt w:val="lowerRoman"/>
      <w:start w:val="1"/>
    </w:lvl>
  </w:abstractNum>
  <w:abstractNum w:abstractNumId="29">
    <w:nsid w:val="8138641"/>
    <w:multiLevelType w:val="hybridMultilevel"/>
    <w:lvl w:ilvl="0">
      <w:lvlJc w:val="left"/>
      <w:lvlText w:val="(%1)"/>
      <w:numFmt w:val="upperLetter"/>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jpeg"/><Relationship Id="rId31" Type="http://schemas.openxmlformats.org/officeDocument/2006/relationships/image" Target="media/image22.png"/><Relationship Id="rId32" Type="http://schemas.openxmlformats.org/officeDocument/2006/relationships/image" Target="media/image23.jpeg"/><Relationship Id="rId33" Type="http://schemas.openxmlformats.org/officeDocument/2006/relationships/image" Target="media/image24.pn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jpeg"/><Relationship Id="rId59" Type="http://schemas.openxmlformats.org/officeDocument/2006/relationships/image" Target="media/image50.png"/><Relationship Id="rId20" Type="http://schemas.openxmlformats.org/officeDocument/2006/relationships/hyperlink" Target="http://www.sec.gov/Archives/edgar/data/1657312/000110465917027148/a16-21903_12s8.htm" TargetMode="External"/><Relationship Id="rId21" Type="http://schemas.openxmlformats.org/officeDocument/2006/relationships/hyperlink" Target="http://www.sec.gov/Archives/edgar/data/1657312/000104746917002313/a2231519z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2020-04-30T15:08:19Z</dcterms:created>
  <dcterms:modified xsi:type="dcterms:W3CDTF">2020-04-30T15:08:19Z</dcterms:modified>
</cp:coreProperties>
</file>