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November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Verona Pharma plc</w:t>
      </w:r>
    </w:p>
    <w:p>
      <w:pPr>
        <w:spacing w:after="0" w:line="4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98"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 Loan Facility</w:t>
      </w:r>
    </w:p>
    <w:p>
      <w:pPr>
        <w:spacing w:after="0" w:line="20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Effective as of November 19, 2020, Verona Pharma plc (the “Company”) and Verona Pharma, Inc. ("Verona U.S." and together with the Company, the "Borrowers") entered into a term loan facility of up to $30.0 million (the “Term Loan”), consisting of term loan advances in an aggregate amount of $5.0 million funded at closing, a term loan advance available subject to certain terms and conditions in an aggregate amount of $10.0 million (the “Term B Loan”) and a term loan advance available subject to certain terms and conditions in an aggregate amount of $15.0 million (the “Term C Loan”), with Silicon Valley Bank, a California corporation (“SVB”), the proceeds of which will be used for general corporate and working capital purposes.</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dated as of November 19, 2020, between the Borrowers and SVB (the “Loan Agreement”). The Term B Loan will be available, subject to and customary terms and conditions, during the period commencing upon the achievement of a specific clinical milestone relating to ensifentrine through and including June 30, 2022. The Term C Loan will be available, subject to customary terms and conditions, during the period commencing upon the achievement of an additional specific clinical milestone relating to ensifentrine through and including June 30,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will mature on November 1, 2024. Each advance under the Term Loan accrues interest at a floating per annum rate equal to the greater of</w:t>
      </w:r>
    </w:p>
    <w:p>
      <w:pPr>
        <w:spacing w:after="0" w:line="27" w:lineRule="exact"/>
        <w:rPr>
          <w:sz w:val="20"/>
          <w:szCs w:val="20"/>
          <w:color w:val="auto"/>
        </w:rPr>
      </w:pPr>
    </w:p>
    <w:p>
      <w:pPr>
        <w:ind w:right="100" w:firstLine="8"/>
        <w:spacing w:after="0" w:line="265" w:lineRule="auto"/>
        <w:tabs>
          <w:tab w:leader="none" w:pos="24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the prime rate reported in The Wall Street Journal plus 1.00% and (b) four and one-quarter of one percent (4.25%). The Term Loan provides for interest-only payments on a monthly basis until the payment date immediately preceding December 1, 2023. Thereafter, amortization payments will be payable monthly in equal installments of principal plus monthly payments of accrued interest. Upon repayment (whether at maturity, upon acceleration or by prepayment or otherwise), the Borrowers shall make a final payment to SVB in the amount of 10% of the aggregate Term Loans advanced (the "Final Payment"). The Borrowers may prepay the Term Loan in full but not in part provided that the Borrowers (i) provide ten days’ prior written notice to SVB,</w:t>
      </w:r>
    </w:p>
    <w:p>
      <w:pPr>
        <w:ind w:right="60" w:firstLine="8"/>
        <w:spacing w:after="0" w:line="252"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on the date of such prepayment (A) all outstanding principal plus accrued and unpaid interest, (B) a prepayment fee of $450,000 plus 3.0% of the Term C Loans advanced if paid on or before the first anniversary of the closing date; $300,000 plus 2.00% of the Term C Loans advanced if paid after the first anniversary of the closing date and on or before the second anniversary of the closing date; and $150,000 plus 1.00% of the Term C Loans advanced if paid thereafter and prior to maturity, (C) the Final Payment and (D) all other sums, if any, that shall become due and payable with respect to the Term Loan Advances, including interest at the Default Rate with respect to any past due amounts. Amounts outstanding during an event of default are payable upon SVB's demand and shall accrue interest at an additional rate of 3.0% per annum.</w:t>
      </w:r>
    </w:p>
    <w:p>
      <w:pPr>
        <w:spacing w:after="0" w:line="1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Term Loan is secured by a lien on substantially all of the assets of the Borrowers, other than the equity interests of Verona U.S. and other than intellectual property, provided that such lien on substantially all assets includes any rights to payments and proceeds from the sale, licensing or disposition of intellectual property. The Borrowers have also granted SVB a negative pledge with respect to its intellectual property.</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SVB. The Loan Agreement includes a minimum cash covenant triggered when Borrowers' consolidated cash and cash equivalents drop below $45.0 million at any time after the earliest to occur of any of the following: (i) the release of negative data from Enhance 2 and/or Enhance 1, which in the reasonable business discretion Borrowers’ senior management, would be considered insufficient to support submission of an NDA to the FDA, (ii) the FDA issues a complete response letter with respect to an NDA submitted for ensifentrine, or (iii) failure to achieve a specific regulatory milestone relating to ensifentrine by June 30, 2023 (extendable to March 31, 2024 upon the Borrowers receiving a specified amount of new cash proceeds after September 8, 2020 from the sale of equity securities in one or more public financings or other bona fide equity financings, subordinated debt and/or upfront/milestone payments from one or more collaboration agreements not prohibited in the Loan Agreement). Upon such trigger, Borrowers must cash collateralize an amount equal to the outstanding obligations to SVB plus the amount of any prepayment penalty and Final Payment which would be due in the event the Loan Agreement were prepaid in full with respect to the Term Loans advanced as of such time.</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events of default under the Loan Agreement include, but are not limited to, the Borrowers’ failure to make any payments of principal or interest under the Loan Agreement or other transaction documents, the Borrowers’ breach or default in the performance of any covenant under the Loan Agreement or other transaction documents, the occurrence of a material adverse change, any Borrower making a false or misleading representation or warranty in any material respect under the Loan Agreement, any Borrower’s insolvency or bankruptcy, any attachment or judgment on any Borrower’s assets of at least $500,000, or the occurrence of any default under any agreement or obligation of any Borrower involving indebtedness in excess of $500,000. If an event of default occurs, SVB is entitled to take enforcement action, including acceleration of amounts due under the Loan Agreement.</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Loan Agreement is a summary, and is qualified in its entirety by reference to such document, which is filed herewith as Exhibit 1.1 to this Report on Form 6-K, and is incorporated herein by reference.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November 23, 2020, the Company issued a press release in connection with the Term Loan, which press release is furnished herewith as Exhibit 1.2 to this Report on Form 6-K.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Risk Factor Disclosure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Term Loan, the Company is supplementing the risk factors previously disclosed in Part I, Item 3.D of its Annual Report on Form 20-F for the fiscal year ended December 31, 2019, filed with the Securities and Exchange Commission on February 27, 2020, to include the following risk factor under the heading “Risk Factors - Risks Related to Our Business and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5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November 2020, we and Verona Pharma, Inc., or Verona U.S., entered into a loan and security agreement, or the Loan Agreement, with Silicon Valley Bank, or SVB, pursuant to which a term loan facility in an aggregate amount of up to $30.0 million, or the Term Loan, is available to us in three tranches. We received the first tranche of $5.0 million at closing. Upon satisfaction of certain clinical milestones relating to ensifentrine and subject to customary terms and conditions: (i) the second tranche will be available and will allow us to borrow an additional amount up to $10.0 million through June 30, 2022, and (ii) the third tranche will be available and will allow us to borrow an additional amount up to $15.0 million through June 30, 2023.</w:t>
      </w:r>
    </w:p>
    <w:p>
      <w:pPr>
        <w:spacing w:after="0" w:line="18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Term Loan is secured by a lien on substantially all of our and Verona U.S.’s assets, other than the equity interests of Verona U.S. and other than intellectual property, provided that such lien on substantially all assets includes any rights to payments and proceeds from the sale, licensing or disposition of intellectual property. We have also granted SVB a negative pledge with respect to our intellectual property.</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SVB. The Loan Agreement includes a minimum cash covenant triggered when our consolidated cash and cash equivalents drop below $45.0 million at any time after the occurrence of certain clinical and/or regulatory event. Upon such trigger, we would be required cash collateralize an amount equal to the outstanding obligations to SVB plus the amount of any prepayment penalty and a final payment which would be due in the event the Loan Agreement were prepaid in full with respect to the Term Loans advanced as of such time. Any such cash collateralization could have a material adverse impact on our liquidity and financial condition.</w:t>
      </w:r>
    </w:p>
    <w:p>
      <w:pPr>
        <w:spacing w:after="0" w:line="19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events of default under the Loan Agreement include, but are not limited to: (i) insolvency, liquidation, bankruptcy or similar events; (ii) failure to pay any debts due under the Loan Agreement or other loan documents on a timely basis; (iii) failure to observe certain covenants under the Loan Agreement ; (v) occurrence of a material adverse effect; (vi) material misrepresentation by us; (vii) occurrence of any default under any other agreement involving material indebtedness; and (viii) certain material money judgments. If we default under the Loan Agreement, SVB may accelerate all of our repayment obligations and take control of our and Verona U.S.’s pledged assets, potentially requiring us to renegotiate our agreement on terms less favorable to us or to immediately cease operations. Further, if we are liquidated, the lenders’ right to repayment would be senior to the rights of our ADS holders or shareholders to receive any proceeds from the liquidation. Any declaration by SVB of an event of default could significantly harm our business and prospects and could cause the price of our ADSs or ordinary shares to decline. If we raise any additional debt financing, the terms of such additional debt could further restrict our operating and financial flexibility.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in this Report on Form 6-K, excluding Exhibit 1.2, is hereby incorporated by reference into the Company’s Registration Statement on Form F-3 (Registration No. 333-225107) and Registration Statements on Form S-8 (Registration Nos. 333-217521, 333-237926 and 333-248199).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8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Exhibit</w:t>
            </w:r>
          </w:p>
        </w:tc>
        <w:tc>
          <w:tcPr>
            <w:tcW w:w="9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w:t>
            </w:r>
          </w:p>
        </w:tc>
        <w:tc>
          <w:tcPr>
            <w:tcW w:w="4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gridSpan w:val="2"/>
          </w:tcPr>
          <w:p>
            <w:pPr>
              <w:ind w:left="366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240" w:type="dxa"/>
            <w:vAlign w:val="bottom"/>
            <w:gridSpan w:val="2"/>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1.1†</w:t>
              </w:r>
            </w:hyperlink>
          </w:p>
        </w:tc>
        <w:tc>
          <w:tcPr>
            <w:tcW w:w="9440" w:type="dxa"/>
            <w:vAlign w:val="bottom"/>
            <w:tcBorders>
              <w:bottom w:val="single" w:sz="8" w:color="0000EE"/>
            </w:tcBorders>
            <w:gridSpan w:val="2"/>
          </w:tcPr>
          <w:p>
            <w:pPr>
              <w:ind w:left="20"/>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Loan and Security Agreement, dated as of November 19, 2020, by and among Silicon Valley Bank, Verona Pharma plc and Verona</w:t>
              </w:r>
            </w:hyperlink>
          </w:p>
        </w:tc>
        <w:tc>
          <w:tcPr>
            <w:tcW w:w="5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0" w:type="dxa"/>
            <w:vAlign w:val="bottom"/>
            <w:gridSpan w:val="3"/>
          </w:tcPr>
          <w:p>
            <w:pPr>
              <w:ind w:left="2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Pharma, Inc.</w:t>
              </w:r>
            </w:hyperlink>
          </w:p>
        </w:tc>
      </w:tr>
      <w:tr>
        <w:trPr>
          <w:trHeight w:val="20"/>
        </w:trPr>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080" w:type="dxa"/>
            <w:vAlign w:val="bottom"/>
            <w:gridSpan w:val="2"/>
          </w:tcPr>
          <w:p>
            <w:pPr>
              <w:spacing w:after="0" w:line="20" w:lineRule="exact"/>
              <w:rPr>
                <w:sz w:val="1"/>
                <w:szCs w:val="1"/>
                <w:color w:val="auto"/>
              </w:rPr>
            </w:pPr>
          </w:p>
        </w:tc>
      </w:tr>
      <w:tr>
        <w:trPr>
          <w:trHeight w:val="453"/>
        </w:trPr>
        <w:tc>
          <w:tcPr>
            <w:tcW w:w="800" w:type="dxa"/>
            <w:vAlign w:val="bottom"/>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1.2</w:t>
              </w:r>
            </w:hyperlink>
          </w:p>
        </w:tc>
        <w:tc>
          <w:tcPr>
            <w:tcW w:w="440" w:type="dxa"/>
            <w:vAlign w:val="bottom"/>
          </w:tcPr>
          <w:p>
            <w:pPr>
              <w:spacing w:after="0"/>
              <w:rPr>
                <w:sz w:val="24"/>
                <w:szCs w:val="24"/>
                <w:color w:val="auto"/>
              </w:rPr>
            </w:pPr>
          </w:p>
        </w:tc>
        <w:tc>
          <w:tcPr>
            <w:tcW w:w="10000" w:type="dxa"/>
            <w:vAlign w:val="bottom"/>
            <w:gridSpan w:val="3"/>
          </w:tcPr>
          <w:p>
            <w:pPr>
              <w:ind w:left="2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Term Loan Announcement</w:t>
              </w:r>
            </w:hyperlink>
          </w:p>
        </w:tc>
      </w:tr>
    </w:tbl>
    <w:p>
      <w:pPr>
        <w:spacing w:after="0" w:line="198"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applicable Securities and Exchange Commission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23, 2020</w:t>
            </w:r>
          </w:p>
        </w:tc>
        <w:tc>
          <w:tcPr>
            <w:tcW w:w="748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By:  /s/ David Zaccardelli, Pharm. D.</w:t>
            </w:r>
          </w:p>
        </w:tc>
      </w:tr>
      <w:tr>
        <w:trPr>
          <w:trHeight w:val="191"/>
        </w:trPr>
        <w:tc>
          <w:tcPr>
            <w:tcW w:w="37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David Zaccardelli, Pharm. D.</w:t>
            </w:r>
          </w:p>
        </w:tc>
      </w:tr>
      <w:tr>
        <w:trPr>
          <w:trHeight w:val="234"/>
        </w:trPr>
        <w:tc>
          <w:tcPr>
            <w:tcW w:w="37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360"/>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ind w:left="1240" w:right="100" w:hanging="1122"/>
        <w:spacing w:after="0" w:line="282" w:lineRule="auto"/>
        <w:tabs>
          <w:tab w:leader="none" w:pos="5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in accordance with applicable Securities and Exchange Commission rules and regulations. Such excluded information is not material and would likely cause competitive harm to the registrant if publicly disclosed.</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LOAN AND SECURITY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and effective as of November 19, 2020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among </w:t>
      </w:r>
      <w:r>
        <w:rPr>
          <w:rFonts w:ascii="Times New Roman" w:cs="Times New Roman" w:eastAsia="Times New Roman" w:hAnsi="Times New Roman"/>
          <w:sz w:val="18"/>
          <w:szCs w:val="18"/>
          <w:b w:val="1"/>
          <w:bCs w:val="1"/>
          <w:color w:val="auto"/>
        </w:rPr>
        <w:t>SILICON VALLEY BANK</w:t>
      </w:r>
      <w:r>
        <w:rPr>
          <w:rFonts w:ascii="Times New Roman" w:cs="Times New Roman" w:eastAsia="Times New Roman" w:hAnsi="Times New Roman"/>
          <w:sz w:val="18"/>
          <w:szCs w:val="18"/>
          <w:color w:val="auto"/>
        </w:rPr>
        <w:t>, a California corporation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VERONA PHARMA PLC.</w:t>
      </w:r>
      <w:r>
        <w:rPr>
          <w:rFonts w:ascii="Times New Roman" w:cs="Times New Roman" w:eastAsia="Times New Roman" w:hAnsi="Times New Roman"/>
          <w:sz w:val="18"/>
          <w:szCs w:val="18"/>
          <w:color w:val="auto"/>
        </w:rPr>
        <w:t>, A COMPANY REGISTERED UNDER THE LAWS OF England and Wales with company number 05375156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UK Borrower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VERONA PHARMA,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US Borrower</w:t>
      </w:r>
      <w:r>
        <w:rPr>
          <w:rFonts w:ascii="Times New Roman" w:cs="Times New Roman" w:eastAsia="Times New Roman" w:hAnsi="Times New Roman"/>
          <w:sz w:val="18"/>
          <w:szCs w:val="18"/>
          <w:color w:val="auto"/>
        </w:rPr>
        <w:t>” and together with UK Borrower, each a “</w:t>
      </w:r>
      <w:r>
        <w:rPr>
          <w:rFonts w:ascii="Times New Roman" w:cs="Times New Roman" w:eastAsia="Times New Roman" w:hAnsi="Times New Roman"/>
          <w:sz w:val="18"/>
          <w:szCs w:val="18"/>
          <w:b w:val="1"/>
          <w:bCs w:val="1"/>
          <w:color w:val="auto"/>
        </w:rPr>
        <w:t>Co-Borrower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Co-Borrowers</w:t>
      </w:r>
      <w:r>
        <w:rPr>
          <w:rFonts w:ascii="Times New Roman" w:cs="Times New Roman" w:eastAsia="Times New Roman" w:hAnsi="Times New Roman"/>
          <w:sz w:val="18"/>
          <w:szCs w:val="18"/>
          <w:color w:val="auto"/>
        </w:rPr>
        <w:t>”), provides the terms on which Bank shall lend to Co-Borrowers and Co-Borrowers shall repay Bank. The parties agree as follows:</w:t>
      </w:r>
    </w:p>
    <w:p>
      <w:pPr>
        <w:spacing w:after="0" w:line="179" w:lineRule="exact"/>
        <w:rPr>
          <w:sz w:val="20"/>
          <w:szCs w:val="20"/>
          <w:color w:val="auto"/>
        </w:rPr>
      </w:pPr>
    </w:p>
    <w:p>
      <w:pPr>
        <w:ind w:left="1280" w:hanging="624"/>
        <w:spacing w:after="0"/>
        <w:tabs>
          <w:tab w:leader="none" w:pos="12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AND OTHER TERMS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Accounting terms not defined in this Agreement shall be construed following IFRS or GAAP. Calculations and determinations must be made following IFRS or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172" w:lineRule="exact"/>
        <w:rPr>
          <w:sz w:val="20"/>
          <w:szCs w:val="20"/>
          <w:color w:val="auto"/>
        </w:rPr>
      </w:pPr>
    </w:p>
    <w:p>
      <w:pPr>
        <w:ind w:left="1280" w:hanging="624"/>
        <w:spacing w:after="0"/>
        <w:tabs>
          <w:tab w:leader="none" w:pos="1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 AND TERMS OF PAYMENT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 Promise to Pay. </w:t>
      </w:r>
      <w:r>
        <w:rPr>
          <w:rFonts w:ascii="Times New Roman" w:cs="Times New Roman" w:eastAsia="Times New Roman" w:hAnsi="Times New Roman"/>
          <w:sz w:val="18"/>
          <w:szCs w:val="18"/>
          <w:color w:val="auto"/>
        </w:rPr>
        <w:t>Co-Borrowers hereby unconditionally promise to pay Bank the outstanding principal amount of all Credit Extensions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accrued and unpaid interest thereon as and when due in accordance with this Agreement.</w:t>
      </w:r>
    </w:p>
    <w:p>
      <w:pPr>
        <w:spacing w:after="0" w:line="15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Term Loan Advances.</w:t>
      </w:r>
    </w:p>
    <w:p>
      <w:pPr>
        <w:spacing w:after="0" w:line="229" w:lineRule="exact"/>
        <w:rPr>
          <w:sz w:val="20"/>
          <w:szCs w:val="20"/>
          <w:color w:val="auto"/>
        </w:rPr>
      </w:pPr>
    </w:p>
    <w:p>
      <w:pPr>
        <w:jc w:val="both"/>
        <w:ind w:firstLine="1304"/>
        <w:spacing w:after="0" w:line="254" w:lineRule="auto"/>
        <w:tabs>
          <w:tab w:leader="none" w:pos="25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Subject to the terms and conditions of this Agreement, on the Effective Date or as soon thereafter as all conditions precedent thereto have been met, Bank shall make a term loan advance to Co-Borrowers in an original principal amount equal to Five Million Dollars ($5,000,000) (the “</w:t>
      </w:r>
      <w:r>
        <w:rPr>
          <w:rFonts w:ascii="Times New Roman" w:cs="Times New Roman" w:eastAsia="Times New Roman" w:hAnsi="Times New Roman"/>
          <w:sz w:val="18"/>
          <w:szCs w:val="18"/>
          <w:b w:val="1"/>
          <w:bCs w:val="1"/>
          <w:color w:val="auto"/>
        </w:rPr>
        <w:t>Term A Loan Advance</w:t>
      </w:r>
      <w:r>
        <w:rPr>
          <w:rFonts w:ascii="Times New Roman" w:cs="Times New Roman" w:eastAsia="Times New Roman" w:hAnsi="Times New Roman"/>
          <w:sz w:val="18"/>
          <w:szCs w:val="18"/>
          <w:color w:val="auto"/>
        </w:rPr>
        <w:t>”). Subject to the terms and conditions of this Agreement, upon Co-Borrowers’ request during the Term B Availability Period, Bank shall make an additional term loan advance available to Co-Borrowers in an original principal amount equal to Ten Million Dollars ($10,000,000) (the “</w:t>
      </w:r>
      <w:r>
        <w:rPr>
          <w:rFonts w:ascii="Times New Roman" w:cs="Times New Roman" w:eastAsia="Times New Roman" w:hAnsi="Times New Roman"/>
          <w:sz w:val="18"/>
          <w:szCs w:val="18"/>
          <w:b w:val="1"/>
          <w:bCs w:val="1"/>
          <w:color w:val="auto"/>
        </w:rPr>
        <w:t>Term B Loan Advance</w:t>
      </w:r>
      <w:r>
        <w:rPr>
          <w:rFonts w:ascii="Times New Roman" w:cs="Times New Roman" w:eastAsia="Times New Roman" w:hAnsi="Times New Roman"/>
          <w:sz w:val="18"/>
          <w:szCs w:val="18"/>
          <w:color w:val="auto"/>
        </w:rPr>
        <w:t>”). Subject to the terms and conditions of this Agreement, during the Term C Draw Period, or as soon thereafter as all conditions precedent thereto have been met, Bank shall make an additional term loan advance available to Co-Borrowers in an original principal amount equal to Fifteen Million Dollars ($15,000,000) (the “</w:t>
      </w:r>
      <w:r>
        <w:rPr>
          <w:rFonts w:ascii="Times New Roman" w:cs="Times New Roman" w:eastAsia="Times New Roman" w:hAnsi="Times New Roman"/>
          <w:sz w:val="18"/>
          <w:szCs w:val="18"/>
          <w:b w:val="1"/>
          <w:bCs w:val="1"/>
          <w:color w:val="auto"/>
        </w:rPr>
        <w:t>Term C Loan Advance</w:t>
      </w:r>
      <w:r>
        <w:rPr>
          <w:rFonts w:ascii="Times New Roman" w:cs="Times New Roman" w:eastAsia="Times New Roman" w:hAnsi="Times New Roman"/>
          <w:sz w:val="18"/>
          <w:szCs w:val="18"/>
          <w:color w:val="auto"/>
        </w:rPr>
        <w:t>”). The Term A Loan Advance, the Term B Loan Advance, and the Term C Loan Advance are hereinafter referred to each as a “</w:t>
      </w:r>
      <w:r>
        <w:rPr>
          <w:rFonts w:ascii="Times New Roman" w:cs="Times New Roman" w:eastAsia="Times New Roman" w:hAnsi="Times New Roman"/>
          <w:sz w:val="18"/>
          <w:szCs w:val="18"/>
          <w:b w:val="1"/>
          <w:bCs w:val="1"/>
          <w:color w:val="auto"/>
        </w:rPr>
        <w:t>Term Loan Advance</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Loan Advances</w:t>
      </w:r>
      <w:r>
        <w:rPr>
          <w:rFonts w:ascii="Times New Roman" w:cs="Times New Roman" w:eastAsia="Times New Roman" w:hAnsi="Times New Roman"/>
          <w:sz w:val="18"/>
          <w:szCs w:val="18"/>
          <w:color w:val="auto"/>
        </w:rPr>
        <w:t>.” After repayment, no Term Loan Advance (or any portion thereof) may be reborrowed.</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23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With respect to each Term Loan Advance, commencing on the first Payment Date following the Funding Date of such Term Loan Advance, and continuing on each Payment Date thereafter, Co-Borrowers shall make monthly payments of interest, in arrears, on the principal amount of such Term Loan Advance at the rate set forth in Section 2.3(a). Commencing on December 1, 2023 and continuing on each Payment Date thereafter, Co-Borrowers shall repay the Term Loan Advances in twelve (12) equal monthly installments of principal, plus monthly payments of accrued interest. All outstanding principal and accrued and unpaid interest under each Term Loan Advance, and all other outstanding Obligations with respect to the Term Loan Advances and the Final Payment, are due and payable in full on the Term Loan Maturity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231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Prepayment</w:t>
      </w:r>
      <w:r>
        <w:rPr>
          <w:rFonts w:ascii="Times New Roman" w:cs="Times New Roman" w:eastAsia="Times New Roman" w:hAnsi="Times New Roman"/>
          <w:sz w:val="18"/>
          <w:szCs w:val="18"/>
          <w:color w:val="auto"/>
        </w:rPr>
        <w:t>. Co-Borrowers shall have the option to prepay all, but not less than all, of the Term Loan Advances, provided Co-Borrowers (i) deliver written notice to Bank of their election to prepay the Term Loan Advances at least ten (10) days prior to such prepayment, and (ii) pay, on the date of such prepayment (A) the outstanding principal plus accrued and unpaid interest with respect to the Term Loan Advances, (B) the Prepayment Fee (if applicable), (C) the Final Payment and (D) all other sums, if any, that shall have become due and payable with respect to the Term Loan Advances, including interest at the Default Rate with respect to any past due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1304"/>
        <w:spacing w:after="0" w:line="258" w:lineRule="auto"/>
        <w:tabs>
          <w:tab w:leader="none" w:pos="22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 Upon an Acceleration</w:t>
      </w:r>
      <w:r>
        <w:rPr>
          <w:rFonts w:ascii="Times New Roman" w:cs="Times New Roman" w:eastAsia="Times New Roman" w:hAnsi="Times New Roman"/>
          <w:sz w:val="18"/>
          <w:szCs w:val="18"/>
          <w:color w:val="auto"/>
        </w:rPr>
        <w:t>. If the Term Loan Advances are accelerated by Bank following the occurrence and during the continuance of an Event of Default, Co-Borrowers shall immediately pay to Bank an amount equal to the sum of (i) all outstanding principal plus accrued and unpaid interest with respect to the Term Loan Advances, (ii) the Prepayment Fee, (iii) the Final Payment and (iv) all other sums, if any, that shall have become due and payable with respect to the Term Loan Advances, including interest at the Default Rate with respect to any past due amounts.</w:t>
      </w:r>
    </w:p>
    <w:p>
      <w:pPr>
        <w:spacing w:after="0" w:line="17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Payment of Interest on the Credit Extensions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6" w:lineRule="auto"/>
        <w:tabs>
          <w:tab w:leader="none" w:pos="24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Subject to Section 2.3(b), the principal amount outstanding under each Term Loan Advance shall accrue interest at a floating per annum rate equal to the greater of (A) one percentage point (1.00%) above the Prime Rate and (B) four and one-quarter percentage points (4.25%), which interest shall be payable monthly in accordance with Section 2.3(d) below.</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3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Immediately upon the occurrence and during the continuance of an Event of Default, Obligations shall bear interest at a rate per annum which is three percentage points (3.00%) above the rate that is otherwise applicable thereto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unless Bank otherwise elects to impose a smaller increase. Fees and expenses which are required to be paid by Co-Borrowers pursuant to the Loan Documents (including, without limitation, Bank Expenses) but are not paid when due shall bear interest until paid at a rate equal to the highest rate applicable to the Obligations. Payment or acceptance of the increased interest rate provided in this Section 2.3(b) is not a permitted alternative to timely payment and shall not constitute a waiver of any Event of Default or otherwise prejudice or limit any rights or remedies of Bank.</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23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Interest Rate</w:t>
      </w:r>
      <w:r>
        <w:rPr>
          <w:rFonts w:ascii="Times New Roman" w:cs="Times New Roman" w:eastAsia="Times New Roman" w:hAnsi="Times New Roman"/>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Interest Computation</w:t>
      </w:r>
      <w:r>
        <w:rPr>
          <w:rFonts w:ascii="Times New Roman" w:cs="Times New Roman" w:eastAsia="Times New Roman" w:hAnsi="Times New Roman"/>
          <w:sz w:val="18"/>
          <w:szCs w:val="18"/>
          <w:color w:val="auto"/>
        </w:rPr>
        <w:t>. Interest is payable monthly on the Payment Date of each month and shall be computed on the basis of a three hundred sixty (360) day year for the actual number of days elapsed. In computing interest, (i) all payments received after 3:00 p.m. Eastern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7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 xml:space="preserve">Fees. </w:t>
      </w:r>
      <w:r>
        <w:rPr>
          <w:rFonts w:ascii="Times New Roman" w:cs="Times New Roman" w:eastAsia="Times New Roman" w:hAnsi="Times New Roman"/>
          <w:sz w:val="18"/>
          <w:szCs w:val="18"/>
          <w:color w:val="auto"/>
        </w:rPr>
        <w:t>Co-Borrowers shall pay to Bank:</w:t>
      </w:r>
    </w:p>
    <w:p>
      <w:pPr>
        <w:spacing w:after="0" w:line="229" w:lineRule="exact"/>
        <w:rPr>
          <w:sz w:val="20"/>
          <w:szCs w:val="20"/>
          <w:color w:val="auto"/>
        </w:rPr>
      </w:pPr>
    </w:p>
    <w:p>
      <w:pPr>
        <w:ind w:firstLine="1304"/>
        <w:spacing w:after="0" w:line="282" w:lineRule="auto"/>
        <w:tabs>
          <w:tab w:leader="none" w:pos="2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Fee</w:t>
      </w:r>
      <w:r>
        <w:rPr>
          <w:rFonts w:ascii="Times New Roman" w:cs="Times New Roman" w:eastAsia="Times New Roman" w:hAnsi="Times New Roman"/>
          <w:sz w:val="18"/>
          <w:szCs w:val="18"/>
          <w:color w:val="auto"/>
        </w:rPr>
        <w:t>. The Prepayment Fee, if and when due pursuant to the terms of Section 2.2(c) or 2.2(d); provided, however, Bank shall waive the Prepayment Fee if Co-Borrowers refinance the Term Loan Advances with another credit facility from Bank;</w:t>
      </w:r>
    </w:p>
    <w:p>
      <w:pPr>
        <w:spacing w:after="0" w:line="161"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Payment</w:t>
      </w:r>
      <w:r>
        <w:rPr>
          <w:rFonts w:ascii="Times New Roman" w:cs="Times New Roman" w:eastAsia="Times New Roman" w:hAnsi="Times New Roman"/>
          <w:sz w:val="18"/>
          <w:szCs w:val="18"/>
          <w:color w:val="auto"/>
        </w:rPr>
        <w:t>. The Final Payment, when due hereunder;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3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Expenses</w:t>
      </w:r>
      <w:r>
        <w:rPr>
          <w:rFonts w:ascii="Times New Roman" w:cs="Times New Roman" w:eastAsia="Times New Roman" w:hAnsi="Times New Roman"/>
          <w:sz w:val="18"/>
          <w:szCs w:val="18"/>
          <w:color w:val="auto"/>
        </w:rPr>
        <w:t>. All Bank Expenses (including reasonable attorneys’ fees and expenses for documentation and negotiation of this Agreement) incurred through and after the Effective Date, when due (or, if no stated due date, upon demand by Bank).</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Fully Earned</w:t>
      </w:r>
      <w:r>
        <w:rPr>
          <w:rFonts w:ascii="Times New Roman" w:cs="Times New Roman" w:eastAsia="Times New Roman" w:hAnsi="Times New Roman"/>
          <w:sz w:val="18"/>
          <w:szCs w:val="18"/>
          <w:color w:val="auto"/>
        </w:rPr>
        <w:t>. Unless otherwise provided in this Agreement or in a separate writing by Bank, Co-Borrowers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Co-Borrowers under the clauses of this Section 2.4 pursuant to the terms of Section 2.5(c). Bank shall provide Co-Borrowers written notice of deductions made from the Designated Deposit Account pursuant to the terms of the clauses of this Section 2.4.</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Payments; Application of Payments; Debit of Accounts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1" w:lineRule="auto"/>
        <w:tabs>
          <w:tab w:leader="none" w:pos="24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Co-Borrowers under any Loan Document shall be made in immediately available funds in Dollars, without setoff or counterclaim, before 3:00 p.m. Eastern time on the date when due. Payments of principal and/or interest received after 3:00 p.m. Eastern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Bank has the exclusive right to determine the order and manner in which all payments with respect to the Obligations may be applied, and Co-Borrowers shall have no right to specify the order or the accounts to which Bank shall allocate or apply any payments required to be made by Co-Borrowers to Bank or otherwise received by Bank under this Agreement when any such allocation or application is not specified elsewhere in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5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shall debit first, the Designated Deposit Account, and if there are insufficient funds in the Designated Deposit Account, then Co-Borrower’s other deposit accounts, for principal and interest payments or any other amounts Co-Borrowers owe Bank when due; provided, however, that so long as no Event of Default has occurred and is continuing, Bank shall use commercially reasonable efforts to provide notice to Co-Borrowers before debiting Co-Borrower’s deposit accounts for amounts other than principal and interest payments. These debits shall not constitute a set-off.</w:t>
      </w:r>
    </w:p>
    <w:p>
      <w:pPr>
        <w:spacing w:after="0" w:line="17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3" w:lineRule="auto"/>
        <w:tabs>
          <w:tab w:leader="none" w:pos="22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received by Bank from Co-Borrowers under this Agreement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Co-Borrowers to make any withholding or deduction from any such payment or other sum payable hereunder to Bank, Co-Borrowers hereby covenant and agree that the amount due from Co-Borrowers with respect to such payment or other sum payable hereunder will be increased to the extent necessary to ensure that, after the making of such required withholding or deduction, Bank receives a net sum equal to the sum which it would have received had no withholding or deduction been required, and Co-Borrowers shall pay the full amount withheld or deducted to the relevant Governmental Authority. Co-Borrowers will, upon request, furnish Bank with proof reasonably satisfactory to Bank indicating that Co-Borrowers have made such withholding payment; provided, however, that Co-Borrowers need not make any withholding payment if the amount or validity of such withholding payment is contested in good faith by appropriate and timely proceedings and as to which payment in full is bonded or reserved against by Co-Borrowers. The agreements and obligations of Co-Borrowers contained in this Section 2.6 shall survive the termination of this Agreement.</w:t>
      </w:r>
    </w:p>
    <w:p>
      <w:pPr>
        <w:spacing w:after="0" w:line="189" w:lineRule="exact"/>
        <w:rPr>
          <w:rFonts w:ascii="Times New Roman" w:cs="Times New Roman" w:eastAsia="Times New Roman" w:hAnsi="Times New Roman"/>
          <w:sz w:val="18"/>
          <w:szCs w:val="18"/>
          <w:color w:val="auto"/>
        </w:rPr>
      </w:pPr>
    </w:p>
    <w:p>
      <w:pPr>
        <w:ind w:right="20" w:firstLine="1304"/>
        <w:spacing w:after="0" w:line="282" w:lineRule="auto"/>
        <w:tabs>
          <w:tab w:leader="none" w:pos="230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2.6(a) or otherwise herein, Bank and Co-Borrowers each hereby agree to the terms and conditions set forth on Schedule 2.6 attached hereto.</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5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shall not be increased under Section 2.6(a) above or paragraph 2 of Schedule 2.6 by reason of a UK Tax Deduction if, on the date on which the payment falls due:</w:t>
      </w:r>
    </w:p>
    <w:p>
      <w:pPr>
        <w:spacing w:after="0" w:line="161" w:lineRule="exact"/>
        <w:rPr>
          <w:rFonts w:ascii="Times New Roman" w:cs="Times New Roman" w:eastAsia="Times New Roman" w:hAnsi="Times New Roman"/>
          <w:sz w:val="18"/>
          <w:szCs w:val="18"/>
          <w:color w:val="auto"/>
        </w:rPr>
      </w:pPr>
    </w:p>
    <w:p>
      <w:pPr>
        <w:jc w:val="both"/>
        <w:ind w:left="1960" w:firstLine="640"/>
        <w:spacing w:after="0" w:line="261" w:lineRule="auto"/>
        <w:tabs>
          <w:tab w:leader="none" w:pos="392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could have been made to Bank without a UK Tax Deduction if Bank had been a UK Qualifying Lender, but on that date Bank is not or has ceased to be a UK Qualifying Lender other than as a result of any change after the date it became Bank under this Agreement in (or in the interpretation, administration, or application of) any law or UK Treaty or any published practice or published concession of any relevant taxing authority; or</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3440" w:hanging="840"/>
        <w:spacing w:after="0"/>
        <w:tabs>
          <w:tab w:leader="none" w:pos="3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is a UK Qualifying Lender solely by virtue of paragraph (a)(ii) of the definition of “UK Qualifying</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and:</w:t>
      </w:r>
    </w:p>
    <w:p>
      <w:pPr>
        <w:spacing w:after="0" w:line="207" w:lineRule="exact"/>
        <w:rPr>
          <w:sz w:val="20"/>
          <w:szCs w:val="20"/>
          <w:color w:val="auto"/>
        </w:rPr>
      </w:pPr>
    </w:p>
    <w:p>
      <w:pPr>
        <w:jc w:val="both"/>
        <w:ind w:left="3240" w:hanging="640"/>
        <w:spacing w:after="0" w:line="266" w:lineRule="auto"/>
        <w:tabs>
          <w:tab w:leader="none" w:pos="3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of H.M. Revenue &amp; Customs has given (and not revoked) a direction (a “Direction”) under section 931 of the ITA which relates to the payment and that Bank has received from Co-Borrower making the payment a certified copy of that Direction; and</w:t>
      </w:r>
    </w:p>
    <w:p>
      <w:pPr>
        <w:spacing w:after="0" w:line="17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could have been made to Bank without any Tax Deduction if that Direction had not been made; or</w:t>
      </w:r>
    </w:p>
    <w:p>
      <w:pPr>
        <w:spacing w:after="0" w:line="237" w:lineRule="exact"/>
        <w:rPr>
          <w:sz w:val="20"/>
          <w:szCs w:val="20"/>
          <w:color w:val="auto"/>
        </w:rPr>
      </w:pPr>
    </w:p>
    <w:p>
      <w:pPr>
        <w:ind w:left="3460" w:hanging="860"/>
        <w:spacing w:after="0"/>
        <w:tabs>
          <w:tab w:leader="none" w:pos="3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is a UK Qualifying Lender solely by virtue of paragraph (a)(ii) of the definition of “UK Qualifying</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and:</w:t>
      </w:r>
    </w:p>
    <w:p>
      <w:pPr>
        <w:spacing w:after="0" w:line="207" w:lineRule="exact"/>
        <w:rPr>
          <w:sz w:val="20"/>
          <w:szCs w:val="20"/>
          <w:color w:val="auto"/>
        </w:rPr>
      </w:pPr>
    </w:p>
    <w:p>
      <w:pPr>
        <w:ind w:left="3240" w:hanging="640"/>
        <w:spacing w:after="0"/>
        <w:tabs>
          <w:tab w:leader="none" w:pos="3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has not given a Tax Confirmation to UK Borrower; and</w:t>
      </w:r>
    </w:p>
    <w:p>
      <w:pPr>
        <w:spacing w:after="0" w:line="225" w:lineRule="exact"/>
        <w:rPr>
          <w:sz w:val="20"/>
          <w:szCs w:val="20"/>
          <w:color w:val="auto"/>
        </w:rPr>
      </w:pPr>
    </w:p>
    <w:p>
      <w:pPr>
        <w:jc w:val="both"/>
        <w:ind w:left="1960" w:firstLine="640"/>
        <w:spacing w:after="0" w:line="256" w:lineRule="auto"/>
        <w:tabs>
          <w:tab w:leader="none" w:pos="32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could have been made to Bank without any Tax Deduction if Bank had given a Tax Confirmation to UK Borrower, on the basis that the Tax Confirmation would have enabled UK Borrower to have formed a reasonable belief that the payment was an “excepted payment” for the purpose of section 930 of the ITA; or Bank is a UK Qualifying Lender (or would be a UK Qualifying Lender upon the completion of any necessary procedural formalities) and Co-Borrower making the payment is able to demonstrate that the payment could have been made to Bank without the UK Tax Deduction had Bank complied with its obligations under Sections 2.6(d)(i) or (ii) (as applicable) below.</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w:t>
      </w:r>
    </w:p>
    <w:p>
      <w:pPr>
        <w:spacing w:after="0" w:line="225" w:lineRule="exact"/>
        <w:rPr>
          <w:sz w:val="20"/>
          <w:szCs w:val="20"/>
          <w:color w:val="auto"/>
        </w:rPr>
      </w:pPr>
    </w:p>
    <w:p>
      <w:pPr>
        <w:jc w:val="both"/>
        <w:ind w:left="1960" w:firstLine="640"/>
        <w:spacing w:after="0" w:line="266" w:lineRule="auto"/>
        <w:tabs>
          <w:tab w:leader="none" w:pos="38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2.6(d)(ii) below, Bank and UK Borrower which makes a payment to Bank shall cooperate in completing any procedural formalities necessary for UK Borrower to obtain authorization to make such payment without a UK Tax Deduction.</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(ii)</w:t>
      </w:r>
    </w:p>
    <w:p>
      <w:pPr>
        <w:spacing w:after="0" w:line="225" w:lineRule="exact"/>
        <w:rPr>
          <w:sz w:val="20"/>
          <w:szCs w:val="20"/>
          <w:color w:val="auto"/>
        </w:rPr>
      </w:pPr>
    </w:p>
    <w:p>
      <w:pPr>
        <w:jc w:val="both"/>
        <w:ind w:left="3240" w:hanging="640"/>
        <w:spacing w:after="0" w:line="266" w:lineRule="auto"/>
        <w:tabs>
          <w:tab w:leader="none" w:pos="3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Bank holds a passport under the HMRC DT Treaty Passport scheme and wishes such scheme to apply to this Agreement, it shall provide its scheme reference number and its jurisdiction of tax residence to UK Borrower in Schedule 1 hereto;</w:t>
      </w:r>
    </w:p>
    <w:p>
      <w:pPr>
        <w:spacing w:after="0" w:line="175" w:lineRule="exact"/>
        <w:rPr>
          <w:rFonts w:ascii="Times New Roman" w:cs="Times New Roman" w:eastAsia="Times New Roman" w:hAnsi="Times New Roman"/>
          <w:sz w:val="18"/>
          <w:szCs w:val="18"/>
          <w:color w:val="auto"/>
        </w:rPr>
      </w:pPr>
    </w:p>
    <w:p>
      <w:pPr>
        <w:jc w:val="both"/>
        <w:ind w:left="3240" w:hanging="640"/>
        <w:spacing w:after="0" w:line="261" w:lineRule="auto"/>
        <w:tabs>
          <w:tab w:leader="none" w:pos="3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Treaty Lender which is not Bank as of the date of this Agreement and that holds a passport under the HMRC DT Treaty Passport scheme, and which wishes that scheme to apply to this Agreement, shall confirm its scheme reference number and its jurisdiction of tax residence in the documentation which it executes on becoming party as Bank;</w:t>
      </w:r>
    </w:p>
    <w:p>
      <w:pPr>
        <w:spacing w:after="0" w:line="18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and, having done so, Bank shall have satisfied its obligation under Section 2.6(d)(i) above.</w:t>
      </w:r>
    </w:p>
    <w:p>
      <w:pPr>
        <w:spacing w:after="0" w:line="225" w:lineRule="exact"/>
        <w:rPr>
          <w:sz w:val="20"/>
          <w:szCs w:val="20"/>
          <w:color w:val="auto"/>
        </w:rPr>
      </w:pPr>
    </w:p>
    <w:p>
      <w:pPr>
        <w:ind w:left="2360" w:hanging="1056"/>
        <w:spacing w:after="0"/>
        <w:tabs>
          <w:tab w:leader="none" w:pos="23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Bank has confirmed its scheme reference number and its jurisdiction of tax residence in accordance with Section 2.6(d)</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UK Borrower shall make a Borrower DTTP Filing with respect to Bank, and shall promptly provide Bank with a copy of such filing;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w:t>
      </w:r>
    </w:p>
    <w:p>
      <w:pPr>
        <w:spacing w:after="0" w:line="181" w:lineRule="exact"/>
        <w:rPr>
          <w:rFonts w:ascii="Times New Roman" w:cs="Times New Roman" w:eastAsia="Times New Roman" w:hAnsi="Times New Roman"/>
          <w:sz w:val="18"/>
          <w:szCs w:val="18"/>
          <w:color w:val="auto"/>
        </w:rPr>
      </w:pPr>
    </w:p>
    <w:p>
      <w:pPr>
        <w:ind w:left="3300" w:hanging="700"/>
        <w:spacing w:after="0"/>
        <w:tabs>
          <w:tab w:leader="none" w:pos="33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Borrower making a payment to Bank has not made a Borrower DTTP Filing in respect of Bank; or</w:t>
      </w:r>
    </w:p>
    <w:p>
      <w:pPr>
        <w:spacing w:after="0" w:line="225" w:lineRule="exact"/>
        <w:rPr>
          <w:rFonts w:ascii="Times New Roman" w:cs="Times New Roman" w:eastAsia="Times New Roman" w:hAnsi="Times New Roman"/>
          <w:sz w:val="18"/>
          <w:szCs w:val="18"/>
          <w:color w:val="auto"/>
        </w:rPr>
      </w:pPr>
    </w:p>
    <w:p>
      <w:pPr>
        <w:ind w:left="3320" w:hanging="720"/>
        <w:spacing w:after="0"/>
        <w:tabs>
          <w:tab w:leader="none" w:pos="33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Borrower making a payment to Bank has made a Borrower DTTP Filing in respect of Bank but: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3520" w:hanging="920"/>
        <w:spacing w:after="0"/>
        <w:tabs>
          <w:tab w:leader="none" w:pos="3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DTTP Filing has been rejected by HMRC;</w:t>
      </w:r>
    </w:p>
    <w:p>
      <w:pPr>
        <w:spacing w:after="0" w:line="225" w:lineRule="exact"/>
        <w:rPr>
          <w:rFonts w:ascii="Times New Roman" w:cs="Times New Roman" w:eastAsia="Times New Roman" w:hAnsi="Times New Roman"/>
          <w:sz w:val="18"/>
          <w:szCs w:val="18"/>
          <w:color w:val="auto"/>
        </w:rPr>
      </w:pPr>
    </w:p>
    <w:p>
      <w:pPr>
        <w:ind w:left="1960" w:right="20" w:firstLine="640"/>
        <w:spacing w:after="0" w:line="282" w:lineRule="auto"/>
        <w:tabs>
          <w:tab w:leader="none" w:pos="37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HMRC has not given UK Borrower authority to make payments to Bank without a deduction for tax within 60 days of the date of such Borrower DTTP Filing; or</w:t>
      </w:r>
    </w:p>
    <w:p>
      <w:pPr>
        <w:spacing w:after="0" w:line="161" w:lineRule="exact"/>
        <w:rPr>
          <w:rFonts w:ascii="Times New Roman" w:cs="Times New Roman" w:eastAsia="Times New Roman" w:hAnsi="Times New Roman"/>
          <w:sz w:val="18"/>
          <w:szCs w:val="18"/>
          <w:color w:val="auto"/>
        </w:rPr>
      </w:pPr>
    </w:p>
    <w:p>
      <w:pPr>
        <w:ind w:left="1960" w:firstLine="640"/>
        <w:spacing w:after="0" w:line="282" w:lineRule="auto"/>
        <w:tabs>
          <w:tab w:leader="none" w:pos="36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HMRC has given UK Borrower authority to make payments to Bank without a UK Tax Deduction but such authority has subsequently been revoked or expired,</w:t>
      </w:r>
    </w:p>
    <w:p>
      <w:pPr>
        <w:spacing w:after="0" w:line="162" w:lineRule="exact"/>
        <w:rPr>
          <w:sz w:val="20"/>
          <w:szCs w:val="20"/>
          <w:color w:val="auto"/>
        </w:rPr>
      </w:pPr>
    </w:p>
    <w:p>
      <w:pPr>
        <w:jc w:val="both"/>
        <w:ind w:left="1960" w:right="20"/>
        <w:spacing w:after="0" w:line="266" w:lineRule="auto"/>
        <w:rPr>
          <w:sz w:val="20"/>
          <w:szCs w:val="20"/>
          <w:color w:val="auto"/>
        </w:rPr>
      </w:pPr>
      <w:r>
        <w:rPr>
          <w:rFonts w:ascii="Times New Roman" w:cs="Times New Roman" w:eastAsia="Times New Roman" w:hAnsi="Times New Roman"/>
          <w:sz w:val="18"/>
          <w:szCs w:val="18"/>
          <w:color w:val="auto"/>
        </w:rPr>
        <w:t>and in each case, UK Borrower has notified Bank in writing, Bank and UK Borrower shall co-operate in completing any additional procedural formalities necessary for UK Borrower to obtain authorization to make that payment without a UK Tax Deduction.</w:t>
      </w:r>
    </w:p>
    <w:p>
      <w:pPr>
        <w:spacing w:after="0" w:line="176" w:lineRule="exact"/>
        <w:rPr>
          <w:sz w:val="20"/>
          <w:szCs w:val="20"/>
          <w:color w:val="auto"/>
        </w:rPr>
      </w:pPr>
    </w:p>
    <w:p>
      <w:pPr>
        <w:ind w:left="2300" w:hanging="996"/>
        <w:spacing w:after="0"/>
        <w:tabs>
          <w:tab w:leader="none" w:pos="2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Bank has not confirmed its scheme reference number and jurisdiction of tax residence in accordance with Section 2.6(d)</w:t>
      </w:r>
    </w:p>
    <w:p>
      <w:pPr>
        <w:spacing w:after="0" w:line="27" w:lineRule="exact"/>
        <w:rPr>
          <w:rFonts w:ascii="Times New Roman" w:cs="Times New Roman" w:eastAsia="Times New Roman" w:hAnsi="Times New Roman"/>
          <w:sz w:val="18"/>
          <w:szCs w:val="18"/>
          <w:color w:val="auto"/>
        </w:rPr>
      </w:pPr>
    </w:p>
    <w:p>
      <w:pPr>
        <w:ind w:right="20" w:firstLine="8"/>
        <w:spacing w:after="0" w:line="260" w:lineRule="auto"/>
        <w:tabs>
          <w:tab w:leader="none" w:pos="2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UK Borrower shall not make a Borrower DTTP Filing or file any other form relating to the HMRC DT Treaty Passport scheme in respect of Bank’s participation in any Term Loan Advance unless Bank otherwise agrees.</w:t>
      </w:r>
    </w:p>
    <w:p>
      <w:pPr>
        <w:spacing w:after="0" w:line="18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Borrower shall, promptly on making a Borrower DTTP Filing, deliver a copy of such Borrower DTTP Filing to Bank.</w:t>
      </w:r>
    </w:p>
    <w:p>
      <w:pPr>
        <w:spacing w:after="0" w:line="225"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Non-Bank Lender shall promptly notify UK Borrower if there is any change in the position from that set out in the Tax</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w:t>
      </w:r>
    </w:p>
    <w:p>
      <w:pPr>
        <w:spacing w:after="0" w:line="206"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Status Confirmation</w:t>
      </w:r>
    </w:p>
    <w:p>
      <w:pPr>
        <w:spacing w:after="0" w:line="225" w:lineRule="exact"/>
        <w:rPr>
          <w:sz w:val="20"/>
          <w:szCs w:val="20"/>
          <w:color w:val="auto"/>
        </w:rPr>
      </w:pPr>
    </w:p>
    <w:p>
      <w:pPr>
        <w:ind w:left="1960" w:firstLine="640"/>
        <w:spacing w:after="0" w:line="282" w:lineRule="auto"/>
        <w:tabs>
          <w:tab w:leader="none" w:pos="36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Bank which is not Bank as of the date of this Agreement shall indicate, in the documentation which it executes on becoming a party as Bank which of the following categories it falls in:</w:t>
      </w:r>
    </w:p>
    <w:p>
      <w:pPr>
        <w:spacing w:after="0" w:line="162" w:lineRule="exact"/>
        <w:rPr>
          <w:sz w:val="20"/>
          <w:szCs w:val="20"/>
          <w:color w:val="auto"/>
        </w:rPr>
      </w:pPr>
    </w:p>
    <w:p>
      <w:pPr>
        <w:ind w:left="3520" w:hanging="920"/>
        <w:spacing w:after="0"/>
        <w:tabs>
          <w:tab w:leader="none" w:pos="3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Qualifying Lender;</w:t>
      </w:r>
    </w:p>
    <w:p>
      <w:pPr>
        <w:spacing w:after="0" w:line="225" w:lineRule="exact"/>
        <w:rPr>
          <w:rFonts w:ascii="Times New Roman" w:cs="Times New Roman" w:eastAsia="Times New Roman" w:hAnsi="Times New Roman"/>
          <w:sz w:val="18"/>
          <w:szCs w:val="18"/>
          <w:color w:val="auto"/>
        </w:rPr>
      </w:pPr>
    </w:p>
    <w:p>
      <w:pPr>
        <w:ind w:left="3520" w:hanging="920"/>
        <w:spacing w:after="0"/>
        <w:tabs>
          <w:tab w:leader="none" w:pos="3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Lender (other than a Treaty Lender); or</w:t>
      </w:r>
    </w:p>
    <w:p>
      <w:pPr>
        <w:spacing w:after="0" w:line="225" w:lineRule="exact"/>
        <w:rPr>
          <w:rFonts w:ascii="Times New Roman" w:cs="Times New Roman" w:eastAsia="Times New Roman" w:hAnsi="Times New Roman"/>
          <w:sz w:val="18"/>
          <w:szCs w:val="18"/>
          <w:color w:val="auto"/>
        </w:rPr>
      </w:pPr>
    </w:p>
    <w:p>
      <w:pPr>
        <w:ind w:left="3520" w:hanging="920"/>
        <w:spacing w:after="0"/>
        <w:tabs>
          <w:tab w:leader="none" w:pos="3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Treaty Lender.</w:t>
      </w:r>
    </w:p>
    <w:p>
      <w:pPr>
        <w:spacing w:after="0" w:line="225" w:lineRule="exact"/>
        <w:rPr>
          <w:sz w:val="20"/>
          <w:szCs w:val="20"/>
          <w:color w:val="auto"/>
        </w:rPr>
      </w:pPr>
    </w:p>
    <w:p>
      <w:pPr>
        <w:jc w:val="both"/>
        <w:ind w:left="2600"/>
        <w:spacing w:after="0" w:line="261" w:lineRule="auto"/>
        <w:rPr>
          <w:sz w:val="20"/>
          <w:szCs w:val="20"/>
          <w:color w:val="auto"/>
        </w:rPr>
      </w:pPr>
      <w:r>
        <w:rPr>
          <w:rFonts w:ascii="Times New Roman" w:cs="Times New Roman" w:eastAsia="Times New Roman" w:hAnsi="Times New Roman"/>
          <w:sz w:val="18"/>
          <w:szCs w:val="18"/>
          <w:color w:val="auto"/>
        </w:rPr>
        <w:t>If such Bank fails to indicate its status in accordance with this Section 2.6(i) then that Bank shall be treated for the purposes of this Agreement (including by UK Borrower) as if it is not a Qualifying Lender until such time as it notifies UK Borrower which category applies. For the avoidance of doubt, the documentation which a Bank executes on becoming a party as Bank shall not be invalidated by any failure of a Bank to comply with this Section 2.6(i).</w:t>
      </w:r>
    </w:p>
    <w:p>
      <w:pPr>
        <w:spacing w:after="0" w:line="180" w:lineRule="exact"/>
        <w:rPr>
          <w:sz w:val="20"/>
          <w:szCs w:val="20"/>
          <w:color w:val="auto"/>
        </w:rPr>
      </w:pPr>
    </w:p>
    <w:p>
      <w:pPr>
        <w:jc w:val="both"/>
        <w:ind w:firstLine="1304"/>
        <w:spacing w:after="0" w:line="256" w:lineRule="auto"/>
        <w:tabs>
          <w:tab w:leader="none" w:pos="22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if Bank assigns or transfers any of its rights or obligations with respect to a Term Loan Advance or changes its lending office in respect of such Term Loan Advance, and as a result of circumstances existing at the date the assignment, transfer or change occurs, a Co-Borrower would be obliged to make a payment to the successor or assign or Bank acting through its new lending office under Section 2.6(a) or paragraph 4 of Schedule 2.6 in respect of a UK Tax Deduction, then such successor or assign or Bank acting through its new lending office is only entitled to receive payment under those Sections to the same extent as the assigning or transferring Bank or Bank acting through its previous lending office would have been if the assignment, transfer or change had not occurred.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1280" w:hanging="624"/>
        <w:spacing w:after="0"/>
        <w:tabs>
          <w:tab w:leader="none" w:pos="12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OF LOANS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 Conditions Precedent to Initial Credit Extension. </w:t>
      </w:r>
      <w:r>
        <w:rPr>
          <w:rFonts w:ascii="Times New Roman" w:cs="Times New Roman" w:eastAsia="Times New Roman" w:hAnsi="Times New Roman"/>
          <w:sz w:val="18"/>
          <w:szCs w:val="18"/>
          <w:color w:val="auto"/>
        </w:rPr>
        <w:t>Bank’s obligation to make the initial Credit Extension is subject to the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precedent that Bank shall have received, in form and substance satisfactory to Bank, such documents, and completion of such other matters, as Bank may reasonably deem necessary or appropriate, including, without limitation:</w:t>
      </w:r>
    </w:p>
    <w:p>
      <w:pPr>
        <w:spacing w:after="0" w:line="175" w:lineRule="exact"/>
        <w:rPr>
          <w:sz w:val="20"/>
          <w:szCs w:val="20"/>
          <w:color w:val="auto"/>
        </w:rPr>
      </w:pPr>
    </w:p>
    <w:p>
      <w:pPr>
        <w:ind w:left="2220" w:hanging="916"/>
        <w:spacing w:after="0"/>
        <w:tabs>
          <w:tab w:leader="none" w:pos="2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signatures to the Loan Documents;</w:t>
      </w:r>
    </w:p>
    <w:p>
      <w:pPr>
        <w:spacing w:after="0" w:line="225"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signatures to the UK Security Documents, together with any notices required thereunder;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delivered pursuant to Sections 3.1(d) or 3.1(f), each Co-Borrower’s Operating Documents and in the case of the US Borrower, it’s long-form good standing certificate of the US borrower certified by the Secretary of State (or equivalent agency) of such US Borrower’s jurisdiction of organization or formation (as the case may be) and each jurisdiction in which such US Borrower is qualified to conduct business, each as of a date no earlier than thirty (30) days prior to the Effective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5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secretary’s or director’s certificate of the US Borrower with respect to such US Borrower’s Operating Documents, incumbency, specimen signatures and resolutions authorizing the execution and delivery of this Agreement and the other Loan Documents to which it is a party;</w:t>
      </w:r>
    </w:p>
    <w:p>
      <w:pPr>
        <w:spacing w:after="0" w:line="175"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signatures to the completed Borrowing Resolutions for each Co-Borrower;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director of UK Borrower attaching its certificate of incorporation, certificate of incorporation on change of name (if any), memorandum and articles of association, board minutes (approving the entry into the Loan Documents) and specimen signatures;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34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 and (ii) with respect to UK Borrower, updated Companies House searches dated on or about the date of this Agreement revealing no charges registered against UK Borrower and clear searches of the Central Registry of Winding Up Petitions;</w:t>
      </w:r>
    </w:p>
    <w:p>
      <w:pPr>
        <w:spacing w:after="0" w:line="183"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Perfection Certificates of Co-Borrowers from each Co-Borrower, together with the duly executed signatures thereto;</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5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landlord’s consent in favor of Bank for each of US Borrower’s leased locations, by the respective landlord thereof, together with the duly executed original signatures thereto;</w:t>
      </w:r>
    </w:p>
    <w:p>
      <w:pPr>
        <w:spacing w:after="0" w:line="161"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policies required pursuant to Section 6.4 hereof; and</w:t>
      </w:r>
    </w:p>
    <w:p>
      <w:pPr>
        <w:spacing w:after="0" w:line="225"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fees and Bank Expenses then due as specified in Section 2.4 hereof.</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 Conditions Precedent to all Credit Extensions. </w:t>
      </w:r>
      <w:r>
        <w:rPr>
          <w:rFonts w:ascii="Times New Roman" w:cs="Times New Roman" w:eastAsia="Times New Roman" w:hAnsi="Times New Roman"/>
          <w:sz w:val="18"/>
          <w:szCs w:val="18"/>
          <w:color w:val="auto"/>
        </w:rPr>
        <w:t>Bank’s obligations to make each Credit Extension, including the initial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is subject to the following conditions precedent:</w:t>
      </w:r>
    </w:p>
    <w:p>
      <w:pPr>
        <w:spacing w:after="0" w:line="159" w:lineRule="exact"/>
        <w:rPr>
          <w:sz w:val="20"/>
          <w:szCs w:val="20"/>
          <w:color w:val="auto"/>
        </w:rPr>
      </w:pPr>
    </w:p>
    <w:p>
      <w:pPr>
        <w:ind w:left="2180" w:hanging="876"/>
        <w:spacing w:after="0"/>
        <w:tabs>
          <w:tab w:leader="none" w:pos="2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an executed Payment/Advance Form and any materials and documents required by Section 3.4;</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2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in this Agreement shall be true, accurate, and complete in all material respects on the date of the proposed Credit Extension and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Co-Borrowers’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2180" w:hanging="876"/>
        <w:spacing w:after="0"/>
        <w:tabs>
          <w:tab w:leader="none" w:pos="2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the Term A Loan Advance, completion of the postclosing items set forth in Section 6.6 hereof; and</w:t>
      </w:r>
    </w:p>
    <w:p>
      <w:pPr>
        <w:spacing w:after="0" w:line="225"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determines in its good faith business discretion that there has not been a Material Adverse Change.</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 Covenant to Deliver. </w:t>
      </w:r>
      <w:r>
        <w:rPr>
          <w:rFonts w:ascii="Times New Roman" w:cs="Times New Roman" w:eastAsia="Times New Roman" w:hAnsi="Times New Roman"/>
          <w:sz w:val="18"/>
          <w:szCs w:val="18"/>
          <w:color w:val="auto"/>
        </w:rPr>
        <w:t>Co-Borrowers agree to deliver to Bank each item required to be delivered to Bank under this Agreement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precedent to any Credit Extension. Co-Borrowers expressly agree that a Credit Extension made prior to the receipt by Bank of any such item shall not constitute a waiver by Bank of Co-Borrowers’ obligation to deliver such item, and the making of any Credit Extension in the absence of a required item shall be in Bank’s sole discretion.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3.4 Procedures for Borrowing</w:t>
      </w:r>
      <w:r>
        <w:rPr>
          <w:rFonts w:ascii="Times New Roman" w:cs="Times New Roman" w:eastAsia="Times New Roman" w:hAnsi="Times New Roman"/>
          <w:sz w:val="18"/>
          <w:szCs w:val="18"/>
          <w:color w:val="auto"/>
        </w:rPr>
        <w:t>. Subject to the prior satisfaction of all other applicable conditions to the making of a Term Loan Advance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Agreement, to obtain a Term Loan Advance, Co-Borrowers shall notify Bank (which notice shall be irrevocable) by electronic mail by 3:00 Eastern time on the Funding Date of the Term Loan Advance. Such notice shall be made by Co-Borrowers through Bank’s online banking program, provided, however, if Co-Borrowers are not utilizing Bank’s online banking program, then such notice shall be in a written format acceptable to Bank that is executed by an Authorized Signer. Bank shall have received satisfactory evidence that the Board of Directors has approved that such Authorized Signer may provide such notices and request Term Loan Advances. In connection with such notification, Co-Borrowers must promptly deliver to Bank by electronic mail or through Bank’s online banking program a completed Payment/Advance Form executed by an Authorized Signer together with such other reports and information required hereunder. Bank shall credit proceeds of any Term Loan Advance to the Designated Deposit Account. Bank may make Term Loan Advances under this Agreement based on instructions from an Authorized Signer or without instructions if the Term Loan Advances are necessary to meet Obligations which have become due.</w:t>
      </w:r>
    </w:p>
    <w:p>
      <w:pPr>
        <w:spacing w:after="0" w:line="185" w:lineRule="exact"/>
        <w:rPr>
          <w:sz w:val="20"/>
          <w:szCs w:val="20"/>
          <w:color w:val="auto"/>
        </w:rPr>
      </w:pPr>
    </w:p>
    <w:p>
      <w:pPr>
        <w:ind w:left="1280" w:hanging="624"/>
        <w:spacing w:after="0"/>
        <w:tabs>
          <w:tab w:leader="none" w:pos="12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CREATION OF SECURITY INTEREST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 Grant of Security Interest. </w:t>
      </w:r>
      <w:r>
        <w:rPr>
          <w:rFonts w:ascii="Times New Roman" w:cs="Times New Roman" w:eastAsia="Times New Roman" w:hAnsi="Times New Roman"/>
          <w:sz w:val="18"/>
          <w:szCs w:val="18"/>
          <w:color w:val="auto"/>
        </w:rPr>
        <w:t>US Borrower hereby grants Bank, to secure the payment and performance in full of all of the Obligations,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security interest in, and pledges to Bank, the Collateral, wherever located, whether now owned or hereafter acquired or arising, and all proceeds and products thereof. All Obligations are also secured by the UK Security Documents and any and all other security agreements, mortgages, or other collateral granted to Bank by a Co-Borrower or Guarantor as security for the Obligations, now or in the future as required pursuant to terms of this Loan and Security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Co-Borrower acknowledges that it previously has entered, and/or may in the future enter, into Bank Services Agreements with Bank. Regardless of the terms of any Bank Services Agreement, Co-Borrowers agree that any amounts Co-Borrowers owe Bank thereunder shall be deemed to be Obligations hereunder and that it is the intent of Co-Borrowers and Bank to have all such Obligations secured by the first priority perfected security interest in the Collateral granted herein by the US Borrower only and in the UK Security Documents by the UK Borrower only (subject only to Permitted Liens that are permitted pursuant to the terms of this Agreement to have superior priority to Bank’s Lien in this Agreement).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this Agreement is terminated, Bank’s Lien in the Collateral shall continue until the Obligations (other than inchoate indemnity obligations) are irrevocably repaid in full in cash. Upon payment in full in cash of the Obligations (other than inchoate indemnity obligations) and at such time as Bank’s obligation to make Credit Extensions has terminated, Bank shall, at the sole cost and expense of Co-Borrowers, release any guarantee and indemnities, terminate its security interest and release its Liens in the Collateral and all rights therein shall revert to Co-Borrowers including but not limited to the release and/or discharge of any security or any other claim over any assets, business or shares (or equivalent) and issue certificates of non-crystallization, to the extent required. The Bank shall co-operate and do all such things and enter into and execute all such deeds, documents, memoranda, agreements or instruments, return any title documents, terminate any powers of attorney, perform all formalities and provide any consents as may be necessary to give effect to the provisions of any release in relation to this Agreement, the UK Security Documents and any other document relating to such release. In the event (x) all Obligations (other than inchoate indemnity obligations), except for Bank Services, are satisfied in full, and (y) this Agreement is terminated, Bank shall terminate the security interest granted herein and in the UK Security Documents upon Co-Borrowers providing cash collateral acceptable to Bank in its good faith business judgment for Bank Services, if any. In the event such Bank Services consist of outstanding Letters of Credit, US Borrower shall provide to Bank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all interest, fees, and costs due or to become due in connection therewith (as estimated by Bank in its good faith business judgment), to secure all of the Obligations relating to such Letters of Credit.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4.2 Priority of Security Interest. </w:t>
      </w:r>
      <w:r>
        <w:rPr>
          <w:rFonts w:ascii="Times New Roman" w:cs="Times New Roman" w:eastAsia="Times New Roman" w:hAnsi="Times New Roman"/>
          <w:sz w:val="18"/>
          <w:szCs w:val="18"/>
          <w:color w:val="auto"/>
        </w:rPr>
        <w:t>Co-Borrowers represent, warrant, and covenant that, subject to Legal Reservations, the security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herein by the US Borrower and in the UK Security Documents by the UK Borrower is and shall at all times continue to be a first priority perfected security interest in the Collateral (subject only to Permitted Liens that are permitted pursuant to the terms of this Agreement to have superior priority to Bank’s Lien under this Agreement). If any Co-Borrower acquires any commercial tort claims in an amount in excess of Two Hundred Fifty Thousand Dollars ($250,000) in the aggregate, such Co-Borrower shall promptly notify Bank in a writing signed by Co-Borrower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4.3 Authorization to File Financing Statements. </w:t>
      </w:r>
      <w:r>
        <w:rPr>
          <w:rFonts w:ascii="Times New Roman" w:cs="Times New Roman" w:eastAsia="Times New Roman" w:hAnsi="Times New Roman"/>
          <w:sz w:val="18"/>
          <w:szCs w:val="18"/>
          <w:color w:val="auto"/>
        </w:rPr>
        <w:t>Co-Borrowers hereby authorize Bank to file financing statements (or the equivalent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jurisdiction, if any), without notice to Co-Borrowers, with all appropriate jurisdictions to perfect or protect Bank’s interest or rights hereunder.</w:t>
      </w:r>
    </w:p>
    <w:p>
      <w:pPr>
        <w:spacing w:after="0" w:line="155" w:lineRule="exact"/>
        <w:rPr>
          <w:sz w:val="20"/>
          <w:szCs w:val="20"/>
          <w:color w:val="auto"/>
        </w:rPr>
      </w:pPr>
    </w:p>
    <w:p>
      <w:pPr>
        <w:ind w:left="1280" w:hanging="624"/>
        <w:spacing w:after="0"/>
        <w:tabs>
          <w:tab w:leader="none" w:pos="12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Co-Borrower represents and warrants as follows:</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5.1 Due Organization, Authorization; Power and Authority. </w:t>
      </w:r>
      <w:r>
        <w:rPr>
          <w:rFonts w:ascii="Times New Roman" w:cs="Times New Roman" w:eastAsia="Times New Roman" w:hAnsi="Times New Roman"/>
          <w:sz w:val="18"/>
          <w:szCs w:val="18"/>
          <w:color w:val="auto"/>
        </w:rPr>
        <w:t>US Borrower is duly existing and in good standing as a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in its jurisdiction of formation and is qualified and licensed to do business and is in good standing (as applicable in the relevant jurisdiction) in any jurisdiction in which the conduct of its business or its ownership of property requires that it be qualified except where the failure to do so could not reasonably be expected to have a material adverse effect on Co-Borrower’s business. UK Borrower is a public limited company, duly incorporated and validly existing under the laws of England and Wales and has the power to carry on its business as it is now being conducted and to own its assets. In connection with this Agreement, Co-Borrower has delivered to Bank a completed certificate signed by Co-Borrower, entitled “Perfection Certificate” (the “</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Co-Borrower represents and warrants to Bank that (a) Co-Borrower’s exact legal name is that indicated on the Co-Borrower’s Perfection Certificate and on the signature page hereof; (b) Co-Borrower is an organization of the type and is organized in the jurisdiction set forth in the Co-Borrower’s Perfection Certificate; (c) the Co-Borrower’s Perfection Certificate accurately sets forth the Co-Borrower’s organizational identification number and for UK Borrower, its registered company number, or accurately states that Co-Borrower has none; (d) the Co-Borrower’s Perfection Certificate accurately sets forth Co-Borrower’s place of business, or, if more than one, its chief executive office (or for the UK Borrower, the registered office address) as well as Co-Borrower’s mailing addresses (if different than their chief executive office); (e) Co-Borrower (and each of their predecessors) has not, in the past five (5) years, changed its jurisdiction of formation, organizational structure or type, or any organizational number assigned by its jurisdiction; and (f) all other information set forth on Co-Borrower’s Perfection Certificate pertaining to Co-Borrower and each of its Subsidiaries is accurate and complete in all material respects (it being understood and agreed that Co-Borrower may from time to time update certain information in the Perfection Certificate after the Effective Date to the extent permitted by one or more specific provisions in this Agreement) or otherwise with the prior written consent of Bank . If Co-Borrower is not now a Registered Organization but later becomes one, Co-Borrower shall promptly notify Bank of such occurrence and provide Bank with Co-Borrower’s organizational identification number.</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Subject to Legal Reservations, the execution, delivery and performance by Co-Borrower of the Loan Documents to which it is a party have been duly authorized, and do not (i) conflict with any of Co-Borrower’s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Co-Borrower or any of its Subsidiaries or any of their property or assets may be bound or affected, (iv) except in respect of the UK Security Documents, the particulars of which will need to be filed at Companies House in England and Wales under section 859A of the Companies Act 2006 and the associated fees paid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Co-Borrower is bound. Co-Borrower is not in default under any agreement to which it is a party or by which it is bound in which the default could reasonably be expected to have a material adverse effect on Co-Borrower’s business.</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5.2 Collateral. </w:t>
      </w:r>
      <w:r>
        <w:rPr>
          <w:rFonts w:ascii="Times New Roman" w:cs="Times New Roman" w:eastAsia="Times New Roman" w:hAnsi="Times New Roman"/>
          <w:sz w:val="18"/>
          <w:szCs w:val="18"/>
          <w:color w:val="auto"/>
        </w:rPr>
        <w:t>Co-Borrower has good title to, rights in, and the power to transfer each item of the Collateral upon which it purports to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case of US Borrower, a Lien hereunder or, in the case of UK Borrower, pursuant to the UK Security Documents, free and clear of any and all Liens except Permitted Liens. US Borrower has no Collateral Accounts at or with any bank or financial institution other than Bank or Bank’s Affiliates except for the Collateral Accounts described in the Perfection Certificate delivered to Bank in connection herewith and which Co-Borrower has taken such actions as are necessary to give Bank a perfected security interest therein, in each case pursuant to the terms of Section 6.5(c). To the best of US Borrower’s knowledge, the Accounts are bona fide, existing obligations of the Account Debtors.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Collateral of the US Borrower is not in the possession of any third party bailee (such as a warehouse) except as otherwise provided in the Perfection Certificate or as permitted pursuant to Section 7.2. None of the components of the Collateral shall be maintained at locations other than as provided in the Perfection Certificate or as permitted pursuant to Section 7.2.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Inventory is in all material respects of good and marketable quality, free from material defects.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Co-Borrower is the sole owner of the material Intellectual Property which it owns or purports to own except for (a) licenses permitted herein, (b) over-the-counter software that is commercially available to the public, and (c) material Intellectual Property licensed to Co-Borrower in the ordinary course of business. Each Patent which it owns or purports to own and which is material to Co-Borrower’s business is valid and enforceable, and no part of the Intellectual Property which Co-Borrowers own or purport to own and which is material to Co-Borrower’s business has been judged invalid or unenforceable, in whole or in part. To the best of Co-Borrower’s knowledge, no claim has been made that any part of the Intellectual Property violates the rights of any third party except to the extent such claim would not reasonably be expected to have a material adverse effect on Co-Borrower’s business.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noted on the Perfection Certificate or as notice may be provided herein, Co-Borrower is not a party to, nor is it bound by, any Restricted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w:t>
      </w:r>
    </w:p>
    <w:p>
      <w:pPr>
        <w:spacing w:after="0" w:line="20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5.4 Litigation. </w:t>
      </w:r>
      <w:r>
        <w:rPr>
          <w:rFonts w:ascii="Times New Roman" w:cs="Times New Roman" w:eastAsia="Times New Roman" w:hAnsi="Times New Roman"/>
          <w:sz w:val="18"/>
          <w:szCs w:val="18"/>
          <w:color w:val="auto"/>
        </w:rPr>
        <w:t>There are no actions or proceedings pending or, to the knowledge of Co-Borrowers’ Responsible Officers, threatened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or against Co-Borrowers or any of their Subsidiaries in which an adverse decision could reasonably be expected to cause a Material Adverse Change.</w:t>
      </w:r>
    </w:p>
    <w:p>
      <w:pPr>
        <w:spacing w:after="0" w:line="38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5.5 Financial Statements; Financial Condition. </w:t>
      </w:r>
      <w:r>
        <w:rPr>
          <w:rFonts w:ascii="Times New Roman" w:cs="Times New Roman" w:eastAsia="Times New Roman" w:hAnsi="Times New Roman"/>
          <w:sz w:val="18"/>
          <w:szCs w:val="18"/>
          <w:color w:val="auto"/>
        </w:rPr>
        <w:t>All consolidated financial statements for Co-Borrower and any of its Subsidiaries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Bank fairly present in all material respects Co-Borrower’s consolidated financial condition and Co-Borrower’s consolidated results of operations. Co-Borrower has notified Bank in writing of any material deterioration in Co-Borrowers’ consolidated financial condition since the date of the most recent financial statements submitted to Bank.</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5.6 Solvency. </w:t>
      </w:r>
      <w:r>
        <w:rPr>
          <w:rFonts w:ascii="Times New Roman" w:cs="Times New Roman" w:eastAsia="Times New Roman" w:hAnsi="Times New Roman"/>
          <w:sz w:val="18"/>
          <w:szCs w:val="18"/>
          <w:color w:val="auto"/>
        </w:rPr>
        <w:t>The fair salable value of US Borrower’s consolidated assets (including goodwill minus disposition costs) exceeds the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US Borrower’s liabilities; US Borrower is not left with unreasonably small capital after the transactions in this Agreement; and US Borrower is able to pay its debts (including trade debts) as they mature, and UK Borrower is not unable and has not admitted inability to pay its debts as they fall due within the meaning of section 123 of the UK Insolvency Act 1986 and the value of its assets is not less than the value of its liabilities (taking into account its contingent and prospective assets and liabilities).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5.7 Regulatory Compliance. </w:t>
      </w:r>
      <w:r>
        <w:rPr>
          <w:rFonts w:ascii="Times New Roman" w:cs="Times New Roman" w:eastAsia="Times New Roman" w:hAnsi="Times New Roman"/>
          <w:sz w:val="18"/>
          <w:szCs w:val="18"/>
          <w:color w:val="auto"/>
        </w:rPr>
        <w:t>Co-Borrower (other than UK Borrower) is not an “investment company” or a company “controlled”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under the Investment Company Act of 1940, as amended. Co-Borrower (other than UK Borrower) is not engaged as one of its important activities in extending credit for margin stock (under Regulations X, T and U of the Federal Reserve Board of Governors). Co-Borrower (a) has complied in all material respects with all Requirements of Law, and (b) has not violated any Requirements of Law, the violation of which could reasonably be expected to have a material adverse effect on its business. None of Co-Borrower’s or any of its Subsidiaries’ properties or assets have been used by Co-Borrower or any Subsidiary or, to the best of Co-Borrower’s knowledge, by previous Persons, in disposing, producing, storing, treating, or transporting any hazardous substance other than legally. Co-Borrower and each of its Subsidiaries has obtained all consents, approvals and authorizations of, made all declarations or filings with, and given all notices to, all Government Authorities that are necessary to continue their respective businesses as currently conducted</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5.8 Subsidiaries; Investments. </w:t>
      </w:r>
      <w:r>
        <w:rPr>
          <w:rFonts w:ascii="Times New Roman" w:cs="Times New Roman" w:eastAsia="Times New Roman" w:hAnsi="Times New Roman"/>
          <w:sz w:val="18"/>
          <w:szCs w:val="18"/>
          <w:color w:val="auto"/>
        </w:rPr>
        <w:t>Co-Borrower does not own any stock, partnership, or other ownership interest or other equity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Permitted Investments.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5.9 Tax Returns and Payments; Pension Contributions. </w:t>
      </w:r>
      <w:r>
        <w:rPr>
          <w:rFonts w:ascii="Times New Roman" w:cs="Times New Roman" w:eastAsia="Times New Roman" w:hAnsi="Times New Roman"/>
          <w:sz w:val="18"/>
          <w:szCs w:val="18"/>
          <w:color w:val="auto"/>
        </w:rPr>
        <w:t>Co-Borrower has (i) timely filed all required tax returns and reports, and Co-Borrower has (ii) timely paid all foreign, federal, state and local taxes, assessments, deposits and contributions owed by Co-Borrower (as applicable) except in the case of (i) or (ii) above, (a) to the extent such taxes are being contested in good faith by appropriate proceedings promptly instituted and diligently conducted, so long as such reserve or other appropriate provision, if any, as shall be required in conformity with IFRS shall have been made therefor, or (b) if such taxes, assessments, deposits and contributions do not, individually or in the aggregate, exceed Two Hundred Fifty Thousand Dollars ($250,000).</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To the extent Co-Borrower defers payment of any contested taxes, Co-Borrower shall (i) notify Bank in writing of the commencement of, and any material development in, the proceedings, and (ii) if applicable in the relevant jurisdiction, post bonds or take any other steps required to prevent the Governmental Authority levying such contested taxes from obtaining a Lien upon any of the Collateral that is other than a “Permitted Lien.” Co-Borrower is unaware of any claims or adjustments proposed for any of Co-Borrower’s prior tax years which could result in additional taxes becoming due and payable by Co-Borrower in excess of Two Hundred Fifty Thousand Dollars ($250,000). Co-Borrower has paid all amounts necessary to fund all present pension, profit sharing and deferred compensation plans in accordance with their terms, and Co-Borrower has not withdrawn from participation in, and has not permitted partial or complete termination of, or permitted the occurrence of any other event with respect to, any such plan which could reasonably be expected to result in any liability of Co-Borrower, including any liability to the Pension Benefit Guaranty Corporation or its successors or any other governmental agency, or equivalent agency in any relevant jurisdiction.</w:t>
      </w:r>
    </w:p>
    <w:p>
      <w:pPr>
        <w:spacing w:after="0" w:line="18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5.10 Use of Proceeds. </w:t>
      </w:r>
      <w:r>
        <w:rPr>
          <w:rFonts w:ascii="Times New Roman" w:cs="Times New Roman" w:eastAsia="Times New Roman" w:hAnsi="Times New Roman"/>
          <w:sz w:val="18"/>
          <w:szCs w:val="18"/>
          <w:color w:val="auto"/>
        </w:rPr>
        <w:t>Co-Borrower shall use the proceeds of the Credit Extensions solely as working capital and to fund its general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and not for personal, family, household or agricultural purposes.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5.11 Full Disclosure. </w:t>
      </w:r>
      <w:r>
        <w:rPr>
          <w:rFonts w:ascii="Times New Roman" w:cs="Times New Roman" w:eastAsia="Times New Roman" w:hAnsi="Times New Roman"/>
          <w:sz w:val="18"/>
          <w:szCs w:val="18"/>
          <w:color w:val="auto"/>
        </w:rPr>
        <w:t>No written representation, warranty or other statement of Co-Borrower in any certificate or written statement given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as 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(it being recognized by Bank that the projections and forecasts provided by Co-Borrower in good faith and based upon reasonable assumptions are not viewed as facts and that actual results during the period or periods covered by such projections and forecasts may differ from the projected or forecasted results).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5.12 Definition of “Knowledge.” </w:t>
      </w:r>
      <w:r>
        <w:rPr>
          <w:rFonts w:ascii="Times New Roman" w:cs="Times New Roman" w:eastAsia="Times New Roman" w:hAnsi="Times New Roman"/>
          <w:sz w:val="18"/>
          <w:szCs w:val="18"/>
          <w:color w:val="auto"/>
        </w:rPr>
        <w:t>For purposes of the Loan Documents, whenever a representation or warranty is made to Co-Borrower’s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or awareness, to the “best of” Co-Borrower’s knowledge, or with a similar qualification, knowledge or awareness means the actual knowledge, after reasonable investigation, of any Responsible Officer.</w:t>
      </w:r>
    </w:p>
    <w:p>
      <w:pPr>
        <w:spacing w:after="0" w:line="171" w:lineRule="exact"/>
        <w:rPr>
          <w:sz w:val="20"/>
          <w:szCs w:val="20"/>
          <w:color w:val="auto"/>
        </w:rPr>
      </w:pPr>
    </w:p>
    <w:p>
      <w:pPr>
        <w:ind w:left="1340" w:hanging="684"/>
        <w:spacing w:after="0"/>
        <w:tabs>
          <w:tab w:leader="none" w:pos="1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Co-Borrowers shall do all of the following:</w:t>
      </w:r>
    </w:p>
    <w:p>
      <w:pPr>
        <w:spacing w:after="0" w:line="221"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Government Compliance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1" w:lineRule="auto"/>
        <w:tabs>
          <w:tab w:leader="none" w:pos="2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Section 7.3, maintain their and all their Domestic Subsidiaries’ legal existence and good standing (as required in relevant jurisdiction) in their respective jurisdictions of formation and maintain qualification in each jurisdiction in which the failure to so qualify would reasonably be expected to have a material adverse effect on a Co-Borrower’s business or operations. Each Co-Borrower shall comply, and have each Subsidiary comply, in all material respects, with all material laws, ordinances and regulations to which it is subject.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all of the Governmental Approvals necessary for the performance by a Co-Borrower of its obligations under the Loan Documents to which it is a party and the grant of a security interest to Bank in all of the Collateral, except anything referred to in Section 5.1, which will be obtained following the date of this Agreement. Co-Borrowers shall promptly provide copies of any such material obtained Governmental Approvals to Bank, to the extent permitted by law or regulation .</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b w:val="1"/>
          <w:bCs w:val="1"/>
          <w:color w:val="auto"/>
        </w:rPr>
        <w:t xml:space="preserve">Financial Statements, Reports, Certificates. </w:t>
      </w:r>
      <w:r>
        <w:rPr>
          <w:rFonts w:ascii="Times New Roman" w:cs="Times New Roman" w:eastAsia="Times New Roman" w:hAnsi="Times New Roman"/>
          <w:sz w:val="18"/>
          <w:szCs w:val="18"/>
          <w:color w:val="auto"/>
        </w:rPr>
        <w:t>Provide Bank with the following:</w:t>
      </w:r>
    </w:p>
    <w:p>
      <w:pPr>
        <w:spacing w:after="0" w:line="229" w:lineRule="exact"/>
        <w:rPr>
          <w:sz w:val="20"/>
          <w:szCs w:val="20"/>
          <w:color w:val="auto"/>
        </w:rPr>
      </w:pPr>
    </w:p>
    <w:p>
      <w:pPr>
        <w:jc w:val="both"/>
        <w:ind w:firstLine="1304"/>
        <w:spacing w:after="0" w:line="266" w:lineRule="auto"/>
        <w:tabs>
          <w:tab w:leader="none" w:pos="22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Financial Statements</w:t>
      </w:r>
      <w:r>
        <w:rPr>
          <w:rFonts w:ascii="Times New Roman" w:cs="Times New Roman" w:eastAsia="Times New Roman" w:hAnsi="Times New Roman"/>
          <w:sz w:val="18"/>
          <w:szCs w:val="18"/>
          <w:color w:val="auto"/>
        </w:rPr>
        <w:t>. As soon as available, but no later than thirty (30) days (forty-five (45) days for March, June, September and December) after the last day of each month, a company prepared consolidated balance sheet and income statement covering Co-Borrowers’ and each of their Subsidiary’s consolidated operations for such month in a form acceptable to Bank (the “</w:t>
      </w:r>
      <w:r>
        <w:rPr>
          <w:rFonts w:ascii="Times New Roman" w:cs="Times New Roman" w:eastAsia="Times New Roman" w:hAnsi="Times New Roman"/>
          <w:sz w:val="18"/>
          <w:szCs w:val="18"/>
          <w:b w:val="1"/>
          <w:bCs w:val="1"/>
          <w:color w:val="auto"/>
        </w:rPr>
        <w:t>Monthly Financial Statements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3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Compliance Certificate</w:t>
      </w:r>
      <w:r>
        <w:rPr>
          <w:rFonts w:ascii="Times New Roman" w:cs="Times New Roman" w:eastAsia="Times New Roman" w:hAnsi="Times New Roman"/>
          <w:sz w:val="18"/>
          <w:szCs w:val="18"/>
          <w:color w:val="auto"/>
        </w:rPr>
        <w:t>. Within thirty (30) days (forty-five (45) days for March, June, September and December) after the last day of each month and together with the Monthly Financial Statements, a duly completed Compliance Certificate signed by a Responsible Officer, confirming that, as of the end of such month, Co-Borrowers were in full compliance with all of the terms and conditions of this Agreement (except as noted therein), and setting forth calculations showing compliance with the financial covenants set forth in this Agreement and such other information as Bank may reasonably request, including, without limitation, a statement that at the end of such month there were no held checks;</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Operating Budget and Financial Projections</w:t>
      </w:r>
      <w:r>
        <w:rPr>
          <w:rFonts w:ascii="Times New Roman" w:cs="Times New Roman" w:eastAsia="Times New Roman" w:hAnsi="Times New Roman"/>
          <w:sz w:val="18"/>
          <w:szCs w:val="18"/>
          <w:color w:val="auto"/>
        </w:rPr>
        <w:t>. Within sixty (60) days after the end of Co-Borrowers’ fiscal year, and within seven (7) days of any material updates or amendments thereto, (A) annual operating budgets (including income statements, balance sheets and cash flow statements, by month) for the then-current fiscal year of Co-Borrowers, and (B) annual financial projections for the then-current fiscal year (on a quarterly basis), in each case as approved by each Co-Borrower’s board of directors, together with any related business forecasts used in the preparation of such annual financial projections;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Audited Financial Statements</w:t>
      </w:r>
      <w:r>
        <w:rPr>
          <w:rFonts w:ascii="Times New Roman" w:cs="Times New Roman" w:eastAsia="Times New Roman" w:hAnsi="Times New Roman"/>
          <w:sz w:val="18"/>
          <w:szCs w:val="18"/>
          <w:color w:val="auto"/>
        </w:rPr>
        <w:t>. As soon as available, and in any event within one hundred eighty (180) days after the last day of Co-Borrowers’ fiscal year, audited consolidated financial statements prepared under IFRS, consistently applied, together with an unqualified opinion on the financial statements from an independent certified public accounting firm reasonably acceptable to Bank;</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40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Within five (5) days of filing, copies of all periodic and other reports, proxy statements and other materials filed by such US Borrower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such Co-Borrower posts such documents, or provides a link thereto, on such Co-Borrower’s website on the internet at such Co-Borrower’s website address;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1304"/>
        <w:spacing w:after="0" w:line="266" w:lineRule="auto"/>
        <w:tabs>
          <w:tab w:leader="none" w:pos="21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Action Notice</w:t>
      </w:r>
      <w:r>
        <w:rPr>
          <w:rFonts w:ascii="Times New Roman" w:cs="Times New Roman" w:eastAsia="Times New Roman" w:hAnsi="Times New Roman"/>
          <w:sz w:val="18"/>
          <w:szCs w:val="18"/>
          <w:color w:val="auto"/>
        </w:rPr>
        <w:t>. Prompt report of any legal actions pending or threatened in writing against a Co-Borrower or any of its Subsidiaries that could result in damages or costs to a Co-Borrower or any of its Subsidiaries of, individually or in the aggregate, Five Hundred Thousand Dollars ($500,000) or more;</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1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Prompt written notice of any changes to the beneficial ownership information set out in Section 14 to each Perfection Certificate. Each Co-Borrower understands and acknowledges that Bank relies on such true, accurate and up-to-date beneficial ownership information to meet Bank’s regulatory obligations to obtain, verify and record information about the beneficial owners of its legal entity customers;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Notices</w:t>
      </w:r>
      <w:r>
        <w:rPr>
          <w:rFonts w:ascii="Times New Roman" w:cs="Times New Roman" w:eastAsia="Times New Roman" w:hAnsi="Times New Roman"/>
          <w:sz w:val="18"/>
          <w:szCs w:val="18"/>
          <w:color w:val="auto"/>
        </w:rPr>
        <w:t>. Within ten (10) days after the same are sent or received, copies of all material correspondence, reports, documents and other filings with any Governmental Authority regarding compliance with or maintenance of Governmental Approvals or Requirements of Law, in each case that would reasonably be expected to have a material adverse effect on any of the Governmental Approvals or otherwise on the operations of Co-Borrowers or any of their Subsidiaries; and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53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Financial Information</w:t>
      </w:r>
      <w:r>
        <w:rPr>
          <w:rFonts w:ascii="Times New Roman" w:cs="Times New Roman" w:eastAsia="Times New Roman" w:hAnsi="Times New Roman"/>
          <w:sz w:val="18"/>
          <w:szCs w:val="18"/>
          <w:color w:val="auto"/>
        </w:rPr>
        <w:t>. Other financial information reasonably requested by Bank, in each case, subject to any confidentiality, regulatory or other restrictions relating to the supply of information and as permitted by law and regulation.</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6.3 Taxes; Pensions. </w:t>
      </w:r>
      <w:r>
        <w:rPr>
          <w:rFonts w:ascii="Times New Roman" w:cs="Times New Roman" w:eastAsia="Times New Roman" w:hAnsi="Times New Roman"/>
          <w:sz w:val="18"/>
          <w:szCs w:val="18"/>
          <w:color w:val="auto"/>
        </w:rPr>
        <w:t>(i) Timely file, and require each of their Subsidiaries to timely file, all required tax returns and reports and (ii) timely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and require each of their Subsidiaries to timely pay, all foreign, federal, state and local taxes, assessments, deposits and contributions owed by a Co-Borrower and each of its Subsidiaries (as the case may be), except in the case of (i) or (ii) above for (a) deferred payment of any taxes contested pursuant to the terms of Section 5.9 hereof and (b) other taxes in an aggregate amount not to exceed Two Hundred Fifty Thousand Dollars ($250,000), and shall deliver to Bank, on demand, appropriate certificates (where such certificates are issued by the relevant authority in the relevant jurisdiction) attesting to such payments, and pay all amounts necessary to fund all present pension, profit sharing and deferred compensation plans in accordance with their terms.</w:t>
      </w:r>
    </w:p>
    <w:p>
      <w:pPr>
        <w:spacing w:after="0" w:line="18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8" w:lineRule="auto"/>
        <w:tabs>
          <w:tab w:leader="none" w:pos="23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their business and the Collateral insured for risks and in amounts standard for companies in Co-Borrowers’ industry and location and as Bank may reasonably request. Insurance policies shall be in a form, with financially sound and reputable insurance companies that are not Affiliates of Co-Borrowers, and in amounts that are reasonably satisfactory to Bank.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83"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proceeds payable under any property policy are, at Bank’s option, payable to Bank on account of the Obligations.</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Bank’s request, Co-Borrowers shall deliver certified copies of insurance policies and evidence of all premium payments. Each provider of any such insurance required under this Section 6.4 shall agree, by endorsement upon the policy or policies issued by it or by independent instruments furnished to Bank, that it will give Bank thirty (30) days prior written notice before any such policy or policies shall be canceled (ten (10) days for nonpayment of premium). If Co-Borrowers fail to obtain insurance as required under this Section 6.4 or to pay any amount or furnish any required proof of payment to third persons and Bank, Bank may make all or part of such payment or obtain such insurance policies required in this Section 6.4, and take any action under the policies Bank deems prudent.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7"/>
          <w:szCs w:val="17"/>
          <w:b w:val="1"/>
          <w:bCs w:val="1"/>
          <w:color w:val="auto"/>
        </w:rPr>
        <w:t>Operating Accounts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21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thirty (30) days after the Effective Date and at all times thereafter, Co-Borrowers shall maintain all their and all of their Subsidiaries’ depository and operating accounts and excess cash with Bank and Bank’s Affiliates; provided however, so long as Co-Borrowers’ maintain a balance of unrestricted cash with Bank not less than Forty Five Million Dollars ($45,000,000), Co-Borrowers’ may maintain accounts outside of Bank and Bank’s Affiliates subject to a Control Agreement or subject to the UK Security Documents with aggregate balances not to exceed Twenty Five Million Dollars ($25,000,000); provided further that within five (5) Business Days of Bank's written request following an Event of Default that is continuing or a Cash Collateralization Event, Co-Borrowers shall maintain all their and all of their Subsidiaries’ depository and operating accounts and excess cash with Bank and Bank’s Affiliates.</w:t>
      </w:r>
    </w:p>
    <w:p>
      <w:pPr>
        <w:spacing w:after="0" w:line="188"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4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on and after ninety (90) days following the Effective Date, each Co-Borrower and any Subsidiary of a Co-Borrower shall obtain any business credit cards exclusively from Bank, and shall utilize Bank for all its cash management needs, including Letters of Credit.</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Bank five (5) days prior written notice before establishing any Collateral Account at or with any bank or financial institution other than Bank or Bank’s Affiliates. For each Collateral Account that a Co-Borrower at any time maintains in the United States, such Co-Borrower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deposit accounts exclusively used for payroll, payroll taxes, and other employee wage and benefit payments to or for the benefit of a Co-Borrower’s employees and identified to Bank by such Co-Borrower as such or (ii) other accounts holding no more than One Hundred Thousand Dollars ($100,000) in the aggregate at all such accounts.</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6.6 Postclosing Condition. </w:t>
      </w:r>
      <w:r>
        <w:rPr>
          <w:rFonts w:ascii="Times New Roman" w:cs="Times New Roman" w:eastAsia="Times New Roman" w:hAnsi="Times New Roman"/>
          <w:sz w:val="18"/>
          <w:szCs w:val="18"/>
          <w:color w:val="auto"/>
        </w:rPr>
        <w:t>No later than forty five (45) days after the Effective Date, Co-Borrowers shall deliver to Bank (i) the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endorsements required pursuant to Section 6.4 hereof and (ii) duly executed signatures to a Bank Services Cash Pledge Agreement and Rider to Bank Services Cash Pledge Agreement from each Co-Borrower.</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6.7 Protection of Intellectual Property Rights</w:t>
      </w:r>
      <w:r>
        <w:rPr>
          <w:rFonts w:ascii="Times New Roman" w:cs="Times New Roman" w:eastAsia="Times New Roman" w:hAnsi="Times New Roman"/>
          <w:sz w:val="18"/>
          <w:szCs w:val="18"/>
          <w:color w:val="auto"/>
        </w:rPr>
        <w:t>. (i) Protect, defend and maintain the validity and enforceability of Intellectual Property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material to a Co-Borrower’s business; (ii) promptly advise Bank in writing of material infringements or any other event that could reasonably be expected to materially and adversely affect the value of its Intellectual Property that has any material value ; and (iii) not allow any Intellectual Property material to a Co-Borrower’s business to be abandoned, forfeited or dedicated to the public without Bank’s written consent. Provide written notice to Bank within the later of thirty (30) days and the then-next Compliance Certificate following entering or becoming bound by any Restricted License (other than over-the-counter software that is commercially available to the public). Co-Borrowers shall take such commercially reasonable steps as Bank reasonably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6.8 Litigation Cooperation. </w:t>
      </w:r>
      <w:r>
        <w:rPr>
          <w:rFonts w:ascii="Times New Roman" w:cs="Times New Roman" w:eastAsia="Times New Roman" w:hAnsi="Times New Roman"/>
          <w:sz w:val="18"/>
          <w:szCs w:val="18"/>
          <w:color w:val="auto"/>
        </w:rPr>
        <w:t>From the date hereof and continuing through the termination of this Agreement, make available to Bank,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to Bank, on reasonable prior notice and at reasonable times and intervals, Co-Borrowers and their officers, employees and agents and Co-Borrowers’ books and records, subject to any applicable confidentiality obligations of Co-Borrower, to the extent that Bank may deem them reasonably necessary to prosecute or defend any third-party suit or proceeding instituted by or against Bank with respect to any Collateral or relating to a Co-Borrower, subject to any confidentiality, regulatory or other restrictions relating to the supply of information and as permitted by law and regulation.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6.9</w:t>
      </w:r>
      <w:r>
        <w:rPr>
          <w:sz w:val="20"/>
          <w:szCs w:val="20"/>
          <w:color w:val="auto"/>
        </w:rPr>
        <w:tab/>
      </w:r>
      <w:r>
        <w:rPr>
          <w:rFonts w:ascii="Times New Roman" w:cs="Times New Roman" w:eastAsia="Times New Roman" w:hAnsi="Times New Roman"/>
          <w:sz w:val="17"/>
          <w:szCs w:val="17"/>
          <w:b w:val="1"/>
          <w:bCs w:val="1"/>
          <w:color w:val="auto"/>
        </w:rPr>
        <w:t>Online Banking.</w:t>
      </w:r>
    </w:p>
    <w:p>
      <w:pPr>
        <w:spacing w:after="0" w:line="229" w:lineRule="exact"/>
        <w:rPr>
          <w:sz w:val="20"/>
          <w:szCs w:val="20"/>
          <w:color w:val="auto"/>
        </w:rPr>
      </w:pPr>
    </w:p>
    <w:p>
      <w:pPr>
        <w:jc w:val="both"/>
        <w:ind w:firstLine="1304"/>
        <w:spacing w:after="0" w:line="261" w:lineRule="auto"/>
        <w:tabs>
          <w:tab w:leader="none" w:pos="251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Bank’s online banking platform for all matters requested by Bank which shall include, without limitation (and without request by Bank for the following matters), uploading information pertaining to Accounts and Account Debtors, requesting approval for exceptions, requesting Credit Extensions, and uploading financial statements and other reports required to be delivered by this Agreement (including, without limitation, those described in Section 6.2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4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terms of Bank’s Online Banking Agreement as in effect from time to time and ensure that all persons utilizing Bank’s online banking platform are duly authorized to do so by an Administrator. Bank shall be entitled to assume the authenticity, accuracy and completeness on any information, instruction or request for a Credit Extension submitted via Bank’s online banking platform and to further assume that any submissions or requests made via Bank’s online banking platform have been duly authorized by an Administrator.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6.10 Access to Collateral; Books and Records. </w:t>
      </w:r>
      <w:r>
        <w:rPr>
          <w:rFonts w:ascii="Times New Roman" w:cs="Times New Roman" w:eastAsia="Times New Roman" w:hAnsi="Times New Roman"/>
          <w:sz w:val="18"/>
          <w:szCs w:val="18"/>
          <w:color w:val="auto"/>
        </w:rPr>
        <w:t>Allow Bank, or its agents, at reasonable times, on five (5) Business Days’ notice, to inspect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Collateral and audit and copy any Co-Borrower’s Books. Such inspections or audits shall be conducted no more often than once every twelve (12) months unless an Event of Default has occurred and is continuing in which case such inspections and audits shall occur as often as Bank shall determine is necessary. The foregoing inspections and audits shall be at Co-Borrowers’ expense, and the charge therefor shall be One Thousand Dollars ($1,000) per person per day (or such higher amount as shall represent Bank’s then-current standard charge for the same), plus reasonable out-of-pocket expenses. In the event a Co-Borrower and Bank schedule an audit more than eight (8) days in advance, and such Co-Borrower cancels or seeks to reschedule the audit with less than eight (8) days written notice to Bank, then (without limiting any of Bank’s rights or remedies), Co-Borrowers shall pay Bank a fee of Two Thousand Dollars ($2,000) plus any out-of-pocket expenses incurred by Bank to compensate Bank for the anticipated costs and expenses of the cancellation or rescheduling</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6.11 Formation or Acquisition of Subsidiaries. </w:t>
      </w:r>
      <w:r>
        <w:rPr>
          <w:rFonts w:ascii="Times New Roman" w:cs="Times New Roman" w:eastAsia="Times New Roman" w:hAnsi="Times New Roman"/>
          <w:sz w:val="18"/>
          <w:szCs w:val="18"/>
          <w:color w:val="auto"/>
        </w:rPr>
        <w:t>Notwithstanding and without limiting the negative covenants contained in Sections 7.3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7.7 hereof, around the time that a Co-Borrower forms any direct or indirect Subsidiary or acquires any direct or indirect Subsidiary after the Effective Date (including, without limitation, pursuant to a Division), such Co-Borrower shall upon Bank’s reasonable request (a) cause such new Domestic Subsidiary to provide to Bank a joinder to the Loan Agreement to cause such new Domestic Subsidiary to become a co-borrower or a Guarantor (as determined by Bank in its reasonable business discretion following consultation with Borrower and taking into consideration potential tax implications) hereunder, together with such appropriate financing statements and/or Control Agreements, all in form and substance reasonably satisfactory to Bank (including being sufficient to grant Bank a first priority Lien (subject to Permitted Liens) in and to the assets of such newly formed or acquired Subsidiary), (b) provide to Bank appropriate certificates and powers and financing statements, pledging all of the direct or beneficial ownership interest in such new Domestic Subsidiary, in form and substance reasonably satisfactory to Bank; provided, that with respect to any Foreign Subsidiary, the Co-Borrower shall only be required to grant and pledge to Bank a perfected security interest in up to sixty-five (65%) of the stock, units or other evidence of ownership of such Foreign Subsidiary; and</w:t>
      </w:r>
    </w:p>
    <w:p>
      <w:pPr>
        <w:jc w:val="both"/>
        <w:ind w:firstLine="8"/>
        <w:spacing w:after="0" w:line="255" w:lineRule="auto"/>
        <w:tabs>
          <w:tab w:leader="none" w:pos="2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Bank all other documentation in form and substance reasonably satisfactory to Bank, which in its opinion is appropriate with respect to the execution and delivery of the applicable documentation referred to above. Any document, agreement, or instrument executed or issued pursuant to this Section 6.11 shall be a Loan Document.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6.12 Further Assurances. </w:t>
      </w:r>
      <w:r>
        <w:rPr>
          <w:rFonts w:ascii="Times New Roman" w:cs="Times New Roman" w:eastAsia="Times New Roman" w:hAnsi="Times New Roman"/>
          <w:sz w:val="18"/>
          <w:szCs w:val="18"/>
          <w:color w:val="auto"/>
        </w:rPr>
        <w:t>Execute any further instruments and take further action as Bank reasonably requests to perfect or continue Bank’s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Lien in the Collateral or to effect the purposes of this Agreement.</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6.13 Cash Collateralization Trigger</w:t>
      </w:r>
      <w:r>
        <w:rPr>
          <w:rFonts w:ascii="Times New Roman" w:cs="Times New Roman" w:eastAsia="Times New Roman" w:hAnsi="Times New Roman"/>
          <w:sz w:val="18"/>
          <w:szCs w:val="18"/>
          <w:color w:val="auto"/>
        </w:rPr>
        <w:t>. If a Cash Collateralization Event occurs at any time prior to repayment in full of all Obligations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inchoate indemnity obligations), (i) US Borrower hereby authorizes and directs Bank to immediately transfer to account number XXX-XXX-2119 held at Bank (from any one or a combination of US Borrower’s accounts at Bank) and (ii) UK Borrower hereby authorizes and directs Bank to immediately transfer to account number XXX-XXX-2123 held at Bank (from any one or a combination UK Borrower’s accounts at Bank),an aggregate amount of cash and/or Cash Equivalents equal to the sum of (i) the then-outstanding principal balance of and interest accrued on the Term Loan Advances, plus (ii) an amount equal to the Final Payment, plus (iii) an amount equal to the applicable Prepayment Fee, in order to cash collateralize all amounts owing from Co-Borrowers to Bank in connection with the Term Loan Advances, the Final Payment and the Prepayment Fee (if applicable) (a “</w:t>
      </w:r>
      <w:r>
        <w:rPr>
          <w:rFonts w:ascii="Times New Roman" w:cs="Times New Roman" w:eastAsia="Times New Roman" w:hAnsi="Times New Roman"/>
          <w:sz w:val="18"/>
          <w:szCs w:val="18"/>
          <w:b w:val="1"/>
          <w:bCs w:val="1"/>
          <w:color w:val="auto"/>
        </w:rPr>
        <w:t>Cash Collateralization</w:t>
      </w:r>
      <w:r>
        <w:rPr>
          <w:rFonts w:ascii="Times New Roman" w:cs="Times New Roman" w:eastAsia="Times New Roman" w:hAnsi="Times New Roman"/>
          <w:sz w:val="18"/>
          <w:szCs w:val="18"/>
          <w:color w:val="auto"/>
        </w:rPr>
        <w:t>”), it being understood that the foregoing authorization shall constitute an immediate Cash Collateralization of the Obligations, irrespective of any delay by Bank in effecting such transfer. For purposes hereof “</w:t>
      </w:r>
      <w:r>
        <w:rPr>
          <w:rFonts w:ascii="Times New Roman" w:cs="Times New Roman" w:eastAsia="Times New Roman" w:hAnsi="Times New Roman"/>
          <w:sz w:val="18"/>
          <w:szCs w:val="18"/>
          <w:b w:val="1"/>
          <w:bCs w:val="1"/>
          <w:color w:val="auto"/>
        </w:rPr>
        <w:t>Cash Collateralization Event</w:t>
      </w:r>
      <w:r>
        <w:rPr>
          <w:rFonts w:ascii="Times New Roman" w:cs="Times New Roman" w:eastAsia="Times New Roman" w:hAnsi="Times New Roman"/>
          <w:sz w:val="18"/>
          <w:szCs w:val="18"/>
          <w:color w:val="auto"/>
        </w:rPr>
        <w:t>” means Co-Borrowers’ consolidated cash and Cash Equivalents at Bank drops below Forty Five Million Dollars ($45,000,000) at any time after the earliest to occur of any of the following: (i) the release of Negative Data from Enhance 2 and/or Enhance 1, which in the reasonable business discretion of Co-Borrowers’ senior management, would be considered insufficient to support submission of an NDA to the FDA, (ii) the FDA issues a complete response letter with respect to an NDA submitted for Ensifentrine, or (iii) Ensifentrine [***] by June 30, 2023, provided however if Co-Borrowers receive at least [***] in new cash proceeds after September 8, 2020 from the sale of equity securities in one or more public financings or other bona fide equity financings, Subordinated Debt and/or upfront/milestone payments from one or more collaboration agreements not prohibited herein, then such date shall be automatically extended to March 31, 2024.</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1280" w:hanging="624"/>
        <w:spacing w:after="0"/>
        <w:tabs>
          <w:tab w:leader="none" w:pos="12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Co-Borrower shall do any of the following without Bank’s prior written consent:</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7.1 Dispositions. </w:t>
      </w:r>
      <w:r>
        <w:rPr>
          <w:rFonts w:ascii="Times New Roman" w:cs="Times New Roman" w:eastAsia="Times New Roman" w:hAnsi="Times New Roman"/>
          <w:sz w:val="18"/>
          <w:szCs w:val="18"/>
          <w:color w:val="auto"/>
        </w:rPr>
        <w:t>Convey, sell, lease, transfer, assign, or otherwise dispose of (including, without limitation, pursuant to a Division)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or permit any of its Subsidiaries to Transfer, all or any part of its business or property, except for Transfers (a) of Inventory in the ordinary course of business; (b) of worn-out or obsolete Equipment that is, in the reasonable judgment of Co-Borrower, no longer economically practicable to maintain or useful in the ordinary course of business of Co-Borrower; (c) consisting of Permitted Liens and Permitted Investments; (d) consisting of the sale or issuance of any stock of Co-Borrower permitted under Section 7.2 of this Agreement; (e) consisting of Co-Borrower’s use or transfer of money or Cash Equivalents in a manner that is not prohibited by the terms of this Agreement or the other Loan Documents; (f) of non-exclusive licenses for the use of the property of Co-Borrower or its Subsidiaries in the ordinary course of business and licenses that could not result in a legal transfer of title of the licensed property but that may be exclusive in respects other than territory and that may be exclusive as to territory only as to discreet geographical areas outside of the United States; (g) to any Co-Borrower from any of its Subsidiaries; (h) consisting of the abandonment, forfeiture or dedication to the public of any Intellectual Property that has no material value ; and (i) of other property not to exceed Two Hundred Fifty Thousand Dollars ($250,000) in any fiscal year.</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7.2 Changes in Business, Management, Control, or Business Locations. </w:t>
      </w:r>
      <w:r>
        <w:rPr>
          <w:rFonts w:ascii="Times New Roman" w:cs="Times New Roman" w:eastAsia="Times New Roman" w:hAnsi="Times New Roman"/>
          <w:sz w:val="18"/>
          <w:szCs w:val="18"/>
          <w:color w:val="auto"/>
        </w:rPr>
        <w:t>(a) Engage in or permit any of its Subsidiaries to engage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other than the businesses currently engaged in by each Co-Borrower and such Subsidiary, as applicable, or reasonably related thereto; (b) liquidate or dissolve; (c) fail to provide notice to Bank of any Key Person departing from or ceasing to be employed by such Co-Borrower within ten (10) Business Days after such Key Person’s departure from such Co-Borrower; or (d) permit or suffer any Change in Control.</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Co-Borrowers shall not, without at least ten (10) days prior written notice to Bank: (1) add any new offices or business locations, including warehouses (unless such new offices or business locations contain less than One Million Dollars ($1,000,000) in Co-Borrower’s assets or property) or deliver any portion of the Collateral valued, individually or in the aggregate, in excess of One Million Dollars ($1,000,000) to a bailee at a location other than to a bailee and at a location already disclosed in the Perfection Certificate, (2) change its jurisdiction of organization or incorporation (as the case may be), (3) change its organizational structure or type, (4) change its legal name, or (5) change any organizational number (if any) assigned by its jurisdiction of organization or incorporation (as the case may be). If Co-Borrower intends to deliver any portion of the Collateral valued, individually or in the aggregate, in excess of One Million Dollars ($1,000,000) to a bailee, and Bank and such bailee are not already parties to a bailee agreement governing both the Collateral and the location to which Co-Borrower intends to deliver the Collateral, then Co-Borrower will obtain a bailee agreement executed by the bailee in form and substance satisfactory to Bank in its reasonable business discretion.</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7.3 Mergers or Acquisitions. </w:t>
      </w:r>
      <w:r>
        <w:rPr>
          <w:rFonts w:ascii="Times New Roman" w:cs="Times New Roman" w:eastAsia="Times New Roman" w:hAnsi="Times New Roman"/>
          <w:sz w:val="18"/>
          <w:szCs w:val="18"/>
          <w:color w:val="auto"/>
        </w:rPr>
        <w:t>Merge or consolidate, or permit any of its Subsidiaries to merge or consolidate, with any other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or permit any of its Subsidiaries to acquire, all or substantially all of the capital stock or property of another Person (including, without limitation, by the formation of any Subsidiary or pursuant to a Division). A Subsidiary may merge or consolidate into another Subsidiary or into Co-Borrower.</w:t>
      </w:r>
    </w:p>
    <w:p>
      <w:pPr>
        <w:spacing w:after="0" w:line="171"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7.4 Indebtedness. </w:t>
      </w:r>
      <w:r>
        <w:rPr>
          <w:rFonts w:ascii="Times New Roman" w:cs="Times New Roman" w:eastAsia="Times New Roman" w:hAnsi="Times New Roman"/>
          <w:sz w:val="18"/>
          <w:szCs w:val="18"/>
          <w:color w:val="auto"/>
        </w:rPr>
        <w:t>Create, incur, assume, or be liable for any Indebtedness, or permit any Subsidiary to do so, other than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Indebtedness.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7.5 Encumbrance. </w:t>
      </w:r>
      <w:r>
        <w:rPr>
          <w:rFonts w:ascii="Times New Roman" w:cs="Times New Roman" w:eastAsia="Times New Roman" w:hAnsi="Times New Roman"/>
          <w:sz w:val="18"/>
          <w:szCs w:val="18"/>
          <w:color w:val="auto"/>
        </w:rPr>
        <w:t>Create, incur, allow, or suffer any Lien on any of its property, or assign or convey any right to receive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sale of any Accounts, or permit any of its Subsidiaries to do so, except for Permitted Liens, subject to Legal Reservations, permit any Collateral not to be subject to the first priority security interest granted herein or under any UK Security Document, or enter into any agreement, document, instrument or other arrangement (except with or in favor of Bank) with any Person which directly or indirectly prohibits or has the effect of prohibiting Co-Borrower or any Subsidiary from assigning, mortgaging, pledging, granting a security interest in or upon, or encumbering any of Co-Borrower’s or any Subsidiary’s Intellectual Property, except as is otherwise permitted in Section 7.1 hereof and the definition of “Permitted Liens” herein.</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7.6</w:t>
            </w:r>
          </w:p>
        </w:tc>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Maintenance of Collateral Accounts. </w:t>
            </w:r>
            <w:r>
              <w:rPr>
                <w:rFonts w:ascii="Times New Roman" w:cs="Times New Roman" w:eastAsia="Times New Roman" w:hAnsi="Times New Roman"/>
                <w:sz w:val="18"/>
                <w:szCs w:val="18"/>
                <w:color w:val="auto"/>
              </w:rPr>
              <w:t>Maintain any Collateral Account except pursuant to the terms of Section 6.5 hereof.</w:t>
            </w:r>
          </w:p>
        </w:tc>
      </w:tr>
      <w:tr>
        <w:trPr>
          <w:trHeight w:val="432"/>
        </w:trPr>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7.7</w:t>
            </w:r>
          </w:p>
        </w:tc>
        <w:tc>
          <w:tcPr>
            <w:tcW w:w="10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Distributions; Investments. </w:t>
            </w:r>
            <w:r>
              <w:rPr>
                <w:rFonts w:ascii="Times New Roman" w:cs="Times New Roman" w:eastAsia="Times New Roman" w:hAnsi="Times New Roman"/>
                <w:sz w:val="18"/>
                <w:szCs w:val="18"/>
                <w:color w:val="auto"/>
              </w:rPr>
              <w:t>(a) Pay any dividends or make any distribution or payment or redeem, retire or purchase any capital</w:t>
            </w:r>
          </w:p>
        </w:tc>
      </w:tr>
    </w:tbl>
    <w:p>
      <w:pPr>
        <w:jc w:val="both"/>
        <w:spacing w:after="0" w:line="251" w:lineRule="auto"/>
        <w:rPr>
          <w:sz w:val="20"/>
          <w:szCs w:val="20"/>
          <w:color w:val="auto"/>
        </w:rPr>
      </w:pPr>
      <w:r>
        <w:rPr>
          <w:rFonts w:ascii="Times New Roman" w:cs="Times New Roman" w:eastAsia="Times New Roman" w:hAnsi="Times New Roman"/>
          <w:sz w:val="18"/>
          <w:szCs w:val="18"/>
          <w:color w:val="auto"/>
        </w:rPr>
        <w:t>stock provided that (i) Co-Borrower may convert any of its convertible securities into other securities pursuant to the terms of such convertible securities or otherwise in exchange thereof, (ii) Co-Borrower may pay dividends solely in common stock; and (iii) Co-Borrower may repurchase the stock of former employees, consultants, directors or officers pursuant to stock repurchase agreements so long as an Event of Default does not exist at the time of any such repurchase and would not exist after giving effect to any such repurchase, provided that the aggregate amount of all such repurchases does not exceed Two Hundred Fifty Thousand Dollars ($250,000) per fiscal year; (iv) make purchases of capital stock arising out of capital stock in connection with the exercise of stock options or stock appreciation by way of a cashless exercise; (v) make purchases of fractional shares of capital stock arising out of stock dividends, splits or combinations or business combinations or (vi) pay any dividends or make any other distributions to another Co-Borrower (and, for the avoidance of doubt, any Subsidiary of a Co-Borrower may pay any dividends or make any other distributions to a Co-Borrower or a Subsidiary thereof); or (b) directly or indirectly make any Investment (including, without limitation, by the formation of any Subsidiary) other than Permitted Investments, or permit any of its Subsidiaries to do so.</w:t>
      </w:r>
    </w:p>
    <w:p>
      <w:pPr>
        <w:spacing w:after="0" w:line="18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7.8 Transactions with Affiliates. </w:t>
      </w:r>
      <w:r>
        <w:rPr>
          <w:rFonts w:ascii="Times New Roman" w:cs="Times New Roman" w:eastAsia="Times New Roman" w:hAnsi="Times New Roman"/>
          <w:sz w:val="18"/>
          <w:szCs w:val="18"/>
          <w:color w:val="auto"/>
        </w:rPr>
        <w:t>Directly or indirectly enter into or permit to exist any material transaction with any Affiliate of Co-Borrower, except for (a) transactions that are in the ordinary course of Co-Borrower’s business, upon fair and reasonable terms that are no less favorable to Co-Borrower than would be obtained in an arm’s length transaction with a non-affiliated Person, (b) Subordinated Debt, (c) compensation-related transactions approved by the Board, (d) distributions permitted under Section 7.7 and (e) equity investments in Co-Borrower.</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7.9 Subordinated Debt. </w:t>
      </w:r>
      <w:r>
        <w:rPr>
          <w:rFonts w:ascii="Times New Roman" w:cs="Times New Roman" w:eastAsia="Times New Roman" w:hAnsi="Times New Roman"/>
          <w:sz w:val="18"/>
          <w:szCs w:val="18"/>
          <w:color w:val="auto"/>
        </w:rPr>
        <w:t>(a) Make or permit any payment on any Subordinated Debt, except under the terms of the subordination,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intercreditor, or other similar agreement to which such Subordinated Debt is subject, or (b) amend any provision in any document relating to the Subordinated Debt which would provide for earlier principal, interest, or other payments thereon, or adversely affect the subordination thereof to Obligations owed to Bank.</w:t>
      </w:r>
    </w:p>
    <w:p>
      <w:pPr>
        <w:spacing w:after="0" w:line="3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7.10 Compliance. </w:t>
      </w:r>
      <w:r>
        <w:rPr>
          <w:rFonts w:ascii="Times New Roman" w:cs="Times New Roman" w:eastAsia="Times New Roman" w:hAnsi="Times New Roman"/>
          <w:sz w:val="18"/>
          <w:szCs w:val="18"/>
          <w:color w:val="auto"/>
        </w:rPr>
        <w:t>Become an “investment company” or a company controlled by an “investment company”, under the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prevent a Reportable Event or Prohibited Transaction as defined in ERISA, or (c) comply with the Federal Labor Standards Act, the failure of any of the conditions in clauses (a) through (c) which could reasonably be expected to have a material adverse effect on Co-Borrower’s business, or violate any other law or regulation, if the violation could reasonably be expected to have a material adverse effect on Co-Borrower’s business or permit any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Co-Borrower, including any liability to the Pension Benefit Guaranty Corporation or its successors or any other governmental agency.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0" w:name="page21"/>
    <w:bookmarkEnd w:id="20"/>
    <w:p>
      <w:pPr>
        <w:ind w:left="1700" w:hanging="1044"/>
        <w:spacing w:after="0"/>
        <w:tabs>
          <w:tab w:leader="none" w:pos="17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 Payment Default. </w:t>
      </w:r>
      <w:r>
        <w:rPr>
          <w:rFonts w:ascii="Times New Roman" w:cs="Times New Roman" w:eastAsia="Times New Roman" w:hAnsi="Times New Roman"/>
          <w:sz w:val="18"/>
          <w:szCs w:val="18"/>
          <w:color w:val="auto"/>
        </w:rPr>
        <w:t>Co-Borrowers fail to (a) make any payment of principal or interest on any Credit Extension when due, or (b)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76"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Covenant Default.</w:t>
      </w:r>
    </w:p>
    <w:p>
      <w:pPr>
        <w:spacing w:after="0" w:line="229" w:lineRule="exact"/>
        <w:rPr>
          <w:sz w:val="20"/>
          <w:szCs w:val="20"/>
          <w:color w:val="auto"/>
        </w:rPr>
      </w:pPr>
    </w:p>
    <w:p>
      <w:pPr>
        <w:ind w:right="20" w:firstLine="656"/>
        <w:spacing w:after="0" w:line="282" w:lineRule="auto"/>
        <w:tabs>
          <w:tab w:leader="none" w:pos="9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Co-Borrowers fail or neglects to perform any obligation in Sections 6.2, 6.5, 6.6, 6.7, 6.8, 6.9, 6.10, 6.11 or 6.13 or violates any covenant in Section 7; or</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Co-Borrowers fail or neglect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have failed to cure the default within ten (10) Business Days after the occurrence thereof; provided, however, that if the default cannot by its nature be cured within the ten (10) Business Day period or cannot after diligent attempts by Co-Borrowers be cured within such ten (10) day period, and such default is likely to be cured within a reasonable time, then Co-Borrowers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8.3</w:t>
            </w:r>
          </w:p>
        </w:tc>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 xml:space="preserve">Material Adverse Change. </w:t>
            </w:r>
            <w:r>
              <w:rPr>
                <w:rFonts w:ascii="Times New Roman" w:cs="Times New Roman" w:eastAsia="Times New Roman" w:hAnsi="Times New Roman"/>
                <w:sz w:val="18"/>
                <w:szCs w:val="18"/>
                <w:color w:val="auto"/>
                <w:w w:val="99"/>
              </w:rPr>
              <w:t>A Material Adverse Change occurs;</w:t>
            </w:r>
          </w:p>
        </w:tc>
      </w:tr>
      <w:tr>
        <w:trPr>
          <w:trHeight w:val="432"/>
        </w:trPr>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8.4</w:t>
            </w:r>
          </w:p>
        </w:tc>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Attachment; Levy; Restraint on Business</w:t>
            </w: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1304"/>
        <w:spacing w:after="0" w:line="258" w:lineRule="auto"/>
        <w:tabs>
          <w:tab w:leader="none" w:pos="2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service of process seeking to attach, by trustee or similar process, any funds of Co-Borrower or of any entity under the control of Co-Borrower (including a Subsidiary), or (ii) a notice of lien or levy is filed against any of Co-Borrower’s assets by any Governmental Authority, and the same under subclauses (i) and (ii) hereof are not, within ten (10) Business Days after the occurrence thereof, discharged or stayed (whether through the posting of a bond or otherwise); provided, however, no Credit Extensions shall be made during any ten (10 Business Day cure period; or</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23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portion of a Co-Borrower’s assets is attached, seized, levied on, or comes into possession of a trustee or receiver, or (ii) any court order enjoins, restrains, or prevents a Co-Borrower from conducting all or any material part of its business;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8.5 Insolvency. </w:t>
      </w:r>
      <w:r>
        <w:rPr>
          <w:rFonts w:ascii="Times New Roman" w:cs="Times New Roman" w:eastAsia="Times New Roman" w:hAnsi="Times New Roman"/>
          <w:sz w:val="18"/>
          <w:szCs w:val="18"/>
          <w:color w:val="auto"/>
        </w:rPr>
        <w:t>(a) A Co-Borrower or any of its Subsidiaries is unable to pay its debts (including trade debts) as they become due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its jurisdiction (b) an Insolvency Proceeding is begun against a US Borrower or any of its Subsidiaries and is not dismissed or stayed within thirty (30) days (but no Credit Extensions shall be made while any of the conditions described in clause (a) exist and/or until any Insolvency Proceeding is dismissed); or (d) a UK Insolvency Proceeding is begun against any UK Borrower unless it is vexatious or frivolous and discharged, dismissed or stayed within fourteen (14) days of commencement (but no Credit Extension shall be made while and of the conditions described in clause (a) exist and/or until any UK Insolvency Proceeding is dismissed);</w:t>
      </w:r>
    </w:p>
    <w:p>
      <w:pPr>
        <w:spacing w:after="0" w:line="18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8"/>
          <w:szCs w:val="18"/>
          <w:b w:val="1"/>
          <w:bCs w:val="1"/>
          <w:color w:val="auto"/>
        </w:rPr>
        <w:t xml:space="preserve">Other Agreements. </w:t>
      </w:r>
      <w:r>
        <w:rPr>
          <w:rFonts w:ascii="Times New Roman" w:cs="Times New Roman" w:eastAsia="Times New Roman" w:hAnsi="Times New Roman"/>
          <w:sz w:val="18"/>
          <w:szCs w:val="18"/>
          <w:color w:val="auto"/>
        </w:rPr>
        <w:t>There is, under any agreement to which a Co-Borrower or any Guarantor is a party with a third party or parties,</w:t>
      </w:r>
    </w:p>
    <w:p>
      <w:pPr>
        <w:spacing w:after="0" w:line="31" w:lineRule="exact"/>
        <w:rPr>
          <w:sz w:val="20"/>
          <w:szCs w:val="20"/>
          <w:color w:val="auto"/>
        </w:rPr>
      </w:pPr>
    </w:p>
    <w:p>
      <w:pPr>
        <w:jc w:val="both"/>
        <w:ind w:firstLine="8"/>
        <w:spacing w:after="0" w:line="255" w:lineRule="auto"/>
        <w:tabs>
          <w:tab w:leader="none" w:pos="26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resulting in a right by such third party or parties, whether or not exercised, to accelerate the maturity of any Indebtedness in an amount individually or in the aggregate in excess of Five Hundred Thousand Dollars ($500,000); or (b) any breach or default by Co-Borrower or Guarantor, the result of which could have a material adverse effect on Co-Borrower’s or any Guarantor’s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8.7 Judgments; Penalties. </w:t>
      </w:r>
      <w:r>
        <w:rPr>
          <w:rFonts w:ascii="Times New Roman" w:cs="Times New Roman" w:eastAsia="Times New Roman" w:hAnsi="Times New Roman"/>
          <w:sz w:val="18"/>
          <w:szCs w:val="18"/>
          <w:color w:val="auto"/>
        </w:rPr>
        <w:t>One or more fines, penalties or final judgments, orders or decrees for the payment of money in an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or in the aggregate, of at least Five Hundred Thousand Dollars ($500,000) (not covered by independent third-party insurance as to which liability has been accepted by such insurance carrier) shall be rendered against Co-Borrower by any Governmental Authority, and the same are not, within ten (10) Business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8.8 Misrepresentations. </w:t>
      </w:r>
      <w:r>
        <w:rPr>
          <w:rFonts w:ascii="Times New Roman" w:cs="Times New Roman" w:eastAsia="Times New Roman" w:hAnsi="Times New Roman"/>
          <w:sz w:val="18"/>
          <w:szCs w:val="18"/>
          <w:color w:val="auto"/>
        </w:rPr>
        <w:t>A Co-Borrower or any Person acting for Co-Borrower makes any representation, warranty, or other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or later in this Agreement, any Loan Document or in any writing delivered to Bank or to induce Bank to enter this Agreement or any Loan Document, and such representation, warranty, or other statement is incorrect in any material respect when made;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8.9 Subordinated Debt. </w:t>
      </w:r>
      <w:r>
        <w:rPr>
          <w:rFonts w:ascii="Times New Roman" w:cs="Times New Roman" w:eastAsia="Times New Roman" w:hAnsi="Times New Roman"/>
          <w:sz w:val="18"/>
          <w:szCs w:val="18"/>
          <w:color w:val="auto"/>
        </w:rPr>
        <w:t>Any document, instrument, or agreement evidencing any Subordinated Debt shall for any reason be revoked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invalidated or otherwise cease to be in full force and effect (other than in accordance with its terms), any Person (other than Bank)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8.10 Guaranty. </w:t>
      </w:r>
      <w:r>
        <w:rPr>
          <w:rFonts w:ascii="Times New Roman" w:cs="Times New Roman" w:eastAsia="Times New Roman" w:hAnsi="Times New Roman"/>
          <w:sz w:val="18"/>
          <w:szCs w:val="18"/>
          <w:color w:val="auto"/>
        </w:rPr>
        <w:t>(a) Any guaranty of any Obligations terminates or ceases for any reason to be in full force and effect (other than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its terms); (b) any Guarantor does not perform any obligation or covenant under any guaranty of the Obligations; (c) any circumstance described in Sections 8.3, 8.4, 8.5, 8.6, 8.7, or 8.8 of this Agreement occurs with respect to any Guarantor, (d) the death, liquidation, winding up, or termination of existence of any Guarantor; or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8.11 Governmental Approvals. </w:t>
      </w:r>
      <w:r>
        <w:rPr>
          <w:rFonts w:ascii="Times New Roman" w:cs="Times New Roman" w:eastAsia="Times New Roman" w:hAnsi="Times New Roman"/>
          <w:sz w:val="18"/>
          <w:szCs w:val="18"/>
          <w:color w:val="auto"/>
        </w:rPr>
        <w:t>Any Governmental Approval shall have been (a) revoked, rescinded, suspended, modified in an adverse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in the case of clauses (a) and (b) above, such decision or such revocation, rescission, suspension, modification or non-renewal (i) cause, or could reasonably be expected to cause, a Material Adverse Change, or (ii) adversely affects the legal qualifications of a Co-Borrower or any of its Subsidiaries to hold such Governmental Approval in any applicable jurisdiction and such revocation, rescission, suspension, modification or non-renewal could reasonably be expected to affect the status of or legal qualifications of a Co-Borrower or any of its Subsidiaries to hold any Governmental Approval in any other jurisdiction and the failure to hold such Governmental Approval in such other jurisdiction could reasonably be expected to result in a Material Adverse Change.</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8.12 Lien Priority. </w:t>
      </w:r>
      <w:r>
        <w:rPr>
          <w:rFonts w:ascii="Times New Roman" w:cs="Times New Roman" w:eastAsia="Times New Roman" w:hAnsi="Times New Roman"/>
          <w:sz w:val="18"/>
          <w:szCs w:val="18"/>
          <w:color w:val="auto"/>
        </w:rPr>
        <w:t>There is a material impairment in the perfection or priority of Bank’s security interest in the Collateral or in the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Collateral (other than normal depreciation) which is not covered by adequate insurance.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8.13 Regulatory Event</w:t>
      </w:r>
      <w:r>
        <w:rPr>
          <w:rFonts w:ascii="Times New Roman" w:cs="Times New Roman" w:eastAsia="Times New Roman" w:hAnsi="Times New Roman"/>
          <w:sz w:val="18"/>
          <w:szCs w:val="18"/>
          <w:color w:val="auto"/>
        </w:rPr>
        <w:t>. The commencement of or an any development in (a) any inquiry, investigation, or regulatory action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Governmental Authority against a Co-Borrower, any of their Subsidiaries and/or any other Person engaged in the industry in which a Co-Borrower conducts its business or (b) any legal action or proceeding to which Co-Borrower, any of its Subsidiaries and/or any other Person engaged in the industry in which Co-Borrower conducts its business is a party that, in the case of either (a) or (b), Bank in its reasonable discretion determines would reasonably be expected to have a material adverse effect on Co-Borrower’s business.</w:t>
      </w:r>
    </w:p>
    <w:p>
      <w:pPr>
        <w:spacing w:after="0" w:line="179" w:lineRule="exact"/>
        <w:rPr>
          <w:sz w:val="20"/>
          <w:szCs w:val="20"/>
          <w:color w:val="auto"/>
        </w:rPr>
      </w:pPr>
    </w:p>
    <w:p>
      <w:pPr>
        <w:ind w:left="1600" w:hanging="944"/>
        <w:spacing w:after="0"/>
        <w:tabs>
          <w:tab w:leader="none" w:pos="16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BANK’S RIGHTS AND REMEDIES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 Rights and Remedies. </w:t>
      </w:r>
      <w:r>
        <w:rPr>
          <w:rFonts w:ascii="Times New Roman" w:cs="Times New Roman" w:eastAsia="Times New Roman" w:hAnsi="Times New Roman"/>
          <w:sz w:val="18"/>
          <w:szCs w:val="18"/>
          <w:color w:val="auto"/>
        </w:rPr>
        <w:t>Upon the occurrence and during the continuance of an Event of Default, Bank may, without notice or demand,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any or all of the following, in each case, subject to applicable law and the other Loan Documents: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right="20" w:firstLine="1304"/>
        <w:spacing w:after="0" w:line="282" w:lineRule="auto"/>
        <w:tabs>
          <w:tab w:leader="none" w:pos="25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all Obligations immediately due and payable (but if an Event of Default described in Section 8.5 occurs all Obligations are immediately due and payable without any action by Bank);</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2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advancing money or extending credit for Co-Borrowers’ benefit under this Agreement or under any other agreement between Co-Borrowers and Bank;</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that Co-Borrower (i) deposit cash with Bank in an amount equal to at least (A) one hundred five percent (105.0%) of the Dollar Equivalent of the aggregate face amount of all Letters of Credit denominated in Dollars remaining undrawn, and (B) one hundred ten percent (110.0%) of the Dollar Equivalent of the aggregate face amount of all Letters of Credit denominated in a Foreign Currency remaining undrawn (plus, in each case,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Co-Borrower shall forthwith deposit and pay such amounts, and (ii) pay in advance all letter of credit fees scheduled to be paid or payable over the remaining term of any Letters of Credit;</w:t>
      </w:r>
    </w:p>
    <w:p>
      <w:pPr>
        <w:spacing w:after="0" w:line="188"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FX Contracts;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Co-Borrower money of Bank’s security interest in such funds;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and do any acts it considers necessary or reasonable to protect the Collateral and/or its security interest in the Collateral. Co-Borrowers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Co-Borrower grants Bank a license to enter and occupy any of its premises, without charge, to exercise any of Bank’s rights or remedies;</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21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the Obligations any (i) balances and deposits of a Co-Borrower it holds, or (ii) amount held by Bank owing to or for the credit or the account of a Co-Borrower;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6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 reclaim, recover, store, finish, maintain, repair, prepare for sale, advertise for sale, and sell the Collateral. Solely upon the occurrence and continuation of an Event of Default, Bank shall be granted a non-exclusive, royalty-free license or other right to use, without charge, Co-Borrower’s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9.1, Co-Borrowers’ rights under all licenses and all franchise agreements inure to Bank’s benefit;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3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61"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receive possession of a Co-Borrower’s Books;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82" w:lineRule="auto"/>
        <w:tabs>
          <w:tab w:leader="none" w:pos="24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rights and remedies available to Bank under the Loan Documents (including, without limitation, each UK Security Document) or at law or equity, including all remedies provided under the Code (including disposal of the Collateral pursuant to the terms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9.2 Power of Attorney</w:t>
      </w:r>
      <w:r>
        <w:rPr>
          <w:rFonts w:ascii="Times New Roman" w:cs="Times New Roman" w:eastAsia="Times New Roman" w:hAnsi="Times New Roman"/>
          <w:sz w:val="18"/>
          <w:szCs w:val="18"/>
          <w:color w:val="auto"/>
        </w:rPr>
        <w:t>. Each Co-Borrower hereby irrevocably appoints Bank as its lawful attorney-in-fact, exercisable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and during the continuance of an Event of Default, to: (a) endorse Co-Borrower’s name on any checks or other forms of payment or security;</w:t>
      </w:r>
    </w:p>
    <w:p>
      <w:pPr>
        <w:spacing w:after="0" w:line="1" w:lineRule="exact"/>
        <w:rPr>
          <w:sz w:val="20"/>
          <w:szCs w:val="20"/>
          <w:color w:val="auto"/>
        </w:rPr>
      </w:pPr>
    </w:p>
    <w:p>
      <w:pPr>
        <w:jc w:val="both"/>
        <w:ind w:firstLine="8"/>
        <w:spacing w:after="0" w:line="251" w:lineRule="auto"/>
        <w:tabs>
          <w:tab w:leader="none" w:pos="26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Co-Borrower’s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Co-Borrower’s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Each Co-Borrower hereby appoints Bank as its lawful attorney-in-fact to sign Co-Borrower’s name on any documents necessary to perfect or continue the perfection of Bank’s security interest in the Collateral regardless of whether an Event of Default has occurred until all Obligations (other than inchoate indemnity obligations) have been satisfied in full and Bank is under no further obligation to make Credit Extensions hereunder. Bank’s foregoing appointment as each Co-Borrower’s attorney in fact, and all of Bank’s rights and powers, coupled with an interest, are irrevocable until all Obligations (other than inchoate indemnity obligations) have been fully repaid and performed and Bank’s obligation to provide Credit Extensions terminates.</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9.3 Protective Payments. </w:t>
      </w:r>
      <w:r>
        <w:rPr>
          <w:rFonts w:ascii="Times New Roman" w:cs="Times New Roman" w:eastAsia="Times New Roman" w:hAnsi="Times New Roman"/>
          <w:sz w:val="18"/>
          <w:szCs w:val="18"/>
          <w:color w:val="auto"/>
        </w:rPr>
        <w:t>If a Co-Borrower fails to obtain the insurance called for by Section 6.4 or fails to pay any premium thereon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fails to pay any other amount which such Co-Borrower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Co-Borrowers with notice of Bank obtaining such insurance at the time it is obtained or within a reasonable time thereafter. No payments by Bank are deemed an agreement to make similar payments in the future or Bank’s waiver of any Event of Default.</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9.4 Application of Payments and Proceeds. </w:t>
      </w:r>
      <w:r>
        <w:rPr>
          <w:rFonts w:ascii="Times New Roman" w:cs="Times New Roman" w:eastAsia="Times New Roman" w:hAnsi="Times New Roman"/>
          <w:sz w:val="18"/>
          <w:szCs w:val="18"/>
          <w:color w:val="auto"/>
        </w:rPr>
        <w:t>If an Event of Default has occurred and is continuing, Bank shall have the right to apply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order any funds in its possession, whether from Co-Borrowers’ account balances, payments, proceeds realized as the result of any collection of Accounts or other disposition of the Collateral, or otherwise, to the Obligations. Bank shall pay any surplus to Co-Borrowers by credit to the Designated Deposit Account or to other Persons legally entitled thereto; Co-Borrowers shall remain liable to Bank for any deficiency. If Bank, in its good faith business judgment,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9.5 Bank’s Liability for Collateral. </w:t>
      </w:r>
      <w:r>
        <w:rPr>
          <w:rFonts w:ascii="Times New Roman" w:cs="Times New Roman" w:eastAsia="Times New Roman" w:hAnsi="Times New Roman"/>
          <w:sz w:val="18"/>
          <w:szCs w:val="18"/>
          <w:color w:val="auto"/>
        </w:rPr>
        <w:t>So long as Bank complies with reasonable banking practices regarding the safekeeping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Co-Borrowers bear all risk of loss, damage or destruction of the Collateral.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9.6 No Waiver; Remedies Cumulative. </w:t>
      </w:r>
      <w:r>
        <w:rPr>
          <w:rFonts w:ascii="Times New Roman" w:cs="Times New Roman" w:eastAsia="Times New Roman" w:hAnsi="Times New Roman"/>
          <w:sz w:val="18"/>
          <w:szCs w:val="18"/>
          <w:color w:val="auto"/>
        </w:rPr>
        <w:t>Bank’s failure, at any time or times, to require strict performance by Co-Borrowers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9.7 Demand Waiver. </w:t>
      </w:r>
      <w:r>
        <w:rPr>
          <w:rFonts w:ascii="Times New Roman" w:cs="Times New Roman" w:eastAsia="Times New Roman" w:hAnsi="Times New Roman"/>
          <w:sz w:val="18"/>
          <w:szCs w:val="18"/>
          <w:color w:val="auto"/>
        </w:rPr>
        <w:t>Each Co-Borrower waives demand, notice of default or dishonor, notice of payment and nonpayment, notice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nonpayment at maturity, release, compromise, settlement, extension, or renewal of accounts, documents, instruments, chattel paper, and guarantees held by Bank on which a Co-Borrower is liable.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9.8 Co-Borrower Liability. </w:t>
      </w:r>
      <w:r>
        <w:rPr>
          <w:rFonts w:ascii="Times New Roman" w:cs="Times New Roman" w:eastAsia="Times New Roman" w:hAnsi="Times New Roman"/>
          <w:sz w:val="18"/>
          <w:szCs w:val="18"/>
          <w:color w:val="auto"/>
        </w:rPr>
        <w:t>Either Co-Borrower may, acting singly, request Advances hereunder. Each Co-Borrower hereby appoints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as agent for the other for all purposes hereunder, including with respect to requesting Advances hereunder. Each Co-Borrower hereunder shall be jointly and severally obligated to repay all Advances made hereunder, regardless of which Co-Borrower actually receives said Advance, as if each Co-Borrower hereunder directly received all Advances. Each Co-Borrower waives (a) any suretyship defenses available to it under the Code or any other applicable law, including, without limitation, the benefit of California Civil Code Section 2815 permitting revocation as to future transactions and the benefit of California Civil Code Sections 1432, 2809, 2810, 2819, 2839, 2845, 2847, 2848, 2849, 2850, and 2899 and 3433, and (b) any right to require Bank to: (i) proceed against any Co-Borrower or any other person; (ii) proceed against or exhaust any security; or (iii) pursue any other remedy. Bank may exercise or not exercise any right or remedy it has against any Co-Borrower or any security it holds (including the right to foreclose by judicial or non-judicial sale) without affecting any Co-Borrower’s liability. Notwithstanding any other provision of this Agreement or other related document, and subject to the laws of the relevant jurisdiction, each Co-Borrower irrevocably waives all rights that it may have at law or in equity (including, without limitation, any law subrogating Co-Borrower to the rights of Bank under this Agreement) to seek contribution, indemnification or any other form of reimbursement from any other Co-Borrower, or any other Person now or hereafter primarily or secondarily liable for any of the Obligations, for any payment made by Co-Borrower with respect to the Obligations in connection with this Agreement or otherwise and all rights that it might have to benefit from, or to participate in, any security for the Obligations as a result of any payment made by Co-Borrower with respect to the Obligations in connection with this Agreement or otherwise. Any agreement providing for indemnification, reimbursement or any other arrangement prohibited under this Section shall be null and void. If any payment is made to a Co-Borrower in contravention of this Section, such Co-Borrower shall hold such payment in trust for Bank and such payment shall be promptly delivered to Bank for application to the Obligations, whether matured or unmatured.</w:t>
      </w:r>
    </w:p>
    <w:p>
      <w:pPr>
        <w:spacing w:after="0" w:line="193" w:lineRule="exact"/>
        <w:rPr>
          <w:sz w:val="20"/>
          <w:szCs w:val="20"/>
          <w:color w:val="auto"/>
        </w:rPr>
      </w:pPr>
    </w:p>
    <w:p>
      <w:pPr>
        <w:ind w:left="1600" w:hanging="944"/>
        <w:spacing w:after="0"/>
        <w:tabs>
          <w:tab w:leader="none" w:pos="16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or UK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a Co-Borrower may change its mailing or electronic mail address or facsimile number by giving the other party written notice thereof in accordance with the terms of this Section 10.</w:t>
      </w:r>
    </w:p>
    <w:p>
      <w:pPr>
        <w:sectPr>
          <w:pgSz w:w="11900" w:h="16838" w:orient="portrait"/>
          <w:cols w:equalWidth="0" w:num="1">
            <w:col w:w="11240"/>
          </w:cols>
          <w:pgMar w:left="320" w:top="900" w:right="339" w:bottom="1440" w:gutter="0" w:footer="0" w:header="0"/>
        </w:sectPr>
      </w:pPr>
    </w:p>
    <w:p>
      <w:pPr>
        <w:spacing w:after="0" w:line="18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If to Co-Borrower: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VERONA PHARMA,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8045 Arco Corporate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Raleigh, North Carolina 27617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Mark Hahn,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020" w:space="580"/>
            <w:col w:w="8640"/>
          </w:cols>
          <w:pgMar w:left="320" w:top="900" w:right="339" w:bottom="1440" w:gutter="0" w:footer="0" w:header="0"/>
          <w:type w:val="continuous"/>
        </w:sectPr>
      </w:pPr>
    </w:p>
    <w:p>
      <w:pPr>
        <w:spacing w:after="0" w:line="3" w:lineRule="exact"/>
        <w:rPr>
          <w:sz w:val="20"/>
          <w:szCs w:val="20"/>
          <w:color w:val="auto"/>
        </w:rPr>
      </w:pPr>
    </w:p>
    <w:p>
      <w:pPr>
        <w:ind w:left="660"/>
        <w:spacing w:after="0"/>
        <w:tabs>
          <w:tab w:leader="none" w:pos="2560" w:val="left"/>
        </w:tabs>
        <w:rPr>
          <w:sz w:val="20"/>
          <w:szCs w:val="20"/>
          <w:color w:val="auto"/>
        </w:rPr>
      </w:pPr>
      <w:r>
        <w:rPr>
          <w:rFonts w:ascii="Times New Roman" w:cs="Times New Roman" w:eastAsia="Times New Roman" w:hAnsi="Times New Roman"/>
          <w:sz w:val="18"/>
          <w:szCs w:val="18"/>
          <w:color w:val="auto"/>
        </w:rPr>
        <w:t>with a copy to:</w:t>
      </w:r>
      <w:r>
        <w:rPr>
          <w:sz w:val="20"/>
          <w:szCs w:val="20"/>
          <w:color w:val="auto"/>
        </w:rPr>
        <w:tab/>
      </w:r>
      <w:r>
        <w:rPr>
          <w:rFonts w:ascii="Times New Roman" w:cs="Times New Roman" w:eastAsia="Times New Roman" w:hAnsi="Times New Roman"/>
          <w:sz w:val="17"/>
          <w:szCs w:val="17"/>
          <w:b w:val="1"/>
          <w:bCs w:val="1"/>
          <w:color w:val="auto"/>
        </w:rPr>
        <w:t>VERONA PHARMA PLC</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London, SE1 2RE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Claire Poll, General Counsel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18"/>
          <w:szCs w:val="18"/>
          <w:color w:val="auto"/>
        </w:rPr>
        <w:t>If to Bank:</w:t>
      </w:r>
      <w:r>
        <w:rPr>
          <w:sz w:val="20"/>
          <w:szCs w:val="20"/>
          <w:color w:val="auto"/>
        </w:rPr>
        <w:tab/>
      </w:r>
      <w:r>
        <w:rPr>
          <w:rFonts w:ascii="Times New Roman" w:cs="Times New Roman" w:eastAsia="Times New Roman" w:hAnsi="Times New Roman"/>
          <w:sz w:val="17"/>
          <w:szCs w:val="17"/>
          <w:b w:val="1"/>
          <w:bCs w:val="1"/>
          <w:color w:val="auto"/>
        </w:rPr>
        <w:t>SILICON VALLEY BANK</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275 Grove Street, Suite 2-200 I</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Newton, MA 02466</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Michael McMahon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5" w:name="page26"/>
    <w:bookmarkEnd w:id="25"/>
    <w:p>
      <w:pPr>
        <w:ind w:left="1600" w:hanging="944"/>
        <w:spacing w:after="0"/>
        <w:tabs>
          <w:tab w:leader="none" w:pos="16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JURY TRIAL WAIVER AND JUDICIAL REFERENCE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otherwise expressly provided in any of the Loan Documents, California law governs the Loan Documents without regard to principles of conflicts of law. Co-Borrowers and Bank each submit to the exclusive jurisdiction of the State and Federal courts in Santa Clara County, California;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Each Co-Borrower expressly submits and consents in advance to such jurisdiction in any action or suit commenced in any such court, and each Co-Borrower hereby waives any objection that it may have based upon lack of personal jurisdiction, improper venue, or forum non conveniens and hereby consents to the granting of such legal or equitable relief as is deemed appropriate by such court. Each Co-Borrower hereby waives personal service of the summons, complaints, and other process issued in such action or suit and agrees that service of such summons, complaints, and other process may be made by registered or certified mail addressed to such Co-Borrower at the address set forth in, or subsequently provided by such Co-Borrower in accordance with, Section 10 of this Agreement and that service so made shall be deemed completed upon the earlier to occur of such Co-Borrower’s actual receipt thereof or three (3) days after deposit in the U.S. mails, proper postage prepaid.</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TO THE FULLEST EXTENT PERMITTED BY APPLICABLE LAW, EACH CO-BORROWER AND BANK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Section 11 shall survive the termination of this Agreement.</w:t>
      </w:r>
    </w:p>
    <w:p>
      <w:pPr>
        <w:spacing w:after="0" w:line="221" w:lineRule="exact"/>
        <w:rPr>
          <w:sz w:val="20"/>
          <w:szCs w:val="20"/>
          <w:color w:val="auto"/>
        </w:rPr>
      </w:pPr>
    </w:p>
    <w:p>
      <w:pPr>
        <w:ind w:left="1600" w:hanging="944"/>
        <w:spacing w:after="0"/>
        <w:tabs>
          <w:tab w:leader="none" w:pos="16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12.1 Termination Prior to Maturity Date; Survival. </w:t>
      </w:r>
      <w:r>
        <w:rPr>
          <w:rFonts w:ascii="Times New Roman" w:cs="Times New Roman" w:eastAsia="Times New Roman" w:hAnsi="Times New Roman"/>
          <w:sz w:val="18"/>
          <w:szCs w:val="18"/>
          <w:color w:val="auto"/>
        </w:rPr>
        <w:t>All covenants, representations and warranties made in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in full force until this Agreement has terminated pursuant to its terms and all Obligations (other than inchoate indemnity obligations) have been satisfied. So long as Co-Borrower has satisfied their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Term Loan Maturity Date by Co-Borrowers,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6" w:name="page27"/>
    <w:bookmarkEnd w:id="26"/>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12.2 Successors and Assigns. </w:t>
      </w:r>
      <w:r>
        <w:rPr>
          <w:rFonts w:ascii="Times New Roman" w:cs="Times New Roman" w:eastAsia="Times New Roman" w:hAnsi="Times New Roman"/>
          <w:sz w:val="18"/>
          <w:szCs w:val="18"/>
          <w:color w:val="auto"/>
        </w:rPr>
        <w:t>This Agreement binds and is for the benefit of the successors and permitted assigns of each party. No Co-Borrower may assign this Agreement or any rights or obligations under it without Bank’s prior written consent (which may be granted or withheld in Bank’s discretion). Bank has the right, without the consent of or notice to Co-Borrowers, to sell, transfer, assign, negotiate, or grant participation in all or any part of, or any interest in, Bank’s obligations, rights, and benefits under this Agreement and the other Loan Documents. Bank hereby agrees that so long as no Event of Default has occurred and is continuing, Bank shall not assign its rights hereunder to any operating company that is a direct competitor of any Co-Borrower or a vulture or distressed debt fund.</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12.3 Indemnification</w:t>
      </w:r>
      <w:r>
        <w:rPr>
          <w:rFonts w:ascii="Times New Roman" w:cs="Times New Roman" w:eastAsia="Times New Roman" w:hAnsi="Times New Roman"/>
          <w:sz w:val="18"/>
          <w:szCs w:val="18"/>
          <w:color w:val="auto"/>
        </w:rPr>
        <w:t>. Co-Borrowers agree to indemnify, defend and hold Bank and its directors, officers, employees, agents, attorneys,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Person affiliated with or representing Bank (each, an “Indemnified Person”) harmless against: (i) all obligations, demands, claims, and liabilities (collectively, “Claims”) claimed or 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Co-Borrowers (including reasonable attorneys’ fees and expenses), except for Claims and/or losses directly caused by such Indemnified Person’s gross negligence or willful misconduct and any Tax on net income, profits or gains of Bank or in respect of a Tax Deduction (which shall be dealt with in accordance with Section 2.6). Without limiting the generality of Section 2 or Section 4 of Schedule 2.6, this Section 12.3 shall not apply with respect to taxes other than any taxes that represent losses, claims, damages, etc. arising from any non-Tax claim.</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Section 12.3 shall survive until all statutes of limitation with respect to the Claims, losses, and expenses for which indemnity is given shall have run.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12.4</w:t>
            </w:r>
          </w:p>
        </w:tc>
        <w:tc>
          <w:tcPr>
            <w:tcW w:w="9980" w:type="dxa"/>
            <w:vAlign w:val="bottom"/>
          </w:tcPr>
          <w:p>
            <w:pPr>
              <w:jc w:val="right"/>
              <w:ind w:right="2510"/>
              <w:spacing w:after="0"/>
              <w:rPr>
                <w:sz w:val="20"/>
                <w:szCs w:val="20"/>
                <w:color w:val="auto"/>
              </w:rPr>
            </w:pPr>
            <w:r>
              <w:rPr>
                <w:rFonts w:ascii="Times New Roman" w:cs="Times New Roman" w:eastAsia="Times New Roman" w:hAnsi="Times New Roman"/>
                <w:sz w:val="18"/>
                <w:szCs w:val="18"/>
                <w:b w:val="1"/>
                <w:bCs w:val="1"/>
                <w:color w:val="auto"/>
              </w:rPr>
              <w:t xml:space="preserve">Time of Essence. </w:t>
            </w:r>
            <w:r>
              <w:rPr>
                <w:rFonts w:ascii="Times New Roman" w:cs="Times New Roman" w:eastAsia="Times New Roman" w:hAnsi="Times New Roman"/>
                <w:sz w:val="18"/>
                <w:szCs w:val="18"/>
                <w:color w:val="auto"/>
              </w:rPr>
              <w:t>Time is of the essence for the performance of all Obligations in this Agreement.</w:t>
            </w:r>
          </w:p>
        </w:tc>
      </w:tr>
      <w:tr>
        <w:trPr>
          <w:trHeight w:val="414"/>
        </w:trPr>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12.5</w:t>
            </w:r>
          </w:p>
        </w:tc>
        <w:tc>
          <w:tcPr>
            <w:tcW w:w="9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Severability of Provisions. </w:t>
            </w:r>
            <w:r>
              <w:rPr>
                <w:rFonts w:ascii="Times New Roman" w:cs="Times New Roman" w:eastAsia="Times New Roman" w:hAnsi="Times New Roman"/>
                <w:sz w:val="18"/>
                <w:szCs w:val="18"/>
                <w:color w:val="auto"/>
              </w:rPr>
              <w:t>Each provision of this Agreement is severable from every other provision in determining the</w:t>
            </w:r>
          </w:p>
        </w:tc>
      </w:tr>
      <w:tr>
        <w:trPr>
          <w:trHeight w:val="234"/>
        </w:trPr>
        <w:tc>
          <w:tcPr>
            <w:tcW w:w="11240" w:type="dxa"/>
            <w:vAlign w:val="bottom"/>
            <w:gridSpan w:val="2"/>
          </w:tcPr>
          <w:p>
            <w:pPr>
              <w:jc w:val="right"/>
              <w:ind w:right="8870"/>
              <w:spacing w:after="0"/>
              <w:rPr>
                <w:sz w:val="20"/>
                <w:szCs w:val="20"/>
                <w:color w:val="auto"/>
              </w:rPr>
            </w:pPr>
            <w:r>
              <w:rPr>
                <w:rFonts w:ascii="Times New Roman" w:cs="Times New Roman" w:eastAsia="Times New Roman" w:hAnsi="Times New Roman"/>
                <w:sz w:val="18"/>
                <w:szCs w:val="18"/>
                <w:color w:val="auto"/>
                <w:w w:val="99"/>
              </w:rPr>
              <w:t>enforceability of any provision.</w:t>
            </w:r>
          </w:p>
        </w:tc>
      </w:tr>
      <w:tr>
        <w:trPr>
          <w:trHeight w:val="432"/>
        </w:trPr>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12.6</w:t>
            </w:r>
          </w:p>
        </w:tc>
        <w:tc>
          <w:tcPr>
            <w:tcW w:w="9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Correction of Loan Documents. </w:t>
            </w:r>
            <w:r>
              <w:rPr>
                <w:rFonts w:ascii="Times New Roman" w:cs="Times New Roman" w:eastAsia="Times New Roman" w:hAnsi="Times New Roman"/>
                <w:sz w:val="18"/>
                <w:szCs w:val="18"/>
                <w:color w:val="auto"/>
              </w:rPr>
              <w:t>Bank may correct patent errors and fill in any blanks in the Loan Documents consistent with the</w:t>
            </w:r>
          </w:p>
        </w:tc>
      </w:tr>
    </w:tbl>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agreement of the parties so long as Bank provides Co-Borrower with written notice of such correction and allows Co-Borrower at least ten (10) days to object to such correction. In the event of such objection, such correction shall not be made except by an amendment signed by each of Bank and Co-Borrower.</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12.7 Amendments in Writing; Waiver; Integration. </w:t>
      </w:r>
      <w:r>
        <w:rPr>
          <w:rFonts w:ascii="Times New Roman" w:cs="Times New Roman" w:eastAsia="Times New Roman" w:hAnsi="Times New Roman"/>
          <w:sz w:val="18"/>
          <w:szCs w:val="18"/>
          <w:color w:val="auto"/>
        </w:rPr>
        <w:t>No purported amendment or modification of any Loan Document, or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discharge or 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12.8 Counterparts. </w:t>
      </w:r>
      <w:r>
        <w:rPr>
          <w:rFonts w:ascii="Times New Roman" w:cs="Times New Roman" w:eastAsia="Times New Roman" w:hAnsi="Times New Roman"/>
          <w:sz w:val="18"/>
          <w:szCs w:val="18"/>
          <w:color w:val="auto"/>
        </w:rPr>
        <w:t>This Agreement may be executed in any number of counterparts and by different parties on separate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which, when executed and delivered, is an original, and all taken together, constitute one Agreement. It is intended that this Agreement shall take effect as a deed in respect of UK Borrower notwithstanding the method of execution of this Agreement by the other parties hereto.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12.9 Confidentiality. </w:t>
      </w:r>
      <w:r>
        <w:rPr>
          <w:rFonts w:ascii="Times New Roman" w:cs="Times New Roman" w:eastAsia="Times New Roman" w:hAnsi="Times New Roman"/>
          <w:sz w:val="18"/>
          <w:szCs w:val="18"/>
          <w:color w:val="auto"/>
        </w:rPr>
        <w:t>In handling any confidential information, Bank shall exercise the same degree of care that it exercises for its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information, but disclosure of information may be made: (a) to Bank’s Subsidiaries or Affiliates (such Subsidiaries and Affiliates, together with Bank, collectively, “</w:t>
      </w:r>
      <w:r>
        <w:rPr>
          <w:rFonts w:ascii="Times New Roman" w:cs="Times New Roman" w:eastAsia="Times New Roman" w:hAnsi="Times New Roman"/>
          <w:sz w:val="18"/>
          <w:szCs w:val="18"/>
          <w:b w:val="1"/>
          <w:bCs w:val="1"/>
          <w:color w:val="auto"/>
        </w:rPr>
        <w:t>Bank Entities</w:t>
      </w:r>
      <w:r>
        <w:rPr>
          <w:rFonts w:ascii="Times New Roman" w:cs="Times New Roman" w:eastAsia="Times New Roman" w:hAnsi="Times New Roman"/>
          <w:sz w:val="18"/>
          <w:szCs w:val="18"/>
          <w:color w:val="auto"/>
        </w:rPr>
        <w:t>”) provided that such Bank Entities are bound by the same non-use and non-disclosure obligations set forth in this Section 12.9; (b) to prospective transferees or purchasers of any interest in the Credit Extensions (provided, however, that any prospective transferee or purchaser shall have entered into an agreement containing provisions substantially the same as the terms of this provision); (c) as required by law, regulation, subpoena, or other order; (d) to Bank’s regulators or as otherwise required in connection with Bank’s examination or audit; (e) as Bank reasonably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Bank Entities may use anonymous forms of confidential information for aggregate datasets, for analyses or reporting, and for any other uses not expressly prohibited in writing by Co-Borrowers. The provisions of the immediately preceding sentence shall survive the termination of this Agreement.</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12.10 Attorneys’ Fees, Costs and Expenses. </w:t>
      </w:r>
      <w:r>
        <w:rPr>
          <w:rFonts w:ascii="Times New Roman" w:cs="Times New Roman" w:eastAsia="Times New Roman" w:hAnsi="Times New Roman"/>
          <w:sz w:val="18"/>
          <w:szCs w:val="18"/>
          <w:color w:val="auto"/>
        </w:rPr>
        <w:t>In any action or proceeding between Co-Borrowers and Bank arising out of or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Documents, the prevailing party shall be entitled to recover its reasonable attorneys’ fees and other costs and expenses incurred, in addition to any other relief to which it may be entitled.</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12.11 Electronic Execution of Documents. </w:t>
      </w:r>
      <w:r>
        <w:rPr>
          <w:rFonts w:ascii="Times New Roman" w:cs="Times New Roman" w:eastAsia="Times New Roman" w:hAnsi="Times New Roman"/>
          <w:sz w:val="18"/>
          <w:szCs w:val="18"/>
          <w:color w:val="auto"/>
        </w:rPr>
        <w:t>The words “execution,” “signed,” “signature” and words of like import in any Loan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76"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12.12</w:t>
      </w:r>
      <w:r>
        <w:rPr>
          <w:sz w:val="20"/>
          <w:szCs w:val="20"/>
          <w:color w:val="auto"/>
        </w:rPr>
        <w:tab/>
      </w:r>
      <w:r>
        <w:rPr>
          <w:rFonts w:ascii="Times New Roman" w:cs="Times New Roman" w:eastAsia="Times New Roman" w:hAnsi="Times New Roman"/>
          <w:sz w:val="17"/>
          <w:szCs w:val="17"/>
          <w:b w:val="1"/>
          <w:bCs w:val="1"/>
          <w:color w:val="auto"/>
        </w:rPr>
        <w:t>Right of Setoff.</w:t>
      </w:r>
    </w:p>
    <w:p>
      <w:pPr>
        <w:spacing w:after="0" w:line="229" w:lineRule="exact"/>
        <w:rPr>
          <w:sz w:val="20"/>
          <w:szCs w:val="20"/>
          <w:color w:val="auto"/>
        </w:rPr>
      </w:pPr>
    </w:p>
    <w:p>
      <w:pPr>
        <w:jc w:val="both"/>
        <w:ind w:firstLine="980"/>
        <w:spacing w:after="0" w:line="254" w:lineRule="auto"/>
        <w:tabs>
          <w:tab w:leader="none" w:pos="14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Co-Borrower hereby grants to Bank a Lien and a right of setoff as security for all Obligations to Bank, whether now existing or hereafter arising upon and against all deposits, credits, collateral and property, now or hereafter in the possession, custody, safekeeping or control of Bank or any entity under the control of Bank (including a subsidiary of Bank) or in transit to any of them. At any time after the occurrence and during the continuance of an Event of Default, without demand or notice, Bank may setoff the same or any part thereof and apply the same to any liability or Obligation of Co-Borrowers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CO-BORROWERS, ARE HEREBY KNOWINGLY, VOLUNTARILY AND IRREVOCABLY WAIVED</w:t>
      </w:r>
    </w:p>
    <w:p>
      <w:pPr>
        <w:spacing w:after="0" w:line="191" w:lineRule="exact"/>
        <w:rPr>
          <w:rFonts w:ascii="Times New Roman" w:cs="Times New Roman" w:eastAsia="Times New Roman" w:hAnsi="Times New Roman"/>
          <w:sz w:val="18"/>
          <w:szCs w:val="18"/>
          <w:color w:val="auto"/>
        </w:rPr>
      </w:pPr>
    </w:p>
    <w:p>
      <w:pPr>
        <w:jc w:val="both"/>
        <w:ind w:firstLine="980"/>
        <w:spacing w:after="0" w:line="254" w:lineRule="auto"/>
        <w:tabs>
          <w:tab w:leader="none" w:pos="136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may set off any matured obligation due from UK Borrower under the Loan Documents (to the extent beneficially owned by Bank) against any matured obligation owed by Bank to UK Borrower, regardless of the place of payment, banking branch or currency of either obligation. Further, UK Borrower authorizes Bank to apply (without prior notice) any matured credit balance to which UK Borrower is at any time beneficially entitled on any account at, any sum held to its order by and/or any liability or obligation of, any office of Bank in or towards satisfaction of any sum then due and payable and unpaid by it to Bank under the Loan Documents and unpaid. For these purposes, if the obligations are in different currencies, Bank may convert either obligation into another currency at a market rate of exchange in its usual course of business for the purpose of the set-off, provided that nothing in this Section 12.12 shall be effective to create a charge. Bank shall not be obliged to exercise any of its rights under this Section 12.12, which shall be without prejudice and in addition to any right of set-off, combination of accounts, lien or other right (including the benefit of the Loan Documents) to which it is at any time otherwise entitled (whether by operation of law, contract or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66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12.13</w:t>
      </w:r>
      <w:r>
        <w:rPr>
          <w:sz w:val="20"/>
          <w:szCs w:val="20"/>
          <w:color w:val="auto"/>
        </w:rPr>
        <w:tab/>
      </w:r>
      <w:r>
        <w:rPr>
          <w:rFonts w:ascii="Times New Roman" w:cs="Times New Roman" w:eastAsia="Times New Roman" w:hAnsi="Times New Roman"/>
          <w:sz w:val="17"/>
          <w:szCs w:val="17"/>
          <w:b w:val="1"/>
          <w:bCs w:val="1"/>
          <w:color w:val="auto"/>
        </w:rPr>
        <w:t xml:space="preserve">Captions. </w:t>
      </w:r>
      <w:r>
        <w:rPr>
          <w:rFonts w:ascii="Times New Roman" w:cs="Times New Roman" w:eastAsia="Times New Roman" w:hAnsi="Times New Roman"/>
          <w:sz w:val="17"/>
          <w:szCs w:val="17"/>
          <w:color w:val="auto"/>
        </w:rPr>
        <w:t>The headings used in this Agreement are for convenience only and shall not affect the interpretation of this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12.14 Construction of Agreement. </w:t>
      </w:r>
      <w:r>
        <w:rPr>
          <w:rFonts w:ascii="Times New Roman" w:cs="Times New Roman" w:eastAsia="Times New Roman" w:hAnsi="Times New Roman"/>
          <w:sz w:val="18"/>
          <w:szCs w:val="18"/>
          <w:color w:val="auto"/>
        </w:rPr>
        <w:t>The parties mutually acknowledge that they and their attorneys have participated in the preparation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negotiation of this Agreement. In cases of uncertainty this Agreement shall be construed without regard to which of the parties caused the uncertainty to exist.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12.15 Relationship. </w:t>
      </w:r>
      <w:r>
        <w:rPr>
          <w:rFonts w:ascii="Times New Roman" w:cs="Times New Roman" w:eastAsia="Times New Roman" w:hAnsi="Times New Roman"/>
          <w:sz w:val="18"/>
          <w:szCs w:val="18"/>
          <w:color w:val="auto"/>
        </w:rPr>
        <w:t>The relationship of the parties to this Agreement is determined solely by the provisions of this Agreement.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not intend to create any agency, partnership, joint venture, trust, fiduciary or other relationship with duties or incidents different from those of parties to an arm’s-length contract.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12.16 Third Parties. </w:t>
      </w:r>
      <w:r>
        <w:rPr>
          <w:rFonts w:ascii="Times New Roman" w:cs="Times New Roman" w:eastAsia="Times New Roman" w:hAnsi="Times New Roman"/>
          <w:sz w:val="18"/>
          <w:szCs w:val="18"/>
          <w:color w:val="auto"/>
        </w:rPr>
        <w:t>Nothing in this Agreement, whether express or implied, is intended to: (a) confer any benefits, rights or remedies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12.17 VAT</w:t>
      </w:r>
      <w:r>
        <w:rPr>
          <w:rFonts w:ascii="Times New Roman" w:cs="Times New Roman" w:eastAsia="Times New Roman" w:hAnsi="Times New Roman"/>
          <w:sz w:val="18"/>
          <w:szCs w:val="18"/>
          <w:color w:val="auto"/>
        </w:rPr>
        <w:t>. All amounts payable under a Loan Document which (in whole or in part) constitute the consideration for any supply for VAT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are deemed to be exclusive of any VAT which is chargeable on that supply, and, where Bank (or the representative member (or non-UK equivalent) of a VAT group registration of which the Bank is a member) is required to account for such VAT to the relevant tax authority, such VAT shall be payable in addition to such amount (subject to the provision of a valid VAT invoice). Where a Loan Document requires UK Borrower to reimburse or indemnify Bank for any cost or expense, UK Borrower shall reimburse Bank for the full amount of such cost or expense, including such part thereof as represents VAT, save to the extent that Bank reasonably determines in good faith that it is entitled to credit or repayment in respect of such VAT from the relevant tax authority.</w:t>
      </w:r>
    </w:p>
    <w:p>
      <w:pPr>
        <w:spacing w:after="0" w:line="183" w:lineRule="exact"/>
        <w:rPr>
          <w:sz w:val="20"/>
          <w:szCs w:val="20"/>
          <w:color w:val="auto"/>
        </w:rPr>
      </w:pPr>
    </w:p>
    <w:p>
      <w:pPr>
        <w:ind w:left="1560" w:hanging="904"/>
        <w:spacing w:after="0"/>
        <w:tabs>
          <w:tab w:leader="none" w:pos="15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13.1 Definitions. </w:t>
      </w:r>
      <w:r>
        <w:rPr>
          <w:rFonts w:ascii="Times New Roman" w:cs="Times New Roman" w:eastAsia="Times New Roman" w:hAnsi="Times New Roman"/>
          <w:sz w:val="18"/>
          <w:szCs w:val="18"/>
          <w:color w:val="auto"/>
        </w:rPr>
        <w:t>As used in the Loan Documents, the word “shall” is mandatory, the word “may” is permissive, the word “or”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the words “includes” and “including” are not limiting, the singular includes the plural, and numbers denoting amounts that are set off in brackets are negative. As used in this Agreement, the following capitalized terms have the following meanings: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is, as to any Person, any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of such Person as “account” is defined in the Code with such additions to such term as may hereafter be made, and includes, without limitation, all accounts receivable and other sums owing to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is any “</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as defined in the Code with such additions to such term as may hereafter be made.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Signer</w:t>
      </w:r>
      <w:r>
        <w:rPr>
          <w:rFonts w:ascii="Times New Roman" w:cs="Times New Roman" w:eastAsia="Times New Roman" w:hAnsi="Times New Roman"/>
          <w:sz w:val="18"/>
          <w:szCs w:val="18"/>
          <w:color w:val="auto"/>
        </w:rPr>
        <w:t>” is any individual listed in a Co-Borrower’s Borrowing Resolution who is authorized to execute the Loan Documents, including making (and executing if applicable) any Credit Extension request, on behalf of a Co-Borrower.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Entities</w:t>
      </w:r>
      <w:r>
        <w:rPr>
          <w:rFonts w:ascii="Times New Roman" w:cs="Times New Roman" w:eastAsia="Times New Roman" w:hAnsi="Times New Roman"/>
          <w:sz w:val="18"/>
          <w:szCs w:val="18"/>
          <w:color w:val="auto"/>
        </w:rPr>
        <w:t>” is defined in Section 12.9.</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Expenses</w:t>
      </w:r>
      <w:r>
        <w:rPr>
          <w:rFonts w:ascii="Times New Roman" w:cs="Times New Roman" w:eastAsia="Times New Roman" w:hAnsi="Times New Roman"/>
          <w:sz w:val="18"/>
          <w:szCs w:val="18"/>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Co-Borrowers or any Guarantor.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Services</w:t>
      </w:r>
      <w:r>
        <w:rPr>
          <w:rFonts w:ascii="Times New Roman" w:cs="Times New Roman" w:eastAsia="Times New Roman" w:hAnsi="Times New Roman"/>
          <w:sz w:val="18"/>
          <w:szCs w:val="18"/>
          <w:color w:val="auto"/>
        </w:rPr>
        <w:t>” are any products, credit services, and/or financial accommodations previously, now, or hereafter provided to Co-Borrower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Times New Roman" w:cs="Times New Roman" w:eastAsia="Times New Roman" w:hAnsi="Times New Roman"/>
          <w:sz w:val="18"/>
          <w:szCs w:val="18"/>
          <w:b w:val="1"/>
          <w:bCs w:val="1"/>
          <w:color w:val="auto"/>
        </w:rPr>
        <w:t>Bank Services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Services Agreement</w:t>
      </w:r>
      <w:r>
        <w:rPr>
          <w:rFonts w:ascii="Times New Roman" w:cs="Times New Roman" w:eastAsia="Times New Roman" w:hAnsi="Times New Roman"/>
          <w:sz w:val="18"/>
          <w:szCs w:val="18"/>
          <w:color w:val="auto"/>
        </w:rPr>
        <w:t>” is defined in the definition of Bank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member(s), or manager(s) of such Co-Borrower, as appropriate in each case.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DTTP Filing</w:t>
      </w:r>
      <w:r>
        <w:rPr>
          <w:rFonts w:ascii="Times New Roman" w:cs="Times New Roman" w:eastAsia="Times New Roman" w:hAnsi="Times New Roman"/>
          <w:sz w:val="18"/>
          <w:szCs w:val="18"/>
          <w:color w:val="auto"/>
        </w:rPr>
        <w:t>” means an HMRC Form DTTP2 duly completed and filed by the UK Borrower, which:</w:t>
      </w:r>
    </w:p>
    <w:p>
      <w:pPr>
        <w:spacing w:after="0" w:line="229" w:lineRule="exact"/>
        <w:rPr>
          <w:sz w:val="20"/>
          <w:szCs w:val="20"/>
          <w:color w:val="auto"/>
        </w:rPr>
      </w:pPr>
    </w:p>
    <w:p>
      <w:pPr>
        <w:ind w:firstLine="656"/>
        <w:spacing w:after="0" w:line="282" w:lineRule="auto"/>
        <w:tabs>
          <w:tab w:leader="none" w:pos="89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 relates to a Treaty Lender that is Bank as of the date of this Agreement, contains the scheme reference number and jurisdiction of tax residence stated opposite Bank’s name in Schedule 1 (</w:t>
      </w:r>
      <w:r>
        <w:rPr>
          <w:rFonts w:ascii="Times New Roman" w:cs="Times New Roman" w:eastAsia="Times New Roman" w:hAnsi="Times New Roman"/>
          <w:sz w:val="18"/>
          <w:szCs w:val="18"/>
          <w:i w:val="1"/>
          <w:iCs w:val="1"/>
          <w:color w:val="auto"/>
        </w:rPr>
        <w:t>Bank</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4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UK Borrower is UK Borrower as of the date of this Agreement, is filed with HMRC within 30 days of the date of this Agreement;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UK Borrower becomes UK Borrower after the date of this Agreement, is filed with HMRC within 30 days of that date;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 relates a Treaty Lender which becomes Bank after the date of this Agreement, contains the scheme reference number and jurisdiction of tax residence stated in respect of that Treaty Lender in the documentation which it executes on become a party as Bank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3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UK Borrower is UK Borrower as of the date on which that Treaty Lender becomes a party as Bank, is filed with HMRC within 30 days of that date; or</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8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UK Borrower is not UK Borrower as of the date on which that Treaty Lender becomes a party as Bank, is filed within 30 days of the date on which that UK Borrower becomes a party as UK Borrower.</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Resolutions</w:t>
      </w:r>
      <w:r>
        <w:rPr>
          <w:rFonts w:ascii="Times New Roman" w:cs="Times New Roman" w:eastAsia="Times New Roman" w:hAnsi="Times New Roman"/>
          <w:sz w:val="18"/>
          <w:szCs w:val="18"/>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(or, in respect of UK Borrower, a director)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any day that is not a Saturday, Sunday or a day on which Bank is closed in the United States or in London.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Collateralization Event</w:t>
      </w:r>
      <w:r>
        <w:rPr>
          <w:rFonts w:ascii="Times New Roman" w:cs="Times New Roman" w:eastAsia="Times New Roman" w:hAnsi="Times New Roman"/>
          <w:sz w:val="18"/>
          <w:szCs w:val="18"/>
          <w:color w:val="auto"/>
        </w:rPr>
        <w:t>” has the meaning assigned in Section 6.13.</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 at any time, any “person” or “group” (as such terms are used in Sections 13(d) and 14(d) of the Securities Exchange Act of 1934, as amended (the “Exchange Act”)), (shall become, or obtain rights (whether by means or warrants, options or otherwise) to become, the “beneficial owner” (as defined in Rules 13(d)-3 and 13(d) 5 under the Exchange Act), directly or indirectly, of forty-nine percent (49%) or more of the ordinary voting power for the election of directors of Parent (determined on a fully diluted basis) other than by the sale of Parent’s equity securities in a public offering or to venture capital or private equity investors so long as Co-Borrowers identify to Bank the venture capital or private equity investors at least seven (7) Business Days prior to the closing of the transaction and provides to Bank a description of the material terms of the transaction; (b) except for a change in the members of the board of directors or other equivalent body of Parent resulting from the sale of Parent’s equity securities in a public offering or to venture capital or private equity investors so long as Co-Borrower identifies to Bank the venture capital or private equity investors at least seven (7) Business Days prior to the closing of the transaction and provides to Bank a description of the material terms of the transaction; (b) during any period of twelve (12) consecutive months, a majority of the members of the board of directors or other equivalent governing body of Parent ceases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Co-Borrower shall cease to own and control, of record and beneficially, directly or indirectly, one hundred percent (100%) of each class of outstanding capital stock of each subsidiary of such Co-Borrower (unless such subsidiary is dissolved or merged into a Co-Borrower) free and clear of all Liens (except Permitted Liens).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is defined in Section 12.3.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Co-Borrower(s)</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Co-Borrower’s Books</w:t>
      </w:r>
      <w:r>
        <w:rPr>
          <w:rFonts w:ascii="Times New Roman" w:cs="Times New Roman" w:eastAsia="Times New Roman" w:hAnsi="Times New Roman"/>
          <w:sz w:val="18"/>
          <w:szCs w:val="18"/>
          <w:color w:val="auto"/>
        </w:rPr>
        <w:t>” are all of a Co-Borrower’s books and records including ledgers, federal and state tax returns, records regarding such Co-Borrower’s assets or liabilities, the Collateral, business operations or financial condition, and all computer programs or storage or any equipment containing such information.</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is any and all properties, rights and assets of the US Borrowers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(for the purposes of this Agreement other than any granting of security hereunder) defined as “Security Assets” under the Debenture.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is any Deposit Account, Securities Account, or Commodity Account.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is that certain certificate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is any control agreement entered into among the depository institution at which a Co-Borrower maintains a Deposit Account or the securities intermediary or commodity intermediary at which a Co-Borrower maintains a Securities Account or a Commodity Account, such Co-Borrower, and Bank pursuant to which Bank obtains control (within the meaning of the Code) over such Deposit Account, Securities Account, or Commodity Account.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is any Letter of Credit, FX Contract, amount utilized for Cash Management Services, Term Loan Advance, or any other extension of credit by Bank for Co-Borrower’s benefit.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CTA</w:t>
      </w:r>
      <w:r>
        <w:rPr>
          <w:rFonts w:ascii="Times New Roman" w:cs="Times New Roman" w:eastAsia="Times New Roman" w:hAnsi="Times New Roman"/>
          <w:sz w:val="18"/>
          <w:szCs w:val="18"/>
          <w:color w:val="auto"/>
        </w:rPr>
        <w:t>” means the UK Corporation Tax Act 2009.</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Debenture</w:t>
      </w:r>
      <w:r>
        <w:rPr>
          <w:rFonts w:ascii="Times New Roman" w:cs="Times New Roman" w:eastAsia="Times New Roman" w:hAnsi="Times New Roman"/>
          <w:sz w:val="18"/>
          <w:szCs w:val="18"/>
          <w:color w:val="auto"/>
        </w:rPr>
        <w:t>” means the certain guarantee and debenture dated as of the Effective Date between UK Borrower and Bank, as may be amended, modified, supplemented, and/or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is defined in Section 2.3(b).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Deposit Account</w:t>
      </w:r>
      <w:r>
        <w:rPr>
          <w:rFonts w:ascii="Times New Roman" w:cs="Times New Roman" w:eastAsia="Times New Roman" w:hAnsi="Times New Roman"/>
          <w:sz w:val="18"/>
          <w:szCs w:val="18"/>
          <w:color w:val="auto"/>
        </w:rPr>
        <w:t>” is the account number ending 855 (last three digits) maintained by a Co-Borrower with Bank.</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a Subsidiary organized under the laws of the United States or any state or territory thereof or the District of Columbia, other than a Subsidiary with no material assets other than equity interests (or equity interests and other securities) in one or more Foreign Subsidiaries.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Enhance 1</w:t>
      </w:r>
      <w:r>
        <w:rPr>
          <w:rFonts w:ascii="Times New Roman" w:cs="Times New Roman" w:eastAsia="Times New Roman" w:hAnsi="Times New Roman"/>
          <w:sz w:val="18"/>
          <w:szCs w:val="18"/>
          <w:color w:val="auto"/>
        </w:rPr>
        <w:t>” means Borrower’s clinical trial evaluating Ensifentrine in subjects with moderate to severe chronic obstructive pulmonary disease, clinicaltrials.gov identifier NCT04535986.</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Enhance 2</w:t>
      </w:r>
      <w:r>
        <w:rPr>
          <w:rFonts w:ascii="Times New Roman" w:cs="Times New Roman" w:eastAsia="Times New Roman" w:hAnsi="Times New Roman"/>
          <w:sz w:val="18"/>
          <w:szCs w:val="18"/>
          <w:color w:val="auto"/>
        </w:rPr>
        <w:t>” means Borrower’s clinical trial evaluating Ensifentrine in subjects with moderate to severe chronic obstructive pulmonary disease, clinicaltrials.gov identifier NCT04542057.</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is the Employee Retirement Income Security Act of 1974, and its regulations.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is defined in Section 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xml:space="preserve"> means the United States Food and Drug Administration, or any successor thereto.</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w:t>
      </w:r>
      <w:r>
        <w:rPr>
          <w:rFonts w:ascii="Times New Roman" w:cs="Times New Roman" w:eastAsia="Times New Roman" w:hAnsi="Times New Roman"/>
          <w:sz w:val="18"/>
          <w:szCs w:val="18"/>
          <w:color w:val="auto"/>
        </w:rPr>
        <w:t>” is a payment (in addition to and not a substitution for the regular monthly payments of principal plus accrued interest) due on the earliest to occur of (a) the Term Loan Maturity Date, or (b) the acceleration of the Term Loan Advances, or (c) the prepayment of the Term Loan Advances in full pursuant to Section 2.2(c) or 2.2(d), equal to the original aggregate principal amount of the Term Loan Advances multiplied by the Final Payment Percentage.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 Percentage</w:t>
      </w:r>
      <w:r>
        <w:rPr>
          <w:rFonts w:ascii="Times New Roman" w:cs="Times New Roman" w:eastAsia="Times New Roman" w:hAnsi="Times New Roman"/>
          <w:sz w:val="18"/>
          <w:szCs w:val="18"/>
          <w:color w:val="auto"/>
        </w:rPr>
        <w:t>” is ten percent (10%).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 means lawful money of a country other than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any Subsidiary which is not a Domestic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is any date on which a Credit Extension is made to or for the account of a Co-Borrower which shall be a Business Day.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FX Contract</w:t>
      </w:r>
      <w:r>
        <w:rPr>
          <w:rFonts w:ascii="Times New Roman" w:cs="Times New Roman" w:eastAsia="Times New Roman" w:hAnsi="Times New Roman"/>
          <w:sz w:val="18"/>
          <w:szCs w:val="18"/>
          <w:color w:val="auto"/>
        </w:rPr>
        <w:t>” is any foreign exchange contract by and between a Co-Borrower and Bank under which Co-Borrower commits to purchase from or sell to Bank a specific amount of Foreign Currency on a specified date.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in respect of a Co-Borrower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Intangibles</w:t>
      </w:r>
      <w:r>
        <w:rPr>
          <w:rFonts w:ascii="Times New Roman" w:cs="Times New Roman" w:eastAsia="Times New Roman" w:hAnsi="Times New Roman"/>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is any Person providing a Guaranty in favor of Bank.</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is any guarantee of all or any part of the Obligations, as the same may from time to time be amended, restated, modified or otherwise supplemented.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are the International Financial Reporting Standards, a collection of guidelines and rules set by the International Accounting Standards Board (www.iasb.org) which are applicable to the circumstances as of the date of determination.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is defined in Section 12.3.</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with respect to any Person, means all of such Person’s right, title, and interest in and to the following:</w:t>
      </w:r>
    </w:p>
    <w:p>
      <w:pPr>
        <w:spacing w:after="0" w:line="229" w:lineRule="exact"/>
        <w:rPr>
          <w:sz w:val="20"/>
          <w:szCs w:val="20"/>
          <w:color w:val="auto"/>
        </w:rPr>
      </w:pPr>
    </w:p>
    <w:p>
      <w:pPr>
        <w:ind w:left="2260" w:hanging="956"/>
        <w:spacing w:after="0"/>
        <w:tabs>
          <w:tab w:leader="none" w:pos="2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Copyrights, Trademarks and Patents;</w:t>
      </w:r>
    </w:p>
    <w:p>
      <w:pPr>
        <w:spacing w:after="0" w:line="225" w:lineRule="exact"/>
        <w:rPr>
          <w:rFonts w:ascii="Times New Roman" w:cs="Times New Roman" w:eastAsia="Times New Roman" w:hAnsi="Times New Roman"/>
          <w:sz w:val="18"/>
          <w:szCs w:val="18"/>
          <w:color w:val="auto"/>
        </w:rPr>
      </w:pPr>
    </w:p>
    <w:p>
      <w:pPr>
        <w:ind w:left="2380" w:hanging="1076"/>
        <w:spacing w:after="0"/>
        <w:tabs>
          <w:tab w:leader="none" w:pos="2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trade secrets and trade secret rights, including, without limitation, any rights to unpatented inventions, know-</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operating manuals;</w:t>
      </w:r>
    </w:p>
    <w:p>
      <w:pPr>
        <w:spacing w:after="0" w:line="206" w:lineRule="exact"/>
        <w:rPr>
          <w:rFonts w:ascii="Times New Roman" w:cs="Times New Roman" w:eastAsia="Times New Roman" w:hAnsi="Times New Roman"/>
          <w:sz w:val="18"/>
          <w:szCs w:val="18"/>
          <w:color w:val="auto"/>
        </w:rPr>
      </w:pPr>
    </w:p>
    <w:p>
      <w:pPr>
        <w:ind w:left="2260" w:hanging="956"/>
        <w:spacing w:after="0"/>
        <w:tabs>
          <w:tab w:leader="none" w:pos="2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source code;</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design rights which may be available to such Person;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34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61" w:lineRule="exact"/>
        <w:rPr>
          <w:rFonts w:ascii="Times New Roman" w:cs="Times New Roman" w:eastAsia="Times New Roman" w:hAnsi="Times New Roman"/>
          <w:sz w:val="18"/>
          <w:szCs w:val="18"/>
          <w:color w:val="auto"/>
        </w:rPr>
      </w:pPr>
    </w:p>
    <w:p>
      <w:pPr>
        <w:ind w:left="2300" w:hanging="996"/>
        <w:spacing w:after="0"/>
        <w:tabs>
          <w:tab w:leader="none" w:pos="2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amendments, renewals and extensions of any of the Copyrights, Trademarks or Patents.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is all “</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 Co-Borrower’s custody or possession or in transit and including any returned goods and any documents of title representing any of the above.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is any beneficial ownership interest in any Person (including stock, partnership interest or other securities), and any loan, advance or capital contribution to any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ITA</w:t>
      </w:r>
      <w:r>
        <w:rPr>
          <w:rFonts w:ascii="Times New Roman" w:cs="Times New Roman" w:eastAsia="Times New Roman" w:hAnsi="Times New Roman"/>
          <w:sz w:val="18"/>
          <w:szCs w:val="18"/>
          <w:color w:val="auto"/>
        </w:rPr>
        <w:t>” means the UK Income Tax Act 2007.</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Person</w:t>
      </w:r>
      <w:r>
        <w:rPr>
          <w:rFonts w:ascii="Times New Roman" w:cs="Times New Roman" w:eastAsia="Times New Roman" w:hAnsi="Times New Roman"/>
          <w:sz w:val="18"/>
          <w:szCs w:val="18"/>
          <w:color w:val="auto"/>
        </w:rPr>
        <w:t>” is any of a Co-Borrowers’ (a) Chief Executive Officer, who is David Zuccarello as of the Effective Date and (b) Chief Financial Officer, who is Mark Hahn as of the Effective Date.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are: (a) the principle that equitable remedies may be granted or refused at the discretion of a court and the limitation of enforcement by laws relating to insolvency, reorganisation and other laws generally affecting the rights of creditors; (b) the time barring of claims under the Limitation Acts, the possibility that an undertaking to assume liability for or indemnify a person against non-payment of UK stamp duty may be void and defences of set-off or counterclaim; and (c) similar principles, rights and defences under the laws of the United States or the UK.</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is a standby or commercial letter of credit issued by Bank upon request of a Co-Borrower based upon an application, guarantee, indemnity, or similar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Limitation Acts</w:t>
      </w:r>
      <w:r>
        <w:rPr>
          <w:rFonts w:ascii="Times New Roman" w:cs="Times New Roman" w:eastAsia="Times New Roman" w:hAnsi="Times New Roman"/>
          <w:sz w:val="18"/>
          <w:szCs w:val="18"/>
          <w:color w:val="auto"/>
        </w:rPr>
        <w:t>” are the Limitation Act 1980 and the Foreign Limitation Periods Act 1984.</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are, collectively, this Agreement and any schedules, exhibits, certificates, notices, and any other documents related to this Agreement, any Bank Services Agreement, any UK Security Document, any subordination agreement, any note, or notes or guaranties executed by a Co-Borrower or any Guarantor, and any other present or future agreement by a Co-Borrower and/or any Guarantor with or for the benefit of Bank in connection with this Agreement or Bank Services, all as amended, restated, or otherwise modified.</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is (a) a material impairment in the perfection or priority of Bank’s Lien in the Collateral or in the value of such Collateral; (b) a material adverse change in the business, operations, or financial condition of a Co-Borrower; or (c) a material impairment of the prospect of repayment of any portion of the Obligations.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Monthly Financial Statements</w:t>
      </w:r>
      <w:r>
        <w:rPr>
          <w:rFonts w:ascii="Times New Roman" w:cs="Times New Roman" w:eastAsia="Times New Roman" w:hAnsi="Times New Roman"/>
          <w:sz w:val="18"/>
          <w:szCs w:val="18"/>
          <w:color w:val="auto"/>
        </w:rPr>
        <w:t>” is defined in Section 6.2(a).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means a new drug application, submitted to the FDA pursuant to 21 U.S.C. § 355 seeking authorization to market a drug in the United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Negative Data</w:t>
      </w:r>
      <w:r>
        <w:rPr>
          <w:rFonts w:ascii="Times New Roman" w:cs="Times New Roman" w:eastAsia="Times New Roman" w:hAnsi="Times New Roman"/>
          <w:sz w:val="18"/>
          <w:szCs w:val="18"/>
          <w:color w:val="auto"/>
        </w:rPr>
        <w:t>” means results from a clinical trial showing failure of a study drug to meet the primary efficacy endpoints set forth in the applicable study protocol.</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are Co-Borrower’s obligations to pay when due any debts, principal, interest, fees, Bank Expenses, the Prepayment Fee, the Final Payment, and other amounts Co-Borrowers owe Bank now or later, whether under this Agreement, the other Loan Documents, or otherwise, including, without limitation, all obligations relating to Bank Services and interest accruing after Insolvency Proceedings begin and debts, liabilities, or obligations of Co-Borrower assigned to Bank, and to perform Co-Borrower’s duties under the Loan Documents. Notwithstanding the foregoing, “Obligations” does not include any warrants or equity investments.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are, in the case of the US Borrower, its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w:t>
      </w:r>
    </w:p>
    <w:p>
      <w:pPr>
        <w:ind w:right="20" w:firstLine="8"/>
        <w:spacing w:after="0" w:line="260" w:lineRule="auto"/>
        <w:tabs>
          <w:tab w:leader="none" w:pos="27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partnership, its partnership agreement (or similar agreement), and in the case of the UK Co-Borrower, such memorandum of association (if applicable) and articles of association, currently in force. each of the foregoing with all current amendments or modifications thereto.</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patent applications and like protections including without limitation improvements, divisions, continuations, renewals, reissues, extensions and continuations-in-part of the same.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Payment/Advance Form</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is the first (1st) calendar day of each month.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is defined in Section 5.1.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is:</w:t>
      </w:r>
    </w:p>
    <w:p>
      <w:pPr>
        <w:spacing w:after="0" w:line="229" w:lineRule="exact"/>
        <w:rPr>
          <w:sz w:val="20"/>
          <w:szCs w:val="20"/>
          <w:color w:val="auto"/>
        </w:rPr>
      </w:pPr>
    </w:p>
    <w:p>
      <w:pPr>
        <w:ind w:left="2260" w:hanging="956"/>
        <w:spacing w:after="0"/>
        <w:tabs>
          <w:tab w:leader="none" w:pos="22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Co-Borrowers’ Indebtedness to Bank under this Agreement and the other Loan Documents;</w:t>
      </w:r>
    </w:p>
    <w:p>
      <w:pPr>
        <w:spacing w:after="0" w:line="225"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Effective Date which is shown on the Perfection Certificate;</w:t>
      </w:r>
    </w:p>
    <w:p>
      <w:pPr>
        <w:spacing w:after="0" w:line="225" w:lineRule="exact"/>
        <w:rPr>
          <w:rFonts w:ascii="Times New Roman" w:cs="Times New Roman" w:eastAsia="Times New Roman" w:hAnsi="Times New Roman"/>
          <w:sz w:val="18"/>
          <w:szCs w:val="18"/>
          <w:color w:val="auto"/>
        </w:rPr>
      </w:pPr>
    </w:p>
    <w:p>
      <w:pPr>
        <w:ind w:left="2260" w:hanging="956"/>
        <w:spacing w:after="0"/>
        <w:tabs>
          <w:tab w:leader="none" w:pos="22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225"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to trade creditors incurred in the ordinary course of business</w:t>
      </w:r>
    </w:p>
    <w:p>
      <w:pPr>
        <w:spacing w:after="0" w:line="225" w:lineRule="exact"/>
        <w:rPr>
          <w:rFonts w:ascii="Times New Roman" w:cs="Times New Roman" w:eastAsia="Times New Roman" w:hAnsi="Times New Roman"/>
          <w:sz w:val="18"/>
          <w:szCs w:val="18"/>
          <w:color w:val="auto"/>
        </w:rPr>
      </w:pPr>
    </w:p>
    <w:p>
      <w:pPr>
        <w:ind w:left="2260" w:hanging="956"/>
        <w:spacing w:after="0"/>
        <w:tabs>
          <w:tab w:leader="none" w:pos="22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pursuant to credit cards incurred in the ordinary course of business during the Transition Period;</w:t>
      </w:r>
    </w:p>
    <w:p>
      <w:pPr>
        <w:spacing w:after="0" w:line="225" w:lineRule="exact"/>
        <w:rPr>
          <w:rFonts w:ascii="Times New Roman" w:cs="Times New Roman" w:eastAsia="Times New Roman" w:hAnsi="Times New Roman"/>
          <w:sz w:val="18"/>
          <w:szCs w:val="18"/>
          <w:color w:val="auto"/>
        </w:rPr>
      </w:pPr>
    </w:p>
    <w:p>
      <w:pPr>
        <w:ind w:left="2300" w:hanging="996"/>
        <w:spacing w:after="0"/>
        <w:tabs>
          <w:tab w:leader="none" w:pos="2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as a result of endorsing negotiable instruments received in the ordinary course of business;</w:t>
      </w:r>
    </w:p>
    <w:p>
      <w:pPr>
        <w:spacing w:after="0" w:line="225"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Liens permitted under clauses (a) and (c) of the definition of “Permitted Liens” hereunder;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3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 Co-Borrower to any other Co-Borrower, Indebtedness of a Co-Borrower to any Subsidiary and Contingent Obligations of any Subsidiary with respect to obligations of such Co-Borrower (provided that the primary obligations are not prohibited hereby), and Indebtedness of any Subsidiary to a Co-Borrower to the extent constituting Permitted Investments or any other Subsidiary and Contingent Obligations of any Subsidiary with respect to obligations of any other Subsidiary (provided that the primary obligations are not prohibited hereby); and</w:t>
      </w:r>
    </w:p>
    <w:p>
      <w:pPr>
        <w:spacing w:after="0" w:line="179" w:lineRule="exact"/>
        <w:rPr>
          <w:rFonts w:ascii="Times New Roman" w:cs="Times New Roman" w:eastAsia="Times New Roman" w:hAnsi="Times New Roman"/>
          <w:sz w:val="18"/>
          <w:szCs w:val="18"/>
          <w:color w:val="auto"/>
        </w:rPr>
      </w:pPr>
    </w:p>
    <w:p>
      <w:pPr>
        <w:ind w:left="2380" w:hanging="1076"/>
        <w:spacing w:after="0"/>
        <w:tabs>
          <w:tab w:leader="none" w:pos="23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refinancings, modifications, amendments and restatements of any items of Permitted Indebtedness (a) through</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6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provided that the principal amount thereof is not increased or the terms thereof are not modified to impose more burdensome terms upon a Co-Borrower or its Subsidiary, as the case may be.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are:</w:t>
      </w:r>
    </w:p>
    <w:p>
      <w:pPr>
        <w:spacing w:after="0" w:line="229" w:lineRule="exact"/>
        <w:rPr>
          <w:sz w:val="20"/>
          <w:szCs w:val="20"/>
          <w:color w:val="auto"/>
        </w:rPr>
      </w:pPr>
    </w:p>
    <w:p>
      <w:pPr>
        <w:ind w:left="2340" w:hanging="1036"/>
        <w:spacing w:after="0"/>
        <w:tabs>
          <w:tab w:leader="none" w:pos="2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without limitation, Subsidiaries) existing on the Effective Date which are shown on the Perfection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ind w:left="2520" w:hanging="1216"/>
        <w:spacing w:after="0"/>
        <w:tabs>
          <w:tab w:leader="none" w:pos="2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Cash Equivalents and other Investments made pursuant to Co-Borrower’s investment policy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Bank in writing,</w:t>
      </w:r>
    </w:p>
    <w:p>
      <w:pPr>
        <w:spacing w:after="0" w:line="206" w:lineRule="exact"/>
        <w:rPr>
          <w:rFonts w:ascii="Times New Roman" w:cs="Times New Roman" w:eastAsia="Times New Roman" w:hAnsi="Times New Roman"/>
          <w:sz w:val="18"/>
          <w:szCs w:val="18"/>
          <w:color w:val="auto"/>
        </w:rPr>
      </w:pPr>
    </w:p>
    <w:p>
      <w:pPr>
        <w:ind w:left="2340" w:hanging="1036"/>
        <w:spacing w:after="0"/>
        <w:tabs>
          <w:tab w:leader="none" w:pos="2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 of business;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firstLine="1304"/>
        <w:spacing w:after="0" w:line="282" w:lineRule="auto"/>
        <w:tabs>
          <w:tab w:leader="none" w:pos="258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deposit accounts (but only to the extent that Co-Borrowers are permitted to maintain such accounts pursuant to this Agreement) in which Bank has a first priority perfected security interest;</w:t>
      </w:r>
    </w:p>
    <w:p>
      <w:pPr>
        <w:spacing w:after="0" w:line="161" w:lineRule="exact"/>
        <w:rPr>
          <w:rFonts w:ascii="Times New Roman" w:cs="Times New Roman" w:eastAsia="Times New Roman" w:hAnsi="Times New Roman"/>
          <w:sz w:val="18"/>
          <w:szCs w:val="18"/>
          <w:color w:val="auto"/>
        </w:rPr>
      </w:pPr>
    </w:p>
    <w:p>
      <w:pPr>
        <w:ind w:left="2320" w:hanging="1016"/>
        <w:spacing w:after="0"/>
        <w:tabs>
          <w:tab w:leader="none" w:pos="2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accepted in connection with Transfers permitted by Section 7.1;</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3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creation of a Subsidiary for the purpose of consummating a merger transaction permitted by Section 7.3 of this Agreement, which is otherwise a Permitted Investment;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by a Co-Borrower in another Co-Borrower, (ii) by a Co-Borrower in Subsidiaries that are not Co-Borrowers not to exceed One Hundred Thousand Dollars ($100,000) in the aggregate in any fiscal year and (ii) by Subsidiaries in other Subsidiaries or in a Co-Borrower;</w:t>
      </w:r>
    </w:p>
    <w:p>
      <w:pPr>
        <w:spacing w:after="0" w:line="175"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creation of a Subsidiary in compliance with the terms of this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a Co-Borrower or its Subsidiaries pursuant to employee stock purchase plans or agreements approved by such Co-Borrower’s Board of Directors;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5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5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joint ventures or strategic alliances or collaboration of Co-Borrower or a Subsidiary; provided that any cash invested in connection thereto shall not exceed One Hundred Thousand Dollars ($100,000) in the aggregate in any fiscal year;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notes receivable of, or prepaid royalties and other credit extensions, to customers and suppliers who are not Affiliates, in the ordinary course of business; provided that this paragraph (l) shall not apply to Investments of a Co-Borrower in any Subsidiary.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are:</w:t>
      </w:r>
    </w:p>
    <w:p>
      <w:pPr>
        <w:spacing w:after="0" w:line="229" w:lineRule="exact"/>
        <w:rPr>
          <w:sz w:val="20"/>
          <w:szCs w:val="20"/>
          <w:color w:val="auto"/>
        </w:rPr>
      </w:pPr>
    </w:p>
    <w:p>
      <w:pPr>
        <w:ind w:left="2320" w:hanging="1016"/>
        <w:spacing w:after="0"/>
        <w:tabs>
          <w:tab w:leader="none" w:pos="2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or after the Effective Date which are shown on the Perfection Certificate or arising under this Agreement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the other Loan Documents;</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58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fees, assessments or other government charges or levies, either (i) not due and payable or (ii) being contested in good faith and for which a Co-Borrower maintains adequate reserves on its Books, provided that no notice of any such Lien has been filed or recorded under the Internal Revenue Code of 1986, as amended, and the Treasury Regulations adopted thereunder;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46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or capital leases (i) on Equipment acquired or held by a Co-Borrower incurred for financing the acquisition of the Equipment securing no more than Five Hundred Thousand Dollars ($500,000) in the aggregate amount outstanding, or (ii) existing on Equipment when acquired, if the Lien is confined to the property and improvements and the proceeds of the Equipment;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Five Hundred Thousand Dollars ($500,000),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firstLine="1304"/>
        <w:spacing w:after="0" w:line="282" w:lineRule="auto"/>
        <w:tabs>
          <w:tab w:leader="none" w:pos="231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payment of workers’ compensation, employment insurance, old-age pensions, social security and other like obligations incurred in the ordinary course of business (other than Liens imposed by ERISA);</w:t>
      </w:r>
    </w:p>
    <w:p>
      <w:pPr>
        <w:sectPr>
          <w:pgSz w:w="11900" w:h="16838" w:orient="portrait"/>
          <w:cols w:equalWidth="0" w:num="1">
            <w:col w:w="11240"/>
          </w:cols>
          <w:pgMar w:left="320" w:top="904" w:right="339" w:bottom="1440" w:gutter="0" w:footer="0" w:header="0"/>
        </w:sectPr>
      </w:pP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but any extension, renewal or indebtedness may not increase;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firstLine="43"/>
        <w:spacing w:after="0" w:line="282" w:lineRule="auto"/>
        <w:rPr>
          <w:sz w:val="20"/>
          <w:szCs w:val="20"/>
          <w:color w:val="auto"/>
        </w:rPr>
      </w:pPr>
      <w:r>
        <w:rPr>
          <w:rFonts w:ascii="Times New Roman" w:cs="Times New Roman" w:eastAsia="Times New Roman" w:hAnsi="Times New Roman"/>
          <w:sz w:val="18"/>
          <w:szCs w:val="18"/>
          <w:color w:val="auto"/>
        </w:rPr>
        <w:t>Liens incurred in the extension, renewal or refinancing of the Indebtedness secured by Liens described in (a) through (c), replacement Lien must be limited to the property encumbered by the existing Lien and the principal amount of the</w:t>
      </w:r>
    </w:p>
    <w:p>
      <w:pPr>
        <w:spacing w:after="0" w:line="377" w:lineRule="exact"/>
        <w:rPr>
          <w:sz w:val="20"/>
          <w:szCs w:val="20"/>
          <w:color w:val="auto"/>
        </w:rPr>
      </w:pPr>
    </w:p>
    <w:p>
      <w:pPr>
        <w:sectPr>
          <w:pgSz w:w="11900" w:h="16838" w:orient="portrait"/>
          <w:cols w:equalWidth="0" w:num="2">
            <w:col w:w="2280" w:space="80"/>
            <w:col w:w="8880"/>
          </w:cols>
          <w:pgMar w:left="320" w:top="904" w:right="339" w:bottom="1440" w:gutter="0" w:footer="0" w:header="0"/>
          <w:type w:val="continuous"/>
        </w:sectPr>
      </w:pPr>
    </w:p>
    <w:p>
      <w:pPr>
        <w:jc w:val="both"/>
        <w:ind w:firstLine="1304"/>
        <w:spacing w:after="0" w:line="261" w:lineRule="auto"/>
        <w:tabs>
          <w:tab w:leader="none" w:pos="23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of real property granted in the ordinary course of a Co-Borrower’s business (or, if referring to another Person, in the ordinary course of such Person’s business), and leases, subleases, non-exclusive licenses or sublicenses of personal property (other than Intellectual Property) granted in the ordinary course of a Co-Borrower’s business (or, if referring to another Person, in the ordinary course of such Person’s business), if the leases, subleases, licenses and sublicenses do not prohibit granting Bank a security interest therein;</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40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granted to third parties in the ordinary course of business, and licenses of Intellectual Property that could not result in a legal transfer of title of the licensed property that may be exclusive in respects other than territory and that may be exclusive as to territory only as to discreet geographical areas outside of the United States; and</w:t>
      </w:r>
    </w:p>
    <w:p>
      <w:pPr>
        <w:spacing w:after="0" w:line="175" w:lineRule="exact"/>
        <w:rPr>
          <w:rFonts w:ascii="Times New Roman" w:cs="Times New Roman" w:eastAsia="Times New Roman" w:hAnsi="Times New Roman"/>
          <w:sz w:val="18"/>
          <w:szCs w:val="18"/>
          <w:color w:val="auto"/>
        </w:rPr>
      </w:pPr>
    </w:p>
    <w:p>
      <w:pPr>
        <w:ind w:left="2300" w:hanging="996"/>
        <w:spacing w:after="0"/>
        <w:tabs>
          <w:tab w:leader="none" w:pos="2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attachments or judgments, orders, or decrees in circumstances not constituting an Event of Default under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8.4 and 8.7.</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 shall be an additional fee, payable to Bank upon prepayment of the Term Loan Advances in an amount equal to (A) (i) Four Hundred and Fifty Thousand Dollars ($450,000) if such prepayment occurs on or prior to the first anniversary of the Effective Date, (ii) Three Hundred Thousand Dollars ($300,000) if such prepayment occurs after the first anniversary of the Effective Date but on or prior to the second anniversary of the Effective Date, or (iii) One Hundred Fifty Thousand Dollars ($150,000) if such prepayment occurs after the second anniversary of the Effective Date, plus</w:t>
      </w:r>
    </w:p>
    <w:p>
      <w:pPr>
        <w:spacing w:after="0" w:line="3" w:lineRule="exact"/>
        <w:rPr>
          <w:sz w:val="20"/>
          <w:szCs w:val="20"/>
          <w:color w:val="auto"/>
        </w:rPr>
      </w:pPr>
    </w:p>
    <w:p>
      <w:pPr>
        <w:jc w:val="both"/>
        <w:ind w:firstLine="8"/>
        <w:spacing w:after="0" w:line="252" w:lineRule="auto"/>
        <w:tabs>
          <w:tab w:leader="none" w:pos="29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 C Loan Advance has been made, (i) three percentage points (3.00%) of the outstanding principal amount of the Term C Loan Advance at the time of prepayment if such prepayment occurs on or prior to the first anniversary of the Effective Date, (ii) two percentage points (2.00%) of the outstanding principal amount of the Term C Loan Advance at the time of prepayment if such prepayment occurs after the first anniversary of the Effective Date but on or prior to the second anniversary of the Effective Date, or (iii) one percentage points (1.00%) of the outstanding principal amount of the Term C Loan Advance at the time of prepayment if such prepayment occurs after the second anniversary of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Prepayment Fee shall be charged if Co-Borrowers refinance the Term Loan Advances with another credit facility from Bank.</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such rate shall be deemed to be zero for purposes of this Agreement.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is, in respect of the US Co-Borrower, a “registered organization” as defined in the Code with such additions to such term as may hereafter be made and in respect of the UK Co-Borrower, a duly incorporated company that is validly existing under the Companies Act 2006.</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8" w:name="page39"/>
    <w:bookmarkEnd w:id="38"/>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is any of the Chief Executive Officer, President, Chief Financial Officer and Controller of each Co-Borrower, or, in respect of UK Borrower, the chief executive officer or the chief financial officer.</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License</w:t>
      </w:r>
      <w:r>
        <w:rPr>
          <w:rFonts w:ascii="Times New Roman" w:cs="Times New Roman" w:eastAsia="Times New Roman" w:hAnsi="Times New Roman"/>
          <w:sz w:val="18"/>
          <w:szCs w:val="18"/>
          <w:color w:val="auto"/>
        </w:rPr>
        <w:t>” is any material license or other material agreement with respect to which a Co-Borrower is the licensee (a) that prohibits or otherwise restricts a Co-Borrower from granting a security interest in such Co-Borrower’s interest in such license or agreement or any other property, or (b) for which a default under or termination of could interfere with Bank’s right to sell any Collateral, in each case, other than as a result of customary anti-assignment provisions. Off-the-shelf software, open source code, application programming interfaces (APIs) and/or other trademarks, copyrights or patents of others that are commercially available to the public under shrinkwrap licenses, clickwrap licenses, online terms of service or other terms of use or similar agreements shall not constitute a Restricted License.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is any “</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as defined in the Code with such additions to such term as may hereafter be made.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is indebtedness incurred by a Co-Borrower subordinated to all of such Co-Borrower’s now or hereafter indebtedness to Bank (pursuant to a subordination, intercreditor, or other similar agreement in form and substance satisfactory to Bank entered into between Bank and the other creditor), on terms acceptable to Bank.</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is, as to any Person, (a)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Co-Borrower or Guarantor, (b) a subsidiary as defined in Section 1159 of the Companies Act 2006; or (c) unless the context otherwise requires, a subsidiary undertaking within the meaning of Section 1162 of the Companies Act 2006.</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Advance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Term Loan Advances</w:t>
      </w:r>
      <w:r>
        <w:rPr>
          <w:rFonts w:ascii="Times New Roman" w:cs="Times New Roman" w:eastAsia="Times New Roman" w:hAnsi="Times New Roman"/>
          <w:sz w:val="18"/>
          <w:szCs w:val="18"/>
          <w:color w:val="auto"/>
        </w:rPr>
        <w:t>” are each defined in Section 2.2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Loan Advance</w:t>
      </w:r>
      <w:r>
        <w:rPr>
          <w:rFonts w:ascii="Times New Roman" w:cs="Times New Roman" w:eastAsia="Times New Roman" w:hAnsi="Times New Roman"/>
          <w:sz w:val="18"/>
          <w:szCs w:val="18"/>
          <w:color w:val="auto"/>
        </w:rPr>
        <w:t>” is defined in section 2.2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Maturity Date</w:t>
      </w:r>
      <w:r>
        <w:rPr>
          <w:rFonts w:ascii="Times New Roman" w:cs="Times New Roman" w:eastAsia="Times New Roman" w:hAnsi="Times New Roman"/>
          <w:sz w:val="18"/>
          <w:szCs w:val="18"/>
          <w:color w:val="auto"/>
        </w:rPr>
        <w:t>” is November 1, 2024.</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any trademark and servicemark rights, whether registered or not, applications to register and registrations of the same and like protections, and the entire goodwill of the business of a Co-Borrower connected with and symbolized by such trademarks.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Availability Period</w:t>
      </w:r>
      <w:r>
        <w:rPr>
          <w:rFonts w:ascii="Times New Roman" w:cs="Times New Roman" w:eastAsia="Times New Roman" w:hAnsi="Times New Roman"/>
          <w:sz w:val="18"/>
          <w:szCs w:val="18"/>
          <w:color w:val="auto"/>
        </w:rPr>
        <w:t>” is the period of time commencing on the date [***] for Ensifentrine, through and including June 30,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Loan Advance</w:t>
      </w:r>
      <w:r>
        <w:rPr>
          <w:rFonts w:ascii="Times New Roman" w:cs="Times New Roman" w:eastAsia="Times New Roman" w:hAnsi="Times New Roman"/>
          <w:sz w:val="18"/>
          <w:szCs w:val="18"/>
          <w:color w:val="auto"/>
        </w:rPr>
        <w:t>” is defined in section 2.2 of this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Availability Period</w:t>
      </w:r>
      <w:r>
        <w:rPr>
          <w:rFonts w:ascii="Times New Roman" w:cs="Times New Roman" w:eastAsia="Times New Roman" w:hAnsi="Times New Roman"/>
          <w:sz w:val="18"/>
          <w:szCs w:val="18"/>
          <w:color w:val="auto"/>
        </w:rPr>
        <w:t>” is the period of time commencing on the date [***] for Ensifentrine [***], through and including June 30,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Loan Advance</w:t>
      </w:r>
      <w:r>
        <w:rPr>
          <w:rFonts w:ascii="Times New Roman" w:cs="Times New Roman" w:eastAsia="Times New Roman" w:hAnsi="Times New Roman"/>
          <w:sz w:val="18"/>
          <w:szCs w:val="18"/>
          <w:color w:val="auto"/>
        </w:rPr>
        <w:t>” is defined in section 2.2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is defined in Section 7.1.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United Kingdom</w:t>
      </w:r>
      <w:r>
        <w:rPr>
          <w:rFonts w:ascii="Times New Roman" w:cs="Times New Roman" w:eastAsia="Times New Roman" w:hAnsi="Times New Roman"/>
          <w:sz w:val="18"/>
          <w:szCs w:val="18"/>
          <w:color w:val="auto"/>
        </w:rPr>
        <w:t>” means the United Kingdom of Great Britain and Northern Ireland.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Borrower</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Insolvency Proceeding</w:t>
      </w:r>
      <w:r>
        <w:rPr>
          <w:rFonts w:ascii="Times New Roman" w:cs="Times New Roman" w:eastAsia="Times New Roman" w:hAnsi="Times New Roman"/>
          <w:sz w:val="18"/>
          <w:szCs w:val="18"/>
          <w:color w:val="auto"/>
        </w:rPr>
        <w:t>” means any corporate action, legal proceedings or other formal procedure or step is taken in relation to: (i) the suspension of payments, a moratorium, winding-up, dissolution, administration or reorganization (by way of voluntary arrangement, scheme of arrangement or otherwise) of that Person (other than a solvent liquidation or reorganization of that Person which is not a Co-Borrower or Guarantor); (ii) a composition, assignment or similar arrangement with any of a Person’s creditors (other than Bank in its capacity as lender); (iii) the appointment of any liquidator (other than in respect of a solvent liquidation of that Person which is not a Co-Borrower or Guarantor), receiver, administrative receiver, administrator or similar officer in respect of a Person or any of such Person’s assets; or (iv) enforcement of any Lien over any of UK Borrower’s assets pursuant to the UK Security Documents.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Qualifying Lender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 Bank which is beneficially entitled to interest payable to that Bank in respect of an advance under a Loan Document and is:</w:t>
      </w:r>
    </w:p>
    <w:p>
      <w:pPr>
        <w:spacing w:after="0" w:line="225" w:lineRule="exact"/>
        <w:rPr>
          <w:sz w:val="20"/>
          <w:szCs w:val="20"/>
          <w:color w:val="auto"/>
        </w:rPr>
      </w:pPr>
    </w:p>
    <w:p>
      <w:pPr>
        <w:ind w:left="1140" w:hanging="484"/>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0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bank (as defined for the purpose of section 879 of the ITA) making an advance under a Loan Document and is within the charge to United Kingdom corporation tax as respects any payments of interest made in respect of that advance or would be within such charge as respects such payments apart from section 18A of the CTA;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9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advance made under a Loan Document by a person that was a bank (as defined for the purpose of section 879 of the ITA) at the time that that advance was made and within the charge to United Kingdom corporation tax as respects any payments of interest made in respect of that advance; or</w:t>
      </w:r>
    </w:p>
    <w:p>
      <w:pPr>
        <w:spacing w:after="0" w:line="175"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which is:</w:t>
      </w:r>
    </w:p>
    <w:p>
      <w:pPr>
        <w:spacing w:after="0" w:line="225"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in the United Kingdom for United Kingdom tax purposes;</w:t>
      </w:r>
    </w:p>
    <w:p>
      <w:pPr>
        <w:spacing w:after="0" w:line="225"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so resident in the United Kingdom; or</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15"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176" w:lineRule="exact"/>
        <w:rPr>
          <w:sz w:val="20"/>
          <w:szCs w:val="20"/>
          <w:color w:val="auto"/>
        </w:rPr>
      </w:pPr>
    </w:p>
    <w:p>
      <w:pPr>
        <w:jc w:val="both"/>
        <w:ind w:firstLine="656"/>
        <w:spacing w:after="0" w:line="266" w:lineRule="auto"/>
        <w:tabs>
          <w:tab w:leader="none" w:pos="122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(iii) a Treaty Lender;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(b) a Bank which is a building society (as defined for the purposes of section 880 of the ITA) making an advance under a Loan Document.</w:t>
      </w:r>
    </w:p>
    <w:p>
      <w:pPr>
        <w:spacing w:after="0" w:line="22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Confirmation</w:t>
      </w:r>
      <w:r>
        <w:rPr>
          <w:rFonts w:ascii="Times New Roman" w:cs="Times New Roman" w:eastAsia="Times New Roman" w:hAnsi="Times New Roman"/>
          <w:sz w:val="18"/>
          <w:szCs w:val="18"/>
          <w:color w:val="auto"/>
        </w:rPr>
        <w:t>” means a confirmation by a Bank that the person beneficially entitled to interest payable to that Bank in respect of an advance under a Loan Document is either:</w:t>
      </w:r>
    </w:p>
    <w:p>
      <w:pPr>
        <w:spacing w:after="0" w:line="159" w:lineRule="exact"/>
        <w:rPr>
          <w:sz w:val="20"/>
          <w:szCs w:val="20"/>
          <w:color w:val="auto"/>
        </w:rPr>
      </w:pPr>
    </w:p>
    <w:p>
      <w:pPr>
        <w:ind w:left="900" w:hanging="244"/>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in the United Kingdom for United Kingdom tax purposes;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so resident in the United Kingdom; or</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Treaty Lender</w:t>
      </w:r>
      <w:r>
        <w:rPr>
          <w:rFonts w:ascii="Times New Roman" w:cs="Times New Roman" w:eastAsia="Times New Roman" w:hAnsi="Times New Roman"/>
          <w:sz w:val="18"/>
          <w:szCs w:val="18"/>
          <w:color w:val="auto"/>
        </w:rPr>
        <w:t>” means a Bank which: (i) is treated as a resident of a UK Treaty State for the purposes of a UK Treaty; (ii) does not carry on a business in the United Kingdom through a permanent establishment with which that Bank’s participation in any Term Loan Advance is effectively connected and (iii) fulfils any conditions which must be fulfilled under that double taxation agreement to obtain full exemption from United Kingdom tax on interest payable to that Bank under this Agreement, including the completion of any necessary procedural formalities (save that where that Bank holds a valid passport under the HMRC DT Treaty Passport scheme and that Bank has confirmed its scheme reference number and its jurisdiction of tax residence in accordance with Section 2.6(d)(ii) it shall be treated (for the purposes of this definition only) as having satisfied all necessary procedural formalities).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Non-Bank Lender</w:t>
      </w:r>
      <w:r>
        <w:rPr>
          <w:rFonts w:ascii="Times New Roman" w:cs="Times New Roman" w:eastAsia="Times New Roman" w:hAnsi="Times New Roman"/>
          <w:sz w:val="18"/>
          <w:szCs w:val="18"/>
          <w:color w:val="auto"/>
        </w:rPr>
        <w:t>” means a Bank which is not Bank as of the date of this Agreement and which gives a Tax Confirmation in the documentation which it executes on becoming party as Bank. “</w:t>
      </w:r>
      <w:r>
        <w:rPr>
          <w:rFonts w:ascii="Times New Roman" w:cs="Times New Roman" w:eastAsia="Times New Roman" w:hAnsi="Times New Roman"/>
          <w:sz w:val="18"/>
          <w:szCs w:val="18"/>
          <w:b w:val="1"/>
          <w:bCs w:val="1"/>
          <w:color w:val="auto"/>
        </w:rPr>
        <w:t>UK Security Document(s)</w:t>
      </w:r>
      <w:r>
        <w:rPr>
          <w:rFonts w:ascii="Times New Roman" w:cs="Times New Roman" w:eastAsia="Times New Roman" w:hAnsi="Times New Roman"/>
          <w:sz w:val="18"/>
          <w:szCs w:val="18"/>
          <w:color w:val="auto"/>
        </w:rPr>
        <w:t>” means the Debenture. and any other document, instrument or agreement in which Parent grants a Lien to Bank over all or any part of its assets in respect of the obligations of any of Co-Borrowers under this Agreement, entered into the date of this Agreement.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Tax Deduction</w:t>
      </w:r>
      <w:r>
        <w:rPr>
          <w:rFonts w:ascii="Times New Roman" w:cs="Times New Roman" w:eastAsia="Times New Roman" w:hAnsi="Times New Roman"/>
          <w:sz w:val="18"/>
          <w:szCs w:val="18"/>
          <w:color w:val="auto"/>
        </w:rPr>
        <w:t>” means a deduction or withholding for or on account of Tax imposed by the United Kingdom from a payment under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Treaty State</w:t>
      </w:r>
      <w:r>
        <w:rPr>
          <w:rFonts w:ascii="Times New Roman" w:cs="Times New Roman" w:eastAsia="Times New Roman" w:hAnsi="Times New Roman"/>
          <w:sz w:val="18"/>
          <w:szCs w:val="18"/>
          <w:color w:val="auto"/>
        </w:rPr>
        <w:t>” means a jurisdiction having a double taxation agreement (a “</w:t>
      </w:r>
      <w:r>
        <w:rPr>
          <w:rFonts w:ascii="Times New Roman" w:cs="Times New Roman" w:eastAsia="Times New Roman" w:hAnsi="Times New Roman"/>
          <w:sz w:val="18"/>
          <w:szCs w:val="18"/>
          <w:b w:val="1"/>
          <w:bCs w:val="1"/>
          <w:color w:val="auto"/>
        </w:rPr>
        <w:t>UK Treaty</w:t>
      </w:r>
      <w:r>
        <w:rPr>
          <w:rFonts w:ascii="Times New Roman" w:cs="Times New Roman" w:eastAsia="Times New Roman" w:hAnsi="Times New Roman"/>
          <w:sz w:val="18"/>
          <w:szCs w:val="18"/>
          <w:color w:val="auto"/>
        </w:rPr>
        <w:t>”) with the United Kingdom which makes provision for full exemption from tax imposed by the United Kingdom on interest.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Borrower</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means (i) any tax imposed in compliance with the Council Directive of 28 November 2006 on the common system of value added tax (EC Directive 2006/112); and (ii) any other tax of a similar nature, whether imposed in a member state of the European Union in substitution for, or levied in addition to, such tax referred to in paragraph (a) above, or imposed elsewhere, including, for the avoidance of doubt, any tax imposed in accordance with the UK Value Added Tax Act 1994.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1240" w:hanging="1122"/>
        <w:spacing w:after="0" w:line="282" w:lineRule="auto"/>
        <w:tabs>
          <w:tab w:leader="none" w:pos="5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in accordance with applicable Securities and Exchange Commission rules and regulations. Such excluded information is not material and would likely cause competitive harm to the registrant if publicly disclosed.</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SCHEDULE 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Silicon Valley Bank – Treaty Passport Scheme Reference Number and Jurisdiction of Tax Residence: [***],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as of the Effective Date.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VERONA PHARMA, INC.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Executed as a deed, but not delivered until the first date specified on</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page 1 by VERONA PHARMA PLC. acting by:</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Zaccardelli</w:t>
            </w: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Zaccardelli</w:t>
            </w:r>
          </w:p>
        </w:tc>
      </w:tr>
    </w:tbl>
    <w:p>
      <w:pPr>
        <w:spacing w:after="0" w:line="1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Witness signature:/s/ Mary Mattson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17145</wp:posOffset>
            </wp:positionV>
            <wp:extent cx="27089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Witness name: Mary Mattson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Witness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574675</wp:posOffset>
            </wp:positionV>
            <wp:extent cx="35572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291465</wp:posOffset>
            </wp:positionV>
            <wp:extent cx="35572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17145</wp:posOffset>
            </wp:positionV>
            <wp:extent cx="27089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BANK:</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SILICON VALLEY BANK</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Scott McCarty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Michael Scott McCarty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Signature Page to Loan and Security Agreemen</w:t>
      </w:r>
      <w:r>
        <w:rPr>
          <w:rFonts w:ascii="Times New Roman" w:cs="Times New Roman" w:eastAsia="Times New Roman" w:hAnsi="Times New Roman"/>
          <w:sz w:val="18"/>
          <w:szCs w:val="18"/>
          <w:color w:val="auto"/>
        </w:rPr>
        <w: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294005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 - COLLATERAL DESCRIPTION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Collateral consists of all of Co-Borrower’s right, title and interest in and to the following personal property: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Co-Borrowers’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foregoing, the Collateral does not include (a) any interest of Co-Borrower as a lessee or sublessee under a real property lease or an Equipment lease if Co-Borrower is prohibited by the terms of such lease from granting a security interest in such lease or under which such an assignment or Lien would cause a default to occur under such lease (but only to the extent that such prohibition is enforceable under all applicable laws including, without limitation, the Code); provided, however, that upon termination of such prohibition, such interest shall immediately become Collateral without any action by Co-Borrower or Bank, (b) rights held under a license or other agreement that are not assignable by their terms without the consent of the licensor thereof (but only to the extent such restriction on assignment is enforceable under applicable law); (c) (i) more than sixty-five percent (65%) of the presently existing and hereafter arising issued and outstanding equity interests in any Foreign Subsidiary owned directly by a Co-Borrower or Guarantor that is a U.S. Person, which equity interests entitle the holder thereof to vote for directors or any other matter or (ii) any assets of any Foreign Subsidiary, (d) any equity interests of Verona Pharma, Inc. or (e) any Intellectual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Co-Borrowers that are proceeds of the Intellectual Property.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a certain negative pledge arrangement with Bank, Co-Borrowers have agreed not to encumber any of its Intellectual Property without Bank’s prior written consent.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 B</w:t>
            </w:r>
          </w:p>
        </w:tc>
        <w:tc>
          <w:tcPr>
            <w:tcW w:w="12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r>
      <w:tr>
        <w:trPr>
          <w:trHeight w:val="412"/>
        </w:trPr>
        <w:tc>
          <w:tcPr>
            <w:tcW w:w="4360" w:type="dxa"/>
            <w:vAlign w:val="bottom"/>
          </w:tcPr>
          <w:p>
            <w:pPr>
              <w:spacing w:after="0"/>
              <w:rPr>
                <w:sz w:val="24"/>
                <w:szCs w:val="24"/>
                <w:color w:val="auto"/>
              </w:rPr>
            </w:pPr>
          </w:p>
        </w:tc>
        <w:tc>
          <w:tcPr>
            <w:tcW w:w="302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COMPLIANCE CERTIFICATE</w:t>
            </w:r>
          </w:p>
        </w:tc>
        <w:tc>
          <w:tcPr>
            <w:tcW w:w="880" w:type="dxa"/>
            <w:vAlign w:val="bottom"/>
          </w:tcPr>
          <w:p>
            <w:pPr>
              <w:spacing w:after="0"/>
              <w:rPr>
                <w:sz w:val="24"/>
                <w:szCs w:val="24"/>
                <w:color w:val="auto"/>
              </w:rPr>
            </w:pPr>
          </w:p>
        </w:tc>
      </w:tr>
      <w:tr>
        <w:trPr>
          <w:trHeight w:val="4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w w:val="98"/>
              </w:rPr>
              <w:t>TO:SILICON VALLEY BANK</w:t>
            </w:r>
          </w:p>
        </w:tc>
        <w:tc>
          <w:tcPr>
            <w:tcW w:w="2520" w:type="dxa"/>
            <w:vAlign w:val="bottom"/>
            <w:tcBorders>
              <w:top w:val="single" w:sz="8" w:color="auto"/>
            </w:tcBorders>
            <w:gridSpan w:val="3"/>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2"/>
              </w:rPr>
              <w:t>Date:</w:t>
            </w:r>
          </w:p>
        </w:tc>
      </w:tr>
      <w:tr>
        <w:trPr>
          <w:trHeight w:val="234"/>
        </w:trPr>
        <w:tc>
          <w:tcPr>
            <w:tcW w:w="7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FROM: VERONA PHARMA PLC, on behalf of all Co-Borrowers</w:t>
            </w:r>
          </w:p>
        </w:tc>
        <w:tc>
          <w:tcPr>
            <w:tcW w:w="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5278755</wp:posOffset>
            </wp:positionH>
            <wp:positionV relativeFrom="paragraph">
              <wp:posOffset>-162560</wp:posOffset>
            </wp:positionV>
            <wp:extent cx="13709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undersigned authorized officer of ____________________ (“Co-Borrowers”) certifies, solely in his/her capacity as an officer of Co-</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Borrower and not in his/her individual capacity, that under the terms and conditions of the Loan and Security Agreement between Co-Borrowers and Bank (the “Agreement”):</w:t>
      </w:r>
    </w:p>
    <w:p>
      <w:pPr>
        <w:spacing w:after="0" w:line="181" w:lineRule="exact"/>
        <w:rPr>
          <w:sz w:val="20"/>
          <w:szCs w:val="20"/>
          <w:color w:val="auto"/>
        </w:rPr>
      </w:pPr>
    </w:p>
    <w:p>
      <w:pPr>
        <w:jc w:val="both"/>
        <w:ind w:right="20" w:firstLine="1304"/>
        <w:spacing w:after="0" w:line="254" w:lineRule="auto"/>
        <w:tabs>
          <w:tab w:leader="none" w:pos="158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Co-Borrowers are in complete compliance for the period ending _______________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Co-Borrowers, and each of their Subsidiaries, has timely filed all required tax returns and reports, and Co-Borrowers have timely paid all foreign, federal, state and local taxes, assessments, deposits and contributions owed by US Borrowers except as otherwise permitted pursuant to the terms of Section 5.9 of the Agreement; and (5) no Liens have been levied or claims made against US Borrowers or any of their Subsidiaries relating to unpaid employee payroll or benefits of which US Borrowers have not previously provided written notification to Bank, as applicable.</w:t>
      </w:r>
    </w:p>
    <w:p>
      <w:pPr>
        <w:spacing w:after="0" w:line="18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18"/>
          <w:szCs w:val="18"/>
          <w:color w:val="auto"/>
        </w:rPr>
        <w:t>Attached are the required documents supporting the certification. The undersigned certifies that these are prepared in accordance with IFRS consistently applied from one period to the next except as explained in an accompanying letter or footnotes. The undersigned acknowledges that no borrowings may be requested at any time or date of determination that Co-Borrowers are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indicate compliance status by circling Yes/No under “Complies” column.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540" w:type="dxa"/>
            <w:vAlign w:val="bottom"/>
            <w:tcBorders>
              <w:top w:val="single" w:sz="8" w:color="auto"/>
              <w:left w:val="single" w:sz="8" w:color="auto"/>
              <w:right w:val="single" w:sz="8" w:color="auto"/>
            </w:tcBorders>
            <w:gridSpan w:val="3"/>
          </w:tcPr>
          <w:p>
            <w:pPr>
              <w:ind w:left="2000"/>
              <w:spacing w:after="0" w:line="189" w:lineRule="exact"/>
              <w:rPr>
                <w:sz w:val="20"/>
                <w:szCs w:val="20"/>
                <w:color w:val="auto"/>
              </w:rPr>
            </w:pPr>
            <w:r>
              <w:rPr>
                <w:rFonts w:ascii="Times New Roman" w:cs="Times New Roman" w:eastAsia="Times New Roman" w:hAnsi="Times New Roman"/>
                <w:sz w:val="18"/>
                <w:szCs w:val="18"/>
                <w:b w:val="1"/>
                <w:bCs w:val="1"/>
                <w:color w:val="auto"/>
              </w:rPr>
              <w:t>Reporting Covenants</w:t>
            </w:r>
          </w:p>
        </w:tc>
        <w:tc>
          <w:tcPr>
            <w:tcW w:w="4160" w:type="dxa"/>
            <w:vAlign w:val="bottom"/>
            <w:tcBorders>
              <w:top w:val="single" w:sz="8" w:color="auto"/>
              <w:right w:val="single" w:sz="8" w:color="auto"/>
            </w:tcBorders>
            <w:gridSpan w:val="3"/>
          </w:tcPr>
          <w:p>
            <w:pPr>
              <w:ind w:left="1760"/>
              <w:spacing w:after="0" w:line="189" w:lineRule="exact"/>
              <w:rPr>
                <w:sz w:val="20"/>
                <w:szCs w:val="20"/>
                <w:color w:val="auto"/>
              </w:rPr>
            </w:pPr>
            <w:r>
              <w:rPr>
                <w:rFonts w:ascii="Times New Roman" w:cs="Times New Roman" w:eastAsia="Times New Roman" w:hAnsi="Times New Roman"/>
                <w:sz w:val="18"/>
                <w:szCs w:val="18"/>
                <w:b w:val="1"/>
                <w:bCs w:val="1"/>
                <w:color w:val="auto"/>
              </w:rPr>
              <w:t>Required</w:t>
            </w:r>
          </w:p>
        </w:tc>
        <w:tc>
          <w:tcPr>
            <w:tcW w:w="1560" w:type="dxa"/>
            <w:vAlign w:val="bottom"/>
            <w:tcBorders>
              <w:top w:val="single" w:sz="8" w:color="auto"/>
              <w:right w:val="single" w:sz="8" w:color="auto"/>
            </w:tcBorders>
            <w:gridSpan w:val="4"/>
          </w:tcPr>
          <w:p>
            <w:pPr>
              <w:ind w:left="460"/>
              <w:spacing w:after="0" w:line="189" w:lineRule="exact"/>
              <w:rPr>
                <w:sz w:val="20"/>
                <w:szCs w:val="20"/>
                <w:color w:val="auto"/>
              </w:rPr>
            </w:pPr>
            <w:r>
              <w:rPr>
                <w:rFonts w:ascii="Times New Roman" w:cs="Times New Roman" w:eastAsia="Times New Roman" w:hAnsi="Times New Roman"/>
                <w:sz w:val="18"/>
                <w:szCs w:val="18"/>
                <w:b w:val="1"/>
                <w:bCs w:val="1"/>
                <w:color w:val="auto"/>
              </w:rPr>
              <w:t>Complies</w:t>
            </w:r>
          </w:p>
        </w:tc>
      </w:tr>
      <w:tr>
        <w:trPr>
          <w:trHeight w:val="20"/>
        </w:trPr>
        <w:tc>
          <w:tcPr>
            <w:tcW w:w="2000" w:type="dxa"/>
            <w:vAlign w:val="bottom"/>
            <w:tcBorders>
              <w:left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200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r>
      <w:tr>
        <w:trPr>
          <w:trHeight w:val="191"/>
        </w:trPr>
        <w:tc>
          <w:tcPr>
            <w:tcW w:w="554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Monthly financial statements with Compliance Certificate</w:t>
            </w:r>
          </w:p>
        </w:tc>
        <w:tc>
          <w:tcPr>
            <w:tcW w:w="416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Monthly within 30 days (forty-five (45) days for</w:t>
            </w:r>
          </w:p>
        </w:tc>
        <w:tc>
          <w:tcPr>
            <w:tcW w:w="460" w:type="dxa"/>
            <w:vAlign w:val="bottom"/>
          </w:tcPr>
          <w:p>
            <w:pPr>
              <w:spacing w:after="0"/>
              <w:rPr>
                <w:sz w:val="16"/>
                <w:szCs w:val="16"/>
                <w:color w:val="auto"/>
              </w:rPr>
            </w:pPr>
          </w:p>
        </w:tc>
        <w:tc>
          <w:tcPr>
            <w:tcW w:w="3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Yes</w:t>
            </w:r>
          </w:p>
        </w:tc>
        <w:tc>
          <w:tcPr>
            <w:tcW w:w="720" w:type="dxa"/>
            <w:vAlign w:val="bottom"/>
            <w:tcBorders>
              <w:right w:val="single" w:sz="8" w:color="auto"/>
            </w:tcBorders>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No</w:t>
            </w:r>
          </w:p>
        </w:tc>
      </w:tr>
      <w:tr>
        <w:trPr>
          <w:trHeight w:val="234"/>
        </w:trPr>
        <w:tc>
          <w:tcPr>
            <w:tcW w:w="200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41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March, June, September and December) of month end</w:t>
            </w: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r>
      <w:tr>
        <w:trPr>
          <w:trHeight w:val="210"/>
        </w:trPr>
        <w:tc>
          <w:tcPr>
            <w:tcW w:w="55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Annual financial statements (CPA Audited)</w:t>
            </w:r>
          </w:p>
        </w:tc>
        <w:tc>
          <w:tcPr>
            <w:tcW w:w="41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FYE within 180 days</w:t>
            </w: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Yes</w:t>
            </w:r>
          </w:p>
        </w:tc>
        <w:tc>
          <w:tcPr>
            <w:tcW w:w="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No</w:t>
            </w:r>
          </w:p>
        </w:tc>
      </w:tr>
      <w:tr>
        <w:trPr>
          <w:trHeight w:val="210"/>
        </w:trPr>
        <w:tc>
          <w:tcPr>
            <w:tcW w:w="55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10-Q</w:t>
            </w:r>
          </w:p>
        </w:tc>
        <w:tc>
          <w:tcPr>
            <w:tcW w:w="41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Within 45 days of quarter end</w:t>
            </w: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Yes</w:t>
            </w:r>
          </w:p>
        </w:tc>
        <w:tc>
          <w:tcPr>
            <w:tcW w:w="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No</w:t>
            </w:r>
          </w:p>
        </w:tc>
      </w:tr>
      <w:tr>
        <w:trPr>
          <w:trHeight w:val="209"/>
        </w:trPr>
        <w:tc>
          <w:tcPr>
            <w:tcW w:w="55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10-K</w:t>
            </w:r>
          </w:p>
        </w:tc>
        <w:tc>
          <w:tcPr>
            <w:tcW w:w="41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FYE within 180 days</w:t>
            </w: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Yes</w:t>
            </w:r>
          </w:p>
        </w:tc>
        <w:tc>
          <w:tcPr>
            <w:tcW w:w="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No</w:t>
            </w:r>
          </w:p>
        </w:tc>
      </w:tr>
      <w:tr>
        <w:trPr>
          <w:trHeight w:val="210"/>
        </w:trPr>
        <w:tc>
          <w:tcPr>
            <w:tcW w:w="55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Board approved projections</w:t>
            </w:r>
          </w:p>
        </w:tc>
        <w:tc>
          <w:tcPr>
            <w:tcW w:w="41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FYE within 60 days</w:t>
            </w: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Yes</w:t>
            </w:r>
          </w:p>
        </w:tc>
        <w:tc>
          <w:tcPr>
            <w:tcW w:w="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No</w:t>
            </w:r>
          </w:p>
        </w:tc>
      </w:tr>
      <w:tr>
        <w:trPr>
          <w:trHeight w:val="210"/>
        </w:trPr>
        <w:tc>
          <w:tcPr>
            <w:tcW w:w="55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Q4/FYE Financial Statements</w:t>
            </w:r>
          </w:p>
        </w:tc>
        <w:tc>
          <w:tcPr>
            <w:tcW w:w="41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FYE within 90 days</w:t>
            </w: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Yes</w:t>
            </w:r>
          </w:p>
        </w:tc>
        <w:tc>
          <w:tcPr>
            <w:tcW w:w="7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No</w:t>
            </w: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891"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are the exceptions with respect to the statements above: (If no exceptions exist, state “No exceptions to note.”)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 - LOAN PAYMENT/ADVANCE REQUEST FORM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2"/>
          <w:szCs w:val="12"/>
          <w:b w:val="1"/>
          <w:bCs w:val="1"/>
          <w:u w:val="single" w:color="auto"/>
          <w:color w:val="auto"/>
        </w:rPr>
        <w:t>EADLINE FOR SAME DAY PROCESSING IS</w:t>
      </w:r>
      <w:r>
        <w:rPr>
          <w:rFonts w:ascii="Times New Roman" w:cs="Times New Roman" w:eastAsia="Times New Roman" w:hAnsi="Times New Roman"/>
          <w:sz w:val="18"/>
          <w:szCs w:val="18"/>
          <w:b w:val="1"/>
          <w:bCs w:val="1"/>
          <w:u w:val="single" w:color="auto"/>
          <w:color w:val="auto"/>
        </w:rPr>
        <w:t xml:space="preserve"> N</w:t>
      </w:r>
      <w:r>
        <w:rPr>
          <w:rFonts w:ascii="Times New Roman" w:cs="Times New Roman" w:eastAsia="Times New Roman" w:hAnsi="Times New Roman"/>
          <w:sz w:val="12"/>
          <w:szCs w:val="12"/>
          <w:b w:val="1"/>
          <w:bCs w:val="1"/>
          <w:u w:val="single" w:color="auto"/>
          <w:color w:val="auto"/>
        </w:rPr>
        <w:t>OON</w:t>
      </w:r>
      <w:r>
        <w:rPr>
          <w:rFonts w:ascii="Times New Roman" w:cs="Times New Roman" w:eastAsia="Times New Roman" w:hAnsi="Times New Roman"/>
          <w:sz w:val="18"/>
          <w:szCs w:val="18"/>
          <w:b w:val="1"/>
          <w:bCs w:val="1"/>
          <w:u w:val="single" w:color="auto"/>
          <w:color w:val="auto"/>
        </w:rPr>
        <w:t xml:space="preserve"> E</w:t>
      </w:r>
      <w:r>
        <w:rPr>
          <w:rFonts w:ascii="Times New Roman" w:cs="Times New Roman" w:eastAsia="Times New Roman" w:hAnsi="Times New Roman"/>
          <w:sz w:val="12"/>
          <w:szCs w:val="12"/>
          <w:b w:val="1"/>
          <w:bCs w:val="1"/>
          <w:u w:val="single" w:color="auto"/>
          <w:color w:val="auto"/>
        </w:rPr>
        <w:t>ASTERN</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2"/>
          <w:szCs w:val="12"/>
          <w:b w:val="1"/>
          <w:bCs w:val="1"/>
          <w:u w:val="single" w:color="auto"/>
          <w:color w:val="auto"/>
        </w:rPr>
        <w:t>IME</w:t>
      </w:r>
    </w:p>
    <w:p>
      <w:pPr>
        <w:spacing w:after="0" w:line="229" w:lineRule="exact"/>
        <w:rPr>
          <w:sz w:val="20"/>
          <w:szCs w:val="20"/>
          <w:color w:val="auto"/>
        </w:rPr>
      </w:pPr>
    </w:p>
    <w:p>
      <w:pPr>
        <w:ind w:left="500"/>
        <w:spacing w:after="0"/>
        <w:tabs>
          <w:tab w:leader="none" w:pos="8900" w:val="left"/>
        </w:tabs>
        <w:rPr>
          <w:sz w:val="20"/>
          <w:szCs w:val="20"/>
          <w:color w:val="auto"/>
        </w:rPr>
      </w:pPr>
      <w:r>
        <w:rPr>
          <w:rFonts w:ascii="Times New Roman" w:cs="Times New Roman" w:eastAsia="Times New Roman" w:hAnsi="Times New Roman"/>
          <w:sz w:val="18"/>
          <w:szCs w:val="18"/>
          <w:color w:val="auto"/>
        </w:rPr>
        <w:t>Fax To:</w:t>
      </w:r>
      <w:r>
        <w:rPr>
          <w:sz w:val="20"/>
          <w:szCs w:val="20"/>
          <w:color w:val="auto"/>
        </w:rPr>
        <w:tab/>
      </w:r>
      <w:r>
        <w:rPr>
          <w:rFonts w:ascii="Times New Roman" w:cs="Times New Roman" w:eastAsia="Times New Roman" w:hAnsi="Times New Roman"/>
          <w:sz w:val="17"/>
          <w:szCs w:val="17"/>
          <w:color w:val="auto"/>
        </w:rPr>
        <w:t>Date: _____________________</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OAN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538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153860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VERONA PHARMA, PLC, on behalf of all Co-Borrowers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From Account #________________________________</w:t>
            </w:r>
          </w:p>
        </w:tc>
        <w:tc>
          <w:tcPr>
            <w:tcW w:w="54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w w:val="98"/>
              </w:rPr>
              <w:t>To Account #__________________________________________</w:t>
            </w:r>
          </w:p>
        </w:tc>
      </w:tr>
      <w:tr>
        <w:trPr>
          <w:trHeight w:val="216"/>
        </w:trPr>
        <w:tc>
          <w:tcPr>
            <w:tcW w:w="4360" w:type="dxa"/>
            <w:vAlign w:val="bottom"/>
            <w:gridSpan w:val="5"/>
          </w:tcPr>
          <w:p>
            <w:pPr>
              <w:ind w:left="1300"/>
              <w:spacing w:after="0"/>
              <w:rPr>
                <w:sz w:val="20"/>
                <w:szCs w:val="20"/>
                <w:color w:val="auto"/>
              </w:rPr>
            </w:pPr>
            <w:r>
              <w:rPr>
                <w:rFonts w:ascii="Times New Roman" w:cs="Times New Roman" w:eastAsia="Times New Roman" w:hAnsi="Times New Roman"/>
                <w:sz w:val="18"/>
                <w:szCs w:val="18"/>
                <w:color w:val="auto"/>
              </w:rPr>
              <w:t>(Deposit Account #)</w:t>
            </w:r>
          </w:p>
        </w:tc>
        <w:tc>
          <w:tcPr>
            <w:tcW w:w="1480" w:type="dxa"/>
            <w:vAlign w:val="bottom"/>
          </w:tcPr>
          <w:p>
            <w:pPr>
              <w:spacing w:after="0"/>
              <w:rPr>
                <w:sz w:val="18"/>
                <w:szCs w:val="18"/>
                <w:color w:val="auto"/>
              </w:rPr>
            </w:pPr>
          </w:p>
        </w:tc>
        <w:tc>
          <w:tcPr>
            <w:tcW w:w="39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(Loan Account #)</w:t>
            </w:r>
          </w:p>
        </w:tc>
      </w:tr>
      <w:tr>
        <w:trPr>
          <w:trHeight w:val="216"/>
        </w:trPr>
        <w:tc>
          <w:tcPr>
            <w:tcW w:w="5840" w:type="dxa"/>
            <w:vAlign w:val="bottom"/>
            <w:gridSpan w:val="6"/>
          </w:tcPr>
          <w:p>
            <w:pPr>
              <w:ind w:left="1300"/>
              <w:spacing w:after="0"/>
              <w:rPr>
                <w:sz w:val="20"/>
                <w:szCs w:val="20"/>
                <w:color w:val="auto"/>
              </w:rPr>
            </w:pPr>
            <w:r>
              <w:rPr>
                <w:rFonts w:ascii="Times New Roman" w:cs="Times New Roman" w:eastAsia="Times New Roman" w:hAnsi="Times New Roman"/>
                <w:sz w:val="18"/>
                <w:szCs w:val="18"/>
                <w:color w:val="auto"/>
              </w:rPr>
              <w:t>Principal $____________________________________</w:t>
            </w:r>
          </w:p>
        </w:tc>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and/or Interest</w:t>
            </w:r>
          </w:p>
        </w:tc>
      </w:tr>
      <w:tr>
        <w:trPr>
          <w:trHeight w:val="234"/>
        </w:trPr>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14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1"/>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Authorized Signature:</w:t>
            </w:r>
          </w:p>
        </w:tc>
        <w:tc>
          <w:tcPr>
            <w:tcW w:w="1980" w:type="dxa"/>
            <w:vAlign w:val="bottom"/>
            <w:tcBorders>
              <w:bottom w:val="single" w:sz="8" w:color="auto"/>
            </w:tcBorders>
          </w:tcPr>
          <w:p>
            <w:pPr>
              <w:spacing w:after="0"/>
              <w:rPr>
                <w:sz w:val="24"/>
                <w:szCs w:val="24"/>
                <w:color w:val="auto"/>
              </w:rPr>
            </w:pPr>
          </w:p>
        </w:tc>
        <w:tc>
          <w:tcPr>
            <w:tcW w:w="780" w:type="dxa"/>
            <w:vAlign w:val="bottom"/>
            <w:gridSpan w:val="2"/>
          </w:tcPr>
          <w:p>
            <w:pPr>
              <w:spacing w:after="0"/>
              <w:rPr>
                <w:sz w:val="24"/>
                <w:szCs w:val="24"/>
                <w:color w:val="auto"/>
              </w:rPr>
            </w:pPr>
          </w:p>
        </w:tc>
        <w:tc>
          <w:tcPr>
            <w:tcW w:w="1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Phone Number:</w:t>
            </w:r>
          </w:p>
        </w:tc>
        <w:tc>
          <w:tcPr>
            <w:tcW w:w="34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Print Name/Title:</w:t>
            </w:r>
          </w:p>
        </w:tc>
        <w:tc>
          <w:tcPr>
            <w:tcW w:w="2340" w:type="dxa"/>
            <w:vAlign w:val="bottom"/>
            <w:tcBorders>
              <w:bottom w:val="single" w:sz="8" w:color="auto"/>
            </w:tcBorders>
            <w:gridSpan w:val="3"/>
          </w:tcPr>
          <w:p>
            <w:pPr>
              <w:spacing w:after="0"/>
              <w:rPr>
                <w:sz w:val="17"/>
                <w:szCs w:val="17"/>
                <w:color w:val="auto"/>
              </w:rPr>
            </w:pPr>
          </w:p>
        </w:tc>
        <w:tc>
          <w:tcPr>
            <w:tcW w:w="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00" w:type="dxa"/>
            <w:vAlign w:val="bottom"/>
          </w:tcPr>
          <w:p>
            <w:pPr>
              <w:spacing w:after="0"/>
              <w:rPr>
                <w:sz w:val="17"/>
                <w:szCs w:val="17"/>
                <w:color w:val="auto"/>
              </w:rPr>
            </w:pPr>
          </w:p>
        </w:tc>
      </w:tr>
    </w:tbl>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OAN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DVANCE</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23526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2352675"/>
                    </a:xfrm>
                    <a:prstGeom prst="rect">
                      <a:avLst/>
                    </a:prstGeom>
                    <a:noFill/>
                  </pic:spPr>
                </pic:pic>
              </a:graphicData>
            </a:graphic>
          </wp:anchor>
        </w:drawing>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Complete </w:t>
      </w:r>
      <w:r>
        <w:rPr>
          <w:rFonts w:ascii="Times New Roman" w:cs="Times New Roman" w:eastAsia="Times New Roman" w:hAnsi="Times New Roman"/>
          <w:sz w:val="18"/>
          <w:szCs w:val="18"/>
          <w:i w:val="1"/>
          <w:iCs w:val="1"/>
          <w:color w:val="auto"/>
        </w:rPr>
        <w:t>Outgoing Wire Request</w:t>
      </w:r>
      <w:r>
        <w:rPr>
          <w:rFonts w:ascii="Times New Roman" w:cs="Times New Roman" w:eastAsia="Times New Roman" w:hAnsi="Times New Roman"/>
          <w:sz w:val="18"/>
          <w:szCs w:val="18"/>
          <w:color w:val="auto"/>
        </w:rPr>
        <w:t xml:space="preserve"> section below if all or a portion of the funds from this loan advance are for an outgoing wire.</w:t>
      </w:r>
    </w:p>
    <w:p>
      <w:pPr>
        <w:spacing w:after="0" w:line="227" w:lineRule="exact"/>
        <w:rPr>
          <w:sz w:val="20"/>
          <w:szCs w:val="20"/>
          <w:color w:val="auto"/>
        </w:rPr>
      </w:pPr>
    </w:p>
    <w:p>
      <w:pPr>
        <w:ind w:left="20"/>
        <w:spacing w:after="0"/>
        <w:tabs>
          <w:tab w:leader="none" w:pos="5000" w:val="left"/>
        </w:tabs>
        <w:rPr>
          <w:sz w:val="20"/>
          <w:szCs w:val="20"/>
          <w:color w:val="auto"/>
        </w:rPr>
      </w:pPr>
      <w:r>
        <w:rPr>
          <w:rFonts w:ascii="Times New Roman" w:cs="Times New Roman" w:eastAsia="Times New Roman" w:hAnsi="Times New Roman"/>
          <w:sz w:val="18"/>
          <w:szCs w:val="18"/>
          <w:color w:val="auto"/>
        </w:rPr>
        <w:t>From Account #________________________________</w:t>
      </w:r>
      <w:r>
        <w:rPr>
          <w:sz w:val="20"/>
          <w:szCs w:val="20"/>
          <w:color w:val="auto"/>
        </w:rPr>
        <w:tab/>
      </w:r>
      <w:r>
        <w:rPr>
          <w:rFonts w:ascii="Times New Roman" w:cs="Times New Roman" w:eastAsia="Times New Roman" w:hAnsi="Times New Roman"/>
          <w:sz w:val="17"/>
          <w:szCs w:val="17"/>
          <w:color w:val="auto"/>
        </w:rPr>
        <w:t>To Account #__________________________________________</w:t>
      </w:r>
    </w:p>
    <w:p>
      <w:pPr>
        <w:spacing w:after="0" w:line="27" w:lineRule="exact"/>
        <w:rPr>
          <w:sz w:val="20"/>
          <w:szCs w:val="20"/>
          <w:color w:val="auto"/>
        </w:rPr>
      </w:pPr>
    </w:p>
    <w:p>
      <w:pPr>
        <w:ind w:left="1320"/>
        <w:spacing w:after="0"/>
        <w:tabs>
          <w:tab w:leader="none" w:pos="7520" w:val="left"/>
        </w:tabs>
        <w:rPr>
          <w:sz w:val="20"/>
          <w:szCs w:val="20"/>
          <w:color w:val="auto"/>
        </w:rPr>
      </w:pPr>
      <w:r>
        <w:rPr>
          <w:rFonts w:ascii="Times New Roman" w:cs="Times New Roman" w:eastAsia="Times New Roman" w:hAnsi="Times New Roman"/>
          <w:sz w:val="18"/>
          <w:szCs w:val="18"/>
          <w:color w:val="auto"/>
        </w:rPr>
        <w:t>(Loan Account #)</w:t>
      </w:r>
      <w:r>
        <w:rPr>
          <w:sz w:val="20"/>
          <w:szCs w:val="20"/>
          <w:color w:val="auto"/>
        </w:rPr>
        <w:tab/>
      </w:r>
      <w:r>
        <w:rPr>
          <w:rFonts w:ascii="Times New Roman" w:cs="Times New Roman" w:eastAsia="Times New Roman" w:hAnsi="Times New Roman"/>
          <w:sz w:val="17"/>
          <w:szCs w:val="17"/>
          <w:color w:val="auto"/>
        </w:rPr>
        <w:t>(Deposit Account #)</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 of Term Loan Advance $___________________________</w:t>
      </w:r>
    </w:p>
    <w:p>
      <w:pPr>
        <w:spacing w:after="0" w:line="225" w:lineRule="exact"/>
        <w:rPr>
          <w:sz w:val="20"/>
          <w:szCs w:val="20"/>
          <w:color w:val="auto"/>
        </w:rPr>
      </w:pPr>
    </w:p>
    <w:p>
      <w:pPr>
        <w:jc w:val="both"/>
        <w:ind w:left="20" w:right="80"/>
        <w:spacing w:after="0" w:line="261" w:lineRule="auto"/>
        <w:rPr>
          <w:sz w:val="20"/>
          <w:szCs w:val="20"/>
          <w:color w:val="auto"/>
        </w:rPr>
      </w:pPr>
      <w:r>
        <w:rPr>
          <w:rFonts w:ascii="Times New Roman" w:cs="Times New Roman" w:eastAsia="Times New Roman" w:hAnsi="Times New Roman"/>
          <w:sz w:val="18"/>
          <w:szCs w:val="18"/>
          <w:color w:val="auto"/>
        </w:rPr>
        <w:t>All Co-Borrowers’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Authorized Signature:</w:t>
            </w:r>
          </w:p>
        </w:tc>
        <w:tc>
          <w:tcPr>
            <w:tcW w:w="1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Phone Number:</w:t>
            </w:r>
          </w:p>
        </w:tc>
        <w:tc>
          <w:tcPr>
            <w:tcW w:w="3060" w:type="dxa"/>
            <w:vAlign w:val="bottom"/>
            <w:tcBorders>
              <w:bottom w:val="single" w:sz="8" w:color="auto"/>
            </w:tcBorders>
          </w:tcPr>
          <w:p>
            <w:pPr>
              <w:spacing w:after="0"/>
              <w:rPr>
                <w:sz w:val="18"/>
                <w:szCs w:val="18"/>
                <w:color w:val="auto"/>
              </w:rPr>
            </w:pPr>
          </w:p>
        </w:tc>
        <w:tc>
          <w:tcPr>
            <w:tcW w:w="2460" w:type="dxa"/>
            <w:vAlign w:val="bottom"/>
          </w:tcPr>
          <w:p>
            <w:pPr>
              <w:spacing w:after="0"/>
              <w:rPr>
                <w:sz w:val="18"/>
                <w:szCs w:val="18"/>
                <w:color w:val="auto"/>
              </w:rPr>
            </w:pPr>
          </w:p>
        </w:tc>
      </w:tr>
      <w:tr>
        <w:trPr>
          <w:trHeight w:val="196"/>
        </w:trPr>
        <w:tc>
          <w:tcPr>
            <w:tcW w:w="34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Print Name/Title:</w:t>
            </w: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695"/>
        </w:trPr>
        <w:tc>
          <w:tcPr>
            <w:tcW w:w="132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8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UTGOING</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IRE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EQUEST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3209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320992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Complete only if all or a portion of funds from the loan advance above is to be wired.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Deadline for same day processing is noon, Eastern Time</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Beneficiary Name: _____________________________</w:t>
            </w:r>
          </w:p>
        </w:tc>
        <w:tc>
          <w:tcPr>
            <w:tcW w:w="5240" w:type="dxa"/>
            <w:vAlign w:val="bottom"/>
            <w:gridSpan w:val="6"/>
          </w:tcPr>
          <w:p>
            <w:pPr>
              <w:ind w:left="860"/>
              <w:spacing w:after="0"/>
              <w:rPr>
                <w:sz w:val="20"/>
                <w:szCs w:val="20"/>
                <w:color w:val="auto"/>
              </w:rPr>
            </w:pPr>
            <w:r>
              <w:rPr>
                <w:rFonts w:ascii="Times New Roman" w:cs="Times New Roman" w:eastAsia="Times New Roman" w:hAnsi="Times New Roman"/>
                <w:sz w:val="18"/>
                <w:szCs w:val="18"/>
                <w:color w:val="auto"/>
              </w:rPr>
              <w:t>Amount of Wire: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Beneficiary Bank: ______________________________</w:t>
            </w:r>
          </w:p>
        </w:tc>
        <w:tc>
          <w:tcPr>
            <w:tcW w:w="2220" w:type="dxa"/>
            <w:vAlign w:val="bottom"/>
            <w:gridSpan w:val="2"/>
          </w:tcPr>
          <w:p>
            <w:pPr>
              <w:ind w:left="860"/>
              <w:spacing w:after="0" w:line="196" w:lineRule="exact"/>
              <w:rPr>
                <w:sz w:val="20"/>
                <w:szCs w:val="20"/>
                <w:color w:val="auto"/>
              </w:rPr>
            </w:pPr>
            <w:r>
              <w:rPr>
                <w:rFonts w:ascii="Times New Roman" w:cs="Times New Roman" w:eastAsia="Times New Roman" w:hAnsi="Times New Roman"/>
                <w:sz w:val="18"/>
                <w:szCs w:val="18"/>
                <w:color w:val="auto"/>
              </w:rPr>
              <w:t>Account Number:</w:t>
            </w:r>
          </w:p>
        </w:tc>
        <w:tc>
          <w:tcPr>
            <w:tcW w:w="3020" w:type="dxa"/>
            <w:vAlign w:val="bottom"/>
            <w:tcBorders>
              <w:top w:val="single" w:sz="8" w:color="auto"/>
            </w:tcBorders>
            <w:gridSpan w:val="4"/>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City and State:</w:t>
            </w:r>
          </w:p>
        </w:tc>
        <w:tc>
          <w:tcPr>
            <w:tcW w:w="2740" w:type="dxa"/>
            <w:vAlign w:val="bottom"/>
            <w:tcBorders>
              <w:bottom w:val="single" w:sz="8" w:color="auto"/>
            </w:tcBorders>
            <w:gridSpan w:val="5"/>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Beneficiary Bank Transit (ABA) #:</w:t>
            </w:r>
          </w:p>
        </w:tc>
        <w:tc>
          <w:tcPr>
            <w:tcW w:w="1080" w:type="dxa"/>
            <w:vAlign w:val="bottom"/>
            <w:tcBorders>
              <w:bottom w:val="single" w:sz="8" w:color="auto"/>
            </w:tcBorders>
          </w:tcPr>
          <w:p>
            <w:pPr>
              <w:spacing w:after="0"/>
              <w:rPr>
                <w:sz w:val="24"/>
                <w:szCs w:val="24"/>
                <w:color w:val="auto"/>
              </w:rPr>
            </w:pPr>
          </w:p>
        </w:tc>
        <w:tc>
          <w:tcPr>
            <w:tcW w:w="420" w:type="dxa"/>
            <w:vAlign w:val="bottom"/>
            <w:gridSpan w:val="2"/>
          </w:tcPr>
          <w:p>
            <w:pPr>
              <w:spacing w:after="0"/>
              <w:rPr>
                <w:sz w:val="24"/>
                <w:szCs w:val="24"/>
                <w:color w:val="auto"/>
              </w:rPr>
            </w:pPr>
          </w:p>
        </w:tc>
        <w:tc>
          <w:tcPr>
            <w:tcW w:w="444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auto"/>
              </w:rPr>
              <w:t>Beneficiary Bank Code (Swift, Sort, Chip, etc.):</w:t>
            </w:r>
          </w:p>
        </w:tc>
        <w:tc>
          <w:tcPr>
            <w:tcW w:w="80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40" w:type="dxa"/>
            <w:vAlign w:val="bottom"/>
            <w:gridSpan w:val="6"/>
          </w:tcPr>
          <w:p>
            <w:pPr>
              <w:ind w:left="1300"/>
              <w:spacing w:after="0"/>
              <w:rPr>
                <w:sz w:val="20"/>
                <w:szCs w:val="20"/>
                <w:color w:val="auto"/>
              </w:rPr>
            </w:pPr>
            <w:r>
              <w:rPr>
                <w:rFonts w:ascii="Times New Roman" w:cs="Times New Roman" w:eastAsia="Times New Roman" w:hAnsi="Times New Roman"/>
                <w:sz w:val="18"/>
                <w:szCs w:val="18"/>
                <w:b w:val="1"/>
                <w:bCs w:val="1"/>
                <w:color w:val="auto"/>
              </w:rPr>
              <w:t>(For International Wire Only)</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Intermediary Bank:</w:t>
            </w:r>
          </w:p>
        </w:tc>
        <w:tc>
          <w:tcPr>
            <w:tcW w:w="2640" w:type="dxa"/>
            <w:vAlign w:val="bottom"/>
            <w:tcBorders>
              <w:bottom w:val="single" w:sz="8" w:color="auto"/>
            </w:tcBorders>
            <w:gridSpan w:val="5"/>
          </w:tcPr>
          <w:p>
            <w:pPr>
              <w:spacing w:after="0"/>
              <w:rPr>
                <w:sz w:val="24"/>
                <w:szCs w:val="24"/>
                <w:color w:val="auto"/>
              </w:rPr>
            </w:pPr>
          </w:p>
        </w:tc>
        <w:tc>
          <w:tcPr>
            <w:tcW w:w="22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Transit (ABA) #:</w:t>
            </w:r>
          </w:p>
        </w:tc>
        <w:tc>
          <w:tcPr>
            <w:tcW w:w="2960" w:type="dxa"/>
            <w:vAlign w:val="bottom"/>
            <w:tcBorders>
              <w:bottom w:val="single" w:sz="8" w:color="auto"/>
            </w:tcBorders>
            <w:gridSpan w:val="3"/>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For Further Credit to:</w:t>
            </w:r>
          </w:p>
        </w:tc>
        <w:tc>
          <w:tcPr>
            <w:tcW w:w="2500" w:type="dxa"/>
            <w:vAlign w:val="bottom"/>
            <w:tcBorders>
              <w:bottom w:val="single" w:sz="8" w:color="auto"/>
            </w:tcBorders>
            <w:gridSpan w:val="4"/>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412"/>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Instruction:</w:t>
            </w:r>
          </w:p>
        </w:tc>
        <w:tc>
          <w:tcPr>
            <w:tcW w:w="2640" w:type="dxa"/>
            <w:vAlign w:val="bottom"/>
            <w:tcBorders>
              <w:bottom w:val="single" w:sz="8" w:color="auto"/>
            </w:tcBorders>
            <w:gridSpan w:val="5"/>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23" w:lineRule="exact"/>
        <w:rPr>
          <w:sz w:val="20"/>
          <w:szCs w:val="20"/>
          <w:color w:val="auto"/>
        </w:rPr>
      </w:pPr>
    </w:p>
    <w:p>
      <w:pPr>
        <w:ind w:left="20" w:right="80"/>
        <w:spacing w:after="0" w:line="284" w:lineRule="auto"/>
        <w:rPr>
          <w:sz w:val="20"/>
          <w:szCs w:val="20"/>
          <w:color w:val="auto"/>
        </w:rPr>
      </w:pPr>
      <w:r>
        <w:rPr>
          <w:rFonts w:ascii="Times New Roman" w:cs="Times New Roman" w:eastAsia="Times New Roman" w:hAnsi="Times New Roman"/>
          <w:sz w:val="18"/>
          <w:szCs w:val="18"/>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Authorized Signature: ___________________________</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Signature (if required): _______________________________</w:t>
            </w:r>
          </w:p>
        </w:tc>
      </w:tr>
      <w:tr>
        <w:trPr>
          <w:trHeight w:val="216"/>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Print Name/Title: ______________________________</w:t>
            </w:r>
          </w:p>
        </w:tc>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Print Name/Title: ______________________________________</w:t>
            </w:r>
          </w:p>
        </w:tc>
      </w:tr>
      <w:tr>
        <w:trPr>
          <w:trHeight w:val="194"/>
        </w:trPr>
        <w:tc>
          <w:tcPr>
            <w:tcW w:w="43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Telephone #:</w:t>
            </w:r>
          </w:p>
        </w:tc>
        <w:tc>
          <w:tcPr>
            <w:tcW w:w="69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Telephone #: _____________________________</w:t>
            </w:r>
          </w:p>
        </w:tc>
      </w:tr>
      <w:tr>
        <w:trPr>
          <w:trHeight w:val="696"/>
        </w:trPr>
        <w:tc>
          <w:tcPr>
            <w:tcW w:w="1000" w:type="dxa"/>
            <w:vAlign w:val="bottom"/>
            <w:tcBorders>
              <w:bottom w:val="single" w:sz="8" w:color="auto"/>
            </w:tcBorders>
          </w:tcPr>
          <w:p>
            <w:pPr>
              <w:spacing w:after="0"/>
              <w:rPr>
                <w:sz w:val="24"/>
                <w:szCs w:val="24"/>
                <w:color w:val="auto"/>
              </w:rPr>
            </w:pPr>
          </w:p>
        </w:tc>
        <w:tc>
          <w:tcPr>
            <w:tcW w:w="2840" w:type="dxa"/>
            <w:vAlign w:val="bottom"/>
            <w:tcBorders>
              <w:top w:val="single" w:sz="8" w:color="auto"/>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0" w:right="339" w:bottom="1440" w:gutter="0" w:footer="0" w:header="0"/>
        </w:sectPr>
      </w:pPr>
    </w:p>
    <w:bookmarkStart w:id="48" w:name="page49"/>
    <w:bookmarkEnd w:id="48"/>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74470" cy="4457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457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D</w:t>
            </w:r>
          </w:p>
        </w:tc>
        <w:tc>
          <w:tcPr>
            <w:tcW w:w="2560" w:type="dxa"/>
            <w:vAlign w:val="bottom"/>
          </w:tcPr>
          <w:p>
            <w:pPr>
              <w:spacing w:after="0"/>
              <w:rPr>
                <w:sz w:val="17"/>
                <w:szCs w:val="17"/>
                <w:color w:val="auto"/>
              </w:rPr>
            </w:pPr>
          </w:p>
        </w:tc>
      </w:tr>
      <w:tr>
        <w:trPr>
          <w:trHeight w:val="453"/>
        </w:trPr>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20" w:type="dxa"/>
            <w:vAlign w:val="bottom"/>
            <w:gridSpan w:val="3"/>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CORPORATE BORROWING CERTIFICATE</w:t>
            </w:r>
          </w:p>
        </w:tc>
      </w:tr>
      <w:tr>
        <w:trPr>
          <w:trHeight w:val="392"/>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ORROWER</w:t>
            </w:r>
            <w:r>
              <w:rPr>
                <w:rFonts w:ascii="Times New Roman" w:cs="Times New Roman" w:eastAsia="Times New Roman" w:hAnsi="Times New Roman"/>
                <w:sz w:val="18"/>
                <w:szCs w:val="18"/>
                <w:b w:val="1"/>
                <w:bCs w:val="1"/>
                <w:color w:val="auto"/>
              </w:rPr>
              <w:t>:  VERONA PHARMA, INC.</w:t>
            </w: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w w:val="98"/>
              </w:rPr>
              <w:t>D</w:t>
            </w:r>
            <w:r>
              <w:rPr>
                <w:rFonts w:ascii="Times New Roman" w:cs="Times New Roman" w:eastAsia="Times New Roman" w:hAnsi="Times New Roman"/>
                <w:sz w:val="12"/>
                <w:szCs w:val="12"/>
                <w:b w:val="1"/>
                <w:bCs w:val="1"/>
                <w:color w:val="auto"/>
                <w:w w:val="98"/>
              </w:rPr>
              <w:t>ATE</w:t>
            </w:r>
            <w:r>
              <w:rPr>
                <w:rFonts w:ascii="Times New Roman" w:cs="Times New Roman" w:eastAsia="Times New Roman" w:hAnsi="Times New Roman"/>
                <w:sz w:val="18"/>
                <w:szCs w:val="18"/>
                <w:color w:val="auto"/>
                <w:w w:val="98"/>
              </w:rPr>
              <w:t>: November 19, 2020</w:t>
            </w: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w:t>
            </w:r>
          </w:p>
        </w:tc>
        <w:tc>
          <w:tcPr>
            <w:tcW w:w="21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Silicon Valley Bank</w:t>
            </w: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60" w:type="dxa"/>
            <w:vAlign w:val="bottom"/>
          </w:tcPr>
          <w:p>
            <w:pPr>
              <w:spacing w:after="0"/>
              <w:rPr>
                <w:sz w:val="20"/>
                <w:szCs w:val="20"/>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hereby certify, solely in my capacity as an officer of Co-Borrower and not in my individual capacity, as follows, as of the date set forth above:</w:t>
      </w:r>
    </w:p>
    <w:p>
      <w:pPr>
        <w:spacing w:after="0" w:line="225" w:lineRule="exact"/>
        <w:rPr>
          <w:sz w:val="20"/>
          <w:szCs w:val="20"/>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Secretary, Assistant Secretary or other officer of Borrower. My title is as set forth below.</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exact legal name is set forth above. Borrower is a corporation existing under the laws of the State of Delaware.</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4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are true, correct and complete copies of Borrower’s Certificate of Incorporation (including amendments), as filed with the Secretary of State of the state in which Borrower is incorporated as set forth above. Such Certificate of Incorporation have not been amended, annulled, rescinded, revoked or supplemented, and remain in full force and effect as of the date hereof.</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4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Silicon Valley Bank (“Bank”) may rely on them until Bank receives written notice of revocation from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b w:val="1"/>
          <w:bCs w:val="1"/>
          <w:color w:val="auto"/>
        </w:rPr>
        <w:t xml:space="preserve"> any one </w:t>
      </w:r>
      <w:r>
        <w:rPr>
          <w:rFonts w:ascii="Times New Roman" w:cs="Times New Roman" w:eastAsia="Times New Roman" w:hAnsi="Times New Roman"/>
          <w:sz w:val="18"/>
          <w:szCs w:val="18"/>
          <w:color w:val="auto"/>
        </w:rPr>
        <w:t>of the following officers or employees of Borrower, whose names, titles and signatures are below, may act on behalf of</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Borrower:</w:t>
      </w:r>
    </w:p>
    <w:p>
      <w:pPr>
        <w:spacing w:after="0" w:line="20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rPr>
              <w:t>Authorized to Add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or Remove</w:t>
            </w: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7"/>
              </w:rPr>
              <w:t>Name</w:t>
            </w:r>
          </w:p>
        </w:tc>
        <w:tc>
          <w:tcPr>
            <w:tcW w:w="2820" w:type="dxa"/>
            <w:vAlign w:val="bottom"/>
            <w:gridSpan w:val="4"/>
          </w:tcPr>
          <w:p>
            <w:pPr>
              <w:spacing w:after="0"/>
              <w:rPr>
                <w:sz w:val="16"/>
                <w:szCs w:val="16"/>
                <w:color w:val="auto"/>
              </w:rPr>
            </w:pPr>
          </w:p>
        </w:tc>
        <w:tc>
          <w:tcPr>
            <w:tcW w:w="3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3"/>
              </w:rPr>
              <w:t>Title</w:t>
            </w:r>
          </w:p>
        </w:tc>
        <w:tc>
          <w:tcPr>
            <w:tcW w:w="2620" w:type="dxa"/>
            <w:vAlign w:val="bottom"/>
            <w:gridSpan w:val="4"/>
          </w:tcPr>
          <w:p>
            <w:pPr>
              <w:spacing w:after="0"/>
              <w:rPr>
                <w:sz w:val="16"/>
                <w:szCs w:val="16"/>
                <w:color w:val="auto"/>
              </w:rPr>
            </w:pPr>
          </w:p>
        </w:tc>
        <w:tc>
          <w:tcPr>
            <w:tcW w:w="7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Signature</w:t>
            </w:r>
          </w:p>
        </w:tc>
        <w:tc>
          <w:tcPr>
            <w:tcW w:w="660" w:type="dxa"/>
            <w:vAlign w:val="bottom"/>
          </w:tcPr>
          <w:p>
            <w:pPr>
              <w:spacing w:after="0"/>
              <w:rPr>
                <w:sz w:val="16"/>
                <w:szCs w:val="16"/>
                <w:color w:val="auto"/>
              </w:rPr>
            </w:pPr>
          </w:p>
        </w:tc>
        <w:tc>
          <w:tcPr>
            <w:tcW w:w="2080" w:type="dxa"/>
            <w:vAlign w:val="bottom"/>
            <w:gridSpan w:val="3"/>
          </w:tcPr>
          <w:p>
            <w:pPr>
              <w:jc w:val="center"/>
              <w:ind w:left="630"/>
              <w:spacing w:after="0" w:line="194" w:lineRule="exact"/>
              <w:rPr>
                <w:sz w:val="20"/>
                <w:szCs w:val="20"/>
                <w:color w:val="auto"/>
              </w:rPr>
            </w:pPr>
            <w:r>
              <w:rPr>
                <w:rFonts w:ascii="Times New Roman" w:cs="Times New Roman" w:eastAsia="Times New Roman" w:hAnsi="Times New Roman"/>
                <w:sz w:val="18"/>
                <w:szCs w:val="18"/>
                <w:color w:val="auto"/>
                <w:w w:val="98"/>
              </w:rPr>
              <w:t>Signatories</w:t>
            </w:r>
          </w:p>
        </w:tc>
        <w:tc>
          <w:tcPr>
            <w:tcW w:w="0" w:type="dxa"/>
            <w:vAlign w:val="bottom"/>
          </w:tcPr>
          <w:p>
            <w:pPr>
              <w:spacing w:after="0"/>
              <w:rPr>
                <w:sz w:val="1"/>
                <w:szCs w:val="1"/>
                <w:color w:val="auto"/>
              </w:rPr>
            </w:pPr>
          </w:p>
        </w:tc>
      </w:tr>
      <w:tr>
        <w:trPr>
          <w:trHeight w:val="412"/>
        </w:trPr>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gridSpan w:val="2"/>
            <w:vMerge w:val="restart"/>
          </w:tcPr>
          <w:p>
            <w:pPr>
              <w:jc w:val="center"/>
              <w:ind w:right="2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2"/>
        </w:trPr>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gridSpan w:val="2"/>
            <w:vMerge w:val="restart"/>
          </w:tcPr>
          <w:p>
            <w:pPr>
              <w:jc w:val="center"/>
              <w:ind w:right="2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2"/>
        </w:trPr>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gridSpan w:val="2"/>
            <w:vMerge w:val="restart"/>
          </w:tcPr>
          <w:p>
            <w:pPr>
              <w:jc w:val="center"/>
              <w:ind w:right="2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2"/>
        </w:trPr>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w:t>
      </w:r>
      <w:r>
        <w:rPr>
          <w:rFonts w:ascii="Times New Roman" w:cs="Times New Roman" w:eastAsia="Times New Roman" w:hAnsi="Times New Roman"/>
          <w:sz w:val="18"/>
          <w:szCs w:val="18"/>
          <w:b w:val="1"/>
          <w:bCs w:val="1"/>
          <w:color w:val="auto"/>
        </w:rPr>
        <w:t xml:space="preserve"> any one </w:t>
      </w:r>
      <w:r>
        <w:rPr>
          <w:rFonts w:ascii="Times New Roman" w:cs="Times New Roman" w:eastAsia="Times New Roman" w:hAnsi="Times New Roman"/>
          <w:sz w:val="18"/>
          <w:szCs w:val="18"/>
          <w:color w:val="auto"/>
        </w:rPr>
        <w:t>of the persons designated above with a checked box beside his or her name may, from time to time, add or remove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individuals to and from the above list of persons authorized to act on behalf of Borrower.</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such individuals may, on behalf of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Borrow Money</w:t>
      </w:r>
      <w:r>
        <w:rPr>
          <w:rFonts w:ascii="Times New Roman" w:cs="Times New Roman" w:eastAsia="Times New Roman" w:hAnsi="Times New Roman"/>
          <w:sz w:val="18"/>
          <w:szCs w:val="18"/>
          <w:color w:val="auto"/>
        </w:rPr>
        <w:t>. Borrow money from Bank.</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Execute Loan Documents</w:t>
      </w:r>
      <w:r>
        <w:rPr>
          <w:rFonts w:ascii="Times New Roman" w:cs="Times New Roman" w:eastAsia="Times New Roman" w:hAnsi="Times New Roman"/>
          <w:sz w:val="18"/>
          <w:szCs w:val="18"/>
          <w:color w:val="auto"/>
        </w:rPr>
        <w:t>. Execute any loan documents Bank requires.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Grant Security</w:t>
      </w:r>
      <w:r>
        <w:rPr>
          <w:rFonts w:ascii="Times New Roman" w:cs="Times New Roman" w:eastAsia="Times New Roman" w:hAnsi="Times New Roman"/>
          <w:sz w:val="18"/>
          <w:szCs w:val="18"/>
          <w:color w:val="auto"/>
        </w:rPr>
        <w:t>. Grant Bank a security interest in any of Borrower’s assets.</w:t>
      </w:r>
    </w:p>
    <w:p>
      <w:pPr>
        <w:spacing w:after="0" w:line="9"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b w:val="1"/>
          <w:bCs w:val="1"/>
          <w:color w:val="auto"/>
        </w:rPr>
        <w:t>Negotiate Items</w:t>
      </w:r>
      <w:r>
        <w:rPr>
          <w:rFonts w:ascii="Times New Roman" w:cs="Times New Roman" w:eastAsia="Times New Roman" w:hAnsi="Times New Roman"/>
          <w:sz w:val="18"/>
          <w:szCs w:val="18"/>
          <w:color w:val="auto"/>
        </w:rPr>
        <w:t>. Negotiate or discount all drafts, trade acceptances, promissory notes, or other indebtedness in which Borrower has an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receive cash or otherwise use the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ind w:left="652"/>
        <w:spacing w:after="0"/>
        <w:rPr>
          <w:sz w:val="20"/>
          <w:szCs w:val="20"/>
          <w:color w:val="auto"/>
        </w:rPr>
      </w:pPr>
      <w:r>
        <w:rPr>
          <w:rFonts w:ascii="Times New Roman" w:cs="Times New Roman" w:eastAsia="Times New Roman" w:hAnsi="Times New Roman"/>
          <w:sz w:val="18"/>
          <w:szCs w:val="18"/>
          <w:b w:val="1"/>
          <w:bCs w:val="1"/>
          <w:color w:val="auto"/>
        </w:rPr>
        <w:t>Apply for Letters of Credit</w:t>
      </w:r>
      <w:r>
        <w:rPr>
          <w:rFonts w:ascii="Times New Roman" w:cs="Times New Roman" w:eastAsia="Times New Roman" w:hAnsi="Times New Roman"/>
          <w:sz w:val="18"/>
          <w:szCs w:val="18"/>
          <w:color w:val="auto"/>
        </w:rPr>
        <w:t>. Apply for letters of credit from Bank.</w:t>
      </w:r>
    </w:p>
    <w:p>
      <w:pPr>
        <w:spacing w:after="0" w:line="31" w:lineRule="exact"/>
        <w:rPr>
          <w:sz w:val="20"/>
          <w:szCs w:val="20"/>
          <w:color w:val="auto"/>
        </w:rPr>
      </w:pPr>
    </w:p>
    <w:p>
      <w:pPr>
        <w:ind w:left="652"/>
        <w:spacing w:after="0" w:line="250" w:lineRule="auto"/>
        <w:rPr>
          <w:sz w:val="20"/>
          <w:szCs w:val="20"/>
          <w:color w:val="auto"/>
        </w:rPr>
      </w:pPr>
      <w:r>
        <w:rPr>
          <w:rFonts w:ascii="Times New Roman" w:cs="Times New Roman" w:eastAsia="Times New Roman" w:hAnsi="Times New Roman"/>
          <w:sz w:val="18"/>
          <w:szCs w:val="18"/>
          <w:b w:val="1"/>
          <w:bCs w:val="1"/>
          <w:color w:val="auto"/>
        </w:rPr>
        <w:t>Enter Derivative Transactions</w:t>
      </w:r>
      <w:r>
        <w:rPr>
          <w:rFonts w:ascii="Times New Roman" w:cs="Times New Roman" w:eastAsia="Times New Roman" w:hAnsi="Times New Roman"/>
          <w:sz w:val="18"/>
          <w:szCs w:val="18"/>
          <w:color w:val="auto"/>
        </w:rPr>
        <w:t>. Execute spot or forward foreign exchange contracts, interest rate swap agreements, or other derivative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w:t>
      </w:r>
    </w:p>
    <w:p>
      <w:pPr>
        <w:spacing w:after="0" w:line="1" w:lineRule="exact"/>
        <w:rPr>
          <w:sz w:val="20"/>
          <w:szCs w:val="20"/>
          <w:color w:val="auto"/>
        </w:rPr>
      </w:pPr>
    </w:p>
    <w:p>
      <w:pPr>
        <w:ind w:left="652" w:right="20"/>
        <w:spacing w:after="0" w:line="260" w:lineRule="auto"/>
        <w:rPr>
          <w:sz w:val="20"/>
          <w:szCs w:val="20"/>
          <w:color w:val="auto"/>
        </w:rPr>
      </w:pPr>
      <w:r>
        <w:rPr>
          <w:rFonts w:ascii="Times New Roman" w:cs="Times New Roman" w:eastAsia="Times New Roman" w:hAnsi="Times New Roman"/>
          <w:sz w:val="18"/>
          <w:szCs w:val="18"/>
          <w:b w:val="1"/>
          <w:bCs w:val="1"/>
          <w:color w:val="auto"/>
        </w:rPr>
        <w:t>Further Acts</w:t>
      </w:r>
      <w:r>
        <w:rPr>
          <w:rFonts w:ascii="Times New Roman" w:cs="Times New Roman" w:eastAsia="Times New Roman" w:hAnsi="Times New Roman"/>
          <w:sz w:val="18"/>
          <w:szCs w:val="18"/>
          <w:color w:val="auto"/>
        </w:rPr>
        <w:t>. Designate other individuals to request advances, pay fees and costs and execute other documents or agreements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agreement that waive Borrower’s right to a jury trial) they believe to be necessary to effect these resolutions.</w:t>
      </w:r>
    </w:p>
    <w:p>
      <w:pPr>
        <w:spacing w:after="0" w:line="17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all acts authorized by the above resolutions and any prior acts relating thereto are ratified.</w:t>
      </w:r>
    </w:p>
    <w:p>
      <w:pPr>
        <w:spacing w:after="0" w:line="229" w:lineRule="exact"/>
        <w:rPr>
          <w:sz w:val="20"/>
          <w:szCs w:val="20"/>
          <w:color w:val="auto"/>
        </w:rPr>
      </w:pPr>
    </w:p>
    <w:p>
      <w:pPr>
        <w:ind w:left="352" w:hanging="352"/>
        <w:spacing w:after="0"/>
        <w:tabs>
          <w:tab w:leader="none" w:pos="3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listed above are Borrower's officers or employees with their titles and signatures shown next to their names.</w:t>
      </w:r>
    </w:p>
    <w:p>
      <w:pPr>
        <w:spacing w:after="0" w:line="225"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17145</wp:posOffset>
            </wp:positionV>
            <wp:extent cx="33604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14605</wp:posOffset>
            </wp:positionV>
            <wp:extent cx="32143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2829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2" w:lineRule="exact"/>
        <w:rPr>
          <w:sz w:val="20"/>
          <w:szCs w:val="20"/>
          <w:color w:val="auto"/>
        </w:rPr>
      </w:pPr>
    </w:p>
    <w:p>
      <w:pPr>
        <w:ind w:left="-8" w:firstLine="656"/>
        <w:spacing w:after="0" w:line="284" w:lineRule="auto"/>
        <w:tabs>
          <w:tab w:leader="none" w:pos="9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16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I, the __________________________ of Borrower, hereby certify as to paragraphs 1 through 5 above, as of the date set forth above.</w:t>
      </w:r>
    </w:p>
    <w:p>
      <w:pPr>
        <w:spacing w:after="0" w:line="225"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17145</wp:posOffset>
            </wp:positionV>
            <wp:extent cx="33604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14605</wp:posOffset>
            </wp:positionV>
            <wp:extent cx="32143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2829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297180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SECRETARY’S OR DIRECTORS’ CERTIFICATE – VERONA PHARMA PLC</w:t>
      </w:r>
    </w:p>
    <w:p>
      <w:pPr>
        <w:sectPr>
          <w:pgSz w:w="11900" w:h="16838" w:orient="portrait"/>
          <w:cols w:equalWidth="0" w:num="1">
            <w:col w:w="9019"/>
          </w:cols>
          <w:pgMar w:left="1440" w:top="900"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51" w:name="page52"/>
    <w:bookmarkEnd w:id="51"/>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SCHEDULE 2.6 to LOAN AND SECURITY AGREEMENT</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203" w:lineRule="exact"/>
        <w:rPr>
          <w:sz w:val="20"/>
          <w:szCs w:val="20"/>
          <w:color w:val="auto"/>
        </w:rPr>
      </w:pPr>
    </w:p>
    <w:p>
      <w:pPr>
        <w:ind w:left="340" w:hanging="331"/>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Defined Terms</w:t>
      </w:r>
      <w:r>
        <w:rPr>
          <w:rFonts w:ascii="Times New Roman" w:cs="Times New Roman" w:eastAsia="Times New Roman" w:hAnsi="Times New Roman"/>
          <w:sz w:val="18"/>
          <w:szCs w:val="18"/>
          <w:color w:val="auto"/>
        </w:rPr>
        <w:t>. For purposes of this Schedule 2.6:</w:t>
      </w:r>
    </w:p>
    <w:p>
      <w:pPr>
        <w:spacing w:after="0" w:line="225" w:lineRule="exact"/>
        <w:rPr>
          <w:rFonts w:ascii="Times New Roman" w:cs="Times New Roman" w:eastAsia="Times New Roman" w:hAnsi="Times New Roman"/>
          <w:sz w:val="18"/>
          <w:szCs w:val="18"/>
          <w:color w:val="auto"/>
        </w:rPr>
      </w:pPr>
    </w:p>
    <w:p>
      <w:pPr>
        <w:jc w:val="both"/>
        <w:ind w:left="980" w:hanging="323"/>
        <w:spacing w:after="0" w:line="255" w:lineRule="auto"/>
        <w:tabs>
          <w:tab w:leader="none" w:pos="9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any of the following Taxes imposed on or with respect to Bank or required to be withheld or deducted from a payment to Bank, (i) Taxes imposed on or measured by net income, in each case, imposed as a result of Bank being organized under the laws of, or having its principal office or its applicable lending office located in, the jurisdiction imposing such Tax (or any political subdivision thereof), (ii) United States withholding Taxes imposed on amounts payable to or for the account of Bank with respect to an applicable interest in a Term Loan Advance pursuant to a law in effect on the date on which (A) Bank acquires such interest the Term Loan Advance or</w:t>
      </w:r>
    </w:p>
    <w:p>
      <w:pPr>
        <w:spacing w:after="0" w:line="2" w:lineRule="exact"/>
        <w:rPr>
          <w:rFonts w:ascii="Times New Roman" w:cs="Times New Roman" w:eastAsia="Times New Roman" w:hAnsi="Times New Roman"/>
          <w:sz w:val="18"/>
          <w:szCs w:val="18"/>
          <w:color w:val="auto"/>
        </w:rPr>
      </w:pPr>
    </w:p>
    <w:p>
      <w:pPr>
        <w:jc w:val="both"/>
        <w:ind w:left="9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Bank changes its lending office, except in each case to the extent that, pursuant to Section 2 or Section 4 of this Schedule 2.6, amounts with respect to such Taxes were payable either to Bank’s assignor immediately before such lender became a party hereto or to Bank immediately before it changed its lending office, (iii) any withholding Taxes imposed under FATCA, (iv) VAT, which, for the avoidance of doubt, shall be dealt with under Section 12.17 and (v) any Taxes in respect of which no additional amounts are payable pursuant to Section 2.6(c).</w:t>
      </w:r>
    </w:p>
    <w:p>
      <w:pPr>
        <w:spacing w:after="0" w:line="182" w:lineRule="exact"/>
        <w:rPr>
          <w:rFonts w:ascii="Times New Roman" w:cs="Times New Roman" w:eastAsia="Times New Roman" w:hAnsi="Times New Roman"/>
          <w:sz w:val="18"/>
          <w:szCs w:val="18"/>
          <w:color w:val="auto"/>
        </w:rPr>
      </w:pPr>
    </w:p>
    <w:p>
      <w:pPr>
        <w:jc w:val="both"/>
        <w:ind w:left="980" w:hanging="323"/>
        <w:spacing w:after="0" w:line="259" w:lineRule="auto"/>
        <w:tabs>
          <w:tab w:leader="none" w:pos="9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Tax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Tax Code, and any fiscal or regulatory legislation, rules or practices adopted pursuant to any intergovernmental agreement, treaty or convention among governmental authorities and implementing such Sections of the Tax Code.</w:t>
      </w:r>
    </w:p>
    <w:p>
      <w:pPr>
        <w:spacing w:after="0" w:line="179"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means a Lender that is not a U.S. Person.</w:t>
      </w:r>
    </w:p>
    <w:p>
      <w:pPr>
        <w:spacing w:after="0" w:line="225" w:lineRule="exact"/>
        <w:rPr>
          <w:rFonts w:ascii="Times New Roman" w:cs="Times New Roman" w:eastAsia="Times New Roman" w:hAnsi="Times New Roman"/>
          <w:sz w:val="18"/>
          <w:szCs w:val="18"/>
          <w:color w:val="auto"/>
        </w:rPr>
      </w:pPr>
    </w:p>
    <w:p>
      <w:pPr>
        <w:ind w:left="980" w:hanging="323"/>
        <w:spacing w:after="0" w:line="286" w:lineRule="auto"/>
        <w:tabs>
          <w:tab w:leader="none" w:pos="9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(i) Taxes, other than Excluded Taxes, imposed on or with respect to any payment made by or on account of any obligation of any Co-Borrower under any Loan Document and (ii) to the extent not otherwise described in clause (i), Other Taxes.</w:t>
      </w:r>
    </w:p>
    <w:p>
      <w:pPr>
        <w:spacing w:after="0" w:line="154"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rFonts w:ascii="Times New Roman" w:cs="Times New Roman" w:eastAsia="Times New Roman" w:hAnsi="Times New Roman"/>
          <w:sz w:val="18"/>
          <w:szCs w:val="18"/>
          <w:color w:val="auto"/>
        </w:rPr>
      </w:pPr>
    </w:p>
    <w:p>
      <w:pPr>
        <w:jc w:val="both"/>
        <w:ind w:left="980" w:hanging="323"/>
        <w:spacing w:after="0" w:line="268" w:lineRule="auto"/>
        <w:tabs>
          <w:tab w:leader="none" w:pos="9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170" w:lineRule="exact"/>
        <w:rPr>
          <w:rFonts w:ascii="Times New Roman" w:cs="Times New Roman" w:eastAsia="Times New Roman" w:hAnsi="Times New Roman"/>
          <w:sz w:val="18"/>
          <w:szCs w:val="18"/>
          <w:color w:val="auto"/>
        </w:rPr>
      </w:pPr>
    </w:p>
    <w:p>
      <w:pPr>
        <w:ind w:left="980" w:hanging="323"/>
        <w:spacing w:after="0" w:line="286" w:lineRule="auto"/>
        <w:tabs>
          <w:tab w:leader="none" w:pos="9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4"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that is a “United States person” as defined in Section 7701(a)(30) of the Tax Code.</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each Co-Borrower.</w:t>
      </w:r>
    </w:p>
    <w:p>
      <w:pPr>
        <w:spacing w:after="0" w:line="225" w:lineRule="exact"/>
        <w:rPr>
          <w:rFonts w:ascii="Times New Roman" w:cs="Times New Roman" w:eastAsia="Times New Roman" w:hAnsi="Times New Roman"/>
          <w:sz w:val="18"/>
          <w:szCs w:val="18"/>
          <w:color w:val="auto"/>
        </w:rPr>
      </w:pPr>
    </w:p>
    <w:p>
      <w:pPr>
        <w:jc w:val="both"/>
        <w:ind w:left="340" w:hanging="331"/>
        <w:spacing w:after="0" w:line="255"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Payments Free of Taxes</w:t>
      </w:r>
      <w:r>
        <w:rPr>
          <w:rFonts w:ascii="Times New Roman" w:cs="Times New Roman" w:eastAsia="Times New Roman" w:hAnsi="Times New Roman"/>
          <w:sz w:val="18"/>
          <w:szCs w:val="18"/>
          <w:color w:val="auto"/>
        </w:rPr>
        <w:t>. Any and all payments by or on account of any obligation of the Co-Borrowers under any Loan Document shall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Co-Borrowers shall be increased as necessary so that after such deduction or withholding has been made (including such deductions and withholdings applicable to additional sums payable under this Section 2 or Section 4 of this Schedule 2.6) Bank receives an amount equal to the sum it would have received had no such deduction or withholding been made.</w:t>
      </w:r>
    </w:p>
    <w:p>
      <w:pPr>
        <w:spacing w:after="0" w:line="184" w:lineRule="exact"/>
        <w:rPr>
          <w:rFonts w:ascii="Times New Roman" w:cs="Times New Roman" w:eastAsia="Times New Roman" w:hAnsi="Times New Roman"/>
          <w:sz w:val="18"/>
          <w:szCs w:val="18"/>
          <w:color w:val="auto"/>
        </w:rPr>
      </w:pPr>
    </w:p>
    <w:p>
      <w:pPr>
        <w:ind w:left="340" w:hanging="331"/>
        <w:spacing w:after="0" w:line="286"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Other Taxes by Borrower</w:t>
      </w:r>
      <w:r>
        <w:rPr>
          <w:rFonts w:ascii="Times New Roman" w:cs="Times New Roman" w:eastAsia="Times New Roman" w:hAnsi="Times New Roman"/>
          <w:sz w:val="18"/>
          <w:szCs w:val="18"/>
          <w:color w:val="auto"/>
        </w:rPr>
        <w:t>. The Co-Borrowers shall timely pay to the relevant Governmental Authority in accordance with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or at the option of the Bank timely reimburse it for the payment of, any Other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249555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400" w:top="900" w:right="339" w:bottom="1440" w:gutter="0" w:footer="0" w:header="0"/>
        </w:sectPr>
      </w:pPr>
    </w:p>
    <w:bookmarkStart w:id="52" w:name="page53"/>
    <w:bookmarkEnd w:id="52"/>
    <w:p>
      <w:pPr>
        <w:jc w:val="both"/>
        <w:ind w:left="331" w:hanging="331"/>
        <w:spacing w:after="0" w:line="259" w:lineRule="auto"/>
        <w:tabs>
          <w:tab w:leader="none" w:pos="33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by Co-Borrowers</w:t>
      </w:r>
      <w:r>
        <w:rPr>
          <w:rFonts w:ascii="Times New Roman" w:cs="Times New Roman" w:eastAsia="Times New Roman" w:hAnsi="Times New Roman"/>
          <w:sz w:val="18"/>
          <w:szCs w:val="18"/>
          <w:color w:val="auto"/>
        </w:rPr>
        <w:t>. The Co-Borrowers shall indemnify Bank, within 10 days after demand therefor, for the full amount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Indemnified Taxes (including Indemnified Taxes imposed or asserted on or attributable to amounts payable under Section 2 of this Schedule 2.6 or this Section 4) payable or paid by Bank or required to be withheld or deducted from a payment to Bank and any reasonable expenses arising therefrom or with respect thereto, whether or not such Indemnified Taxes were correctly or legally imposed or asserted by the relevant Governmental Authority. A certificate as to the amount of such payment or liability delivered to a Co-Borrower by Bank shall be conclusive absent manifest error.</w:t>
      </w:r>
    </w:p>
    <w:p>
      <w:pPr>
        <w:spacing w:after="0" w:line="179" w:lineRule="exact"/>
        <w:rPr>
          <w:rFonts w:ascii="Times New Roman" w:cs="Times New Roman" w:eastAsia="Times New Roman" w:hAnsi="Times New Roman"/>
          <w:sz w:val="18"/>
          <w:szCs w:val="18"/>
          <w:color w:val="auto"/>
        </w:rPr>
      </w:pPr>
    </w:p>
    <w:p>
      <w:pPr>
        <w:jc w:val="both"/>
        <w:ind w:left="331" w:hanging="331"/>
        <w:spacing w:after="0" w:line="268" w:lineRule="auto"/>
        <w:tabs>
          <w:tab w:leader="none" w:pos="33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Payments</w:t>
      </w:r>
      <w:r>
        <w:rPr>
          <w:rFonts w:ascii="Times New Roman" w:cs="Times New Roman" w:eastAsia="Times New Roman" w:hAnsi="Times New Roman"/>
          <w:sz w:val="18"/>
          <w:szCs w:val="18"/>
          <w:color w:val="auto"/>
        </w:rPr>
        <w:t>. As soon as practicable after any payment of Taxes by the Co-Borrowers to a Governmental Authority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Schedule 2.6, such Co-Borrower shall deliver to Bank the original or a certified copy of a receipt issued by such Governmental Authority evidencing such payment, a copy of the return reporting such payment or other evidence of such payment reasonably satisfactory to Bank.</w:t>
      </w:r>
    </w:p>
    <w:p>
      <w:pPr>
        <w:spacing w:after="0" w:line="170" w:lineRule="exact"/>
        <w:rPr>
          <w:rFonts w:ascii="Times New Roman" w:cs="Times New Roman" w:eastAsia="Times New Roman" w:hAnsi="Times New Roman"/>
          <w:sz w:val="18"/>
          <w:szCs w:val="18"/>
          <w:color w:val="auto"/>
        </w:rPr>
      </w:pPr>
    </w:p>
    <w:p>
      <w:pPr>
        <w:ind w:left="331" w:hanging="331"/>
        <w:spacing w:after="0"/>
        <w:tabs>
          <w:tab w:leader="none" w:pos="33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Status of Bank</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971" w:hanging="323"/>
        <w:spacing w:after="0" w:line="253" w:lineRule="auto"/>
        <w:tabs>
          <w:tab w:leader="none" w:pos="97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Bank is entitled to an exemption from or reduction of withholding Tax with respect to payments made under any Loan Document it shall deliver to the Co-Borrowers, at the time or times reasonably requested by the Co-Borrowers, such properly completed and executed documentation reasonably requested in writing by the Co-Borrowers as will permit such payments to be made without withholding or at a reduced rate of withholding. In addition, Bank, if reasonably requested by the Co-Borrowers, shall deliver such other documentation prescribed by applicable law or reasonably requested by the Co-Borrowers as will enable the Co-Borrowers to determine whether or not Bank is subject to backup withholding or information reporting requirements. Notwithstanding anything to the contrary in the preceding two sentences, the completion, execution and submission of such documentation (other than such documentation set forth in Sections 6(b)(i), 6(b)(ii) and 6(b)(iv) of this Schedule 2.6) shall not be required if in the Bank’s reasonable judgment such completion, execution or submission would subject Bank to any material unreimbursed cost or expense or would materially prejudice the legal or commercial position of Bank.</w:t>
      </w:r>
    </w:p>
    <w:p>
      <w:pPr>
        <w:spacing w:after="0" w:line="194" w:lineRule="exact"/>
        <w:rPr>
          <w:rFonts w:ascii="Times New Roman" w:cs="Times New Roman" w:eastAsia="Times New Roman" w:hAnsi="Times New Roman"/>
          <w:sz w:val="18"/>
          <w:szCs w:val="18"/>
          <w:color w:val="auto"/>
        </w:rPr>
      </w:pPr>
    </w:p>
    <w:p>
      <w:pPr>
        <w:ind w:left="971" w:hanging="323"/>
        <w:spacing w:after="0"/>
        <w:tabs>
          <w:tab w:leader="none" w:pos="97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a Co-Borrower is a U.S. Person,</w:t>
      </w:r>
    </w:p>
    <w:p>
      <w:pPr>
        <w:spacing w:after="0" w:line="225" w:lineRule="exact"/>
        <w:rPr>
          <w:rFonts w:ascii="Times New Roman" w:cs="Times New Roman" w:eastAsia="Times New Roman" w:hAnsi="Times New Roman"/>
          <w:sz w:val="18"/>
          <w:szCs w:val="18"/>
          <w:color w:val="auto"/>
        </w:rPr>
      </w:pPr>
    </w:p>
    <w:p>
      <w:pPr>
        <w:jc w:val="both"/>
        <w:ind w:left="1791" w:hanging="333"/>
        <w:spacing w:after="0" w:line="266" w:lineRule="auto"/>
        <w:tabs>
          <w:tab w:leader="none" w:pos="1791"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Co-Borrowers on or prior to the date on which such lender becomes a lender under this Agreement (and from time to time thereafter upon the reasonable request of the Co-Borrowers), executed copies of IRS Form W-9 certifying that such lender is exempt from U.S. federal backup withholding tax;</w:t>
      </w:r>
    </w:p>
    <w:p>
      <w:pPr>
        <w:spacing w:after="0" w:line="175" w:lineRule="exact"/>
        <w:rPr>
          <w:rFonts w:ascii="Times New Roman" w:cs="Times New Roman" w:eastAsia="Times New Roman" w:hAnsi="Times New Roman"/>
          <w:sz w:val="18"/>
          <w:szCs w:val="18"/>
          <w:color w:val="auto"/>
        </w:rPr>
      </w:pPr>
    </w:p>
    <w:p>
      <w:pPr>
        <w:jc w:val="both"/>
        <w:ind w:left="1791" w:hanging="333"/>
        <w:spacing w:after="0" w:line="261" w:lineRule="auto"/>
        <w:tabs>
          <w:tab w:leader="none" w:pos="1791"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Co-Borrowers (in such number of copies as shall be requested by the Co-Borrowers) on or prior to the date on which such Foreign Lender becomes a lender under this Agreement (and from time to time thereafter upon the reasonable request of the Co-Borrowers),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2271" w:hanging="327"/>
        <w:spacing w:after="0" w:line="256" w:lineRule="auto"/>
        <w:tabs>
          <w:tab w:leader="none" w:pos="2271" w:val="left"/>
        </w:tabs>
        <w:numPr>
          <w:ilvl w:val="3"/>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87" w:lineRule="exact"/>
        <w:rPr>
          <w:rFonts w:ascii="Times New Roman" w:cs="Times New Roman" w:eastAsia="Times New Roman" w:hAnsi="Times New Roman"/>
          <w:sz w:val="18"/>
          <w:szCs w:val="18"/>
          <w:color w:val="auto"/>
        </w:rPr>
      </w:pPr>
    </w:p>
    <w:p>
      <w:pPr>
        <w:ind w:left="2271" w:hanging="327"/>
        <w:spacing w:after="0"/>
        <w:tabs>
          <w:tab w:leader="none" w:pos="2271" w:val="left"/>
        </w:tabs>
        <w:numPr>
          <w:ilvl w:val="3"/>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225" w:lineRule="exact"/>
        <w:rPr>
          <w:rFonts w:ascii="Times New Roman" w:cs="Times New Roman" w:eastAsia="Times New Roman" w:hAnsi="Times New Roman"/>
          <w:sz w:val="18"/>
          <w:szCs w:val="18"/>
          <w:color w:val="auto"/>
        </w:rPr>
      </w:pPr>
    </w:p>
    <w:p>
      <w:pPr>
        <w:jc w:val="both"/>
        <w:ind w:left="2271" w:hanging="327"/>
        <w:spacing w:after="0" w:line="256" w:lineRule="auto"/>
        <w:tabs>
          <w:tab w:leader="none" w:pos="2271" w:val="left"/>
        </w:tabs>
        <w:numPr>
          <w:ilvl w:val="3"/>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Tax Code, (x) a certificate in form and substance reasonably satisfactory to the Co-Borrowers to the effect that such Foreign Lender is not a “bank” within the meaning of Section 881(c)(3)(A) of the Tax Code, a “10 percent shareholder” of any Co-Borrower within the meaning of Section 871(h)(3)(B) of the Tax Code, or a “controlled foreign corporation” related to any Co-Borrower as described in Section 881(c)(3)(C) of the Tax Code (a “</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and (y) executed copies of IRS Form W-8BEN or IRS Form W-8BEN-E;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267970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51"/>
          </w:cols>
          <w:pgMar w:left="409" w:top="900" w:right="339" w:bottom="1440" w:gutter="0" w:footer="0" w:header="0"/>
        </w:sectPr>
      </w:pPr>
    </w:p>
    <w:bookmarkStart w:id="53" w:name="page54"/>
    <w:bookmarkEnd w:id="53"/>
    <w:p>
      <w:pPr>
        <w:jc w:val="both"/>
        <w:ind w:left="2271" w:hanging="327"/>
        <w:spacing w:after="0" w:line="256" w:lineRule="auto"/>
        <w:tabs>
          <w:tab w:leader="none" w:pos="2271" w:val="left"/>
        </w:tabs>
        <w:numPr>
          <w:ilvl w:val="3"/>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Foreign Lender is not the beneficial owner, executed copies of IRS Form W-8IMY, accompanied by IRS Form W-8ECI, IRS Form W-8BEN, IRS Form W-8BEN-E, a U.S. Tax Compliance Certificate,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spacing w:after="0" w:line="187" w:lineRule="exact"/>
        <w:rPr>
          <w:rFonts w:ascii="Times New Roman" w:cs="Times New Roman" w:eastAsia="Times New Roman" w:hAnsi="Times New Roman"/>
          <w:sz w:val="18"/>
          <w:szCs w:val="18"/>
          <w:color w:val="auto"/>
        </w:rPr>
      </w:pPr>
    </w:p>
    <w:p>
      <w:pPr>
        <w:jc w:val="both"/>
        <w:ind w:left="1791" w:hanging="333"/>
        <w:spacing w:after="0" w:line="256" w:lineRule="auto"/>
        <w:tabs>
          <w:tab w:leader="none" w:pos="1791"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Co-Borrowers (in such number of copies as shall be requested in writing by the Co-Borrowers) on or prior to the date on which such Foreign Lender becomes a lender under this Agreement (and from time to time thereafter upon the reasonable request of the Co-Borrowers), executed copies of any other form prescribed by applicable law as a basis for claiming exemption from or a reduction in U.S. federal withholding Tax, duly completed, together with such supplementary documentation as may be prescribed by applicable law to permit the Co-Borrowers to determine the withholding or deduction required to be made; and</w:t>
      </w:r>
    </w:p>
    <w:p>
      <w:pPr>
        <w:spacing w:after="0" w:line="187" w:lineRule="exact"/>
        <w:rPr>
          <w:rFonts w:ascii="Times New Roman" w:cs="Times New Roman" w:eastAsia="Times New Roman" w:hAnsi="Times New Roman"/>
          <w:sz w:val="18"/>
          <w:szCs w:val="18"/>
          <w:color w:val="auto"/>
        </w:rPr>
      </w:pPr>
    </w:p>
    <w:p>
      <w:pPr>
        <w:jc w:val="both"/>
        <w:ind w:left="1791" w:hanging="333"/>
        <w:spacing w:after="0" w:line="254" w:lineRule="auto"/>
        <w:tabs>
          <w:tab w:leader="none" w:pos="1791"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Bank under any Loan Document would be subject to U.S. federal withholding Tax imposed by FATCA if Bank were to fail to comply with the applicable reporting requirements of FATCA (including those contained in Section 1471(b) or 1472(b) of the Tax Code, as applicable), Bank shall deliver to the Co-Borrowers at the time or times prescribed by law and at such time or times reasonably requested by the Co-Borrowers such documentation prescribed by applicable law (including as prescribed by Section 1471(b)(3)(C)(i) of the Tax Code) and such additional documentation reasonably requested by the Co-Borrowers as may be necessary for the Co-Borrowers to comply with their obligations under FATCA and to determine that Bank has complied with Bank’s obligations under FATCA or to determine the amount, if any, to deduct and withhold from such payment. Solely for purposes of this clause (iv), “FATCA” shall include any amendments made to FATCA after the date of this Agreement.</w:t>
      </w:r>
    </w:p>
    <w:p>
      <w:pPr>
        <w:spacing w:after="0" w:line="188" w:lineRule="exact"/>
        <w:rPr>
          <w:rFonts w:ascii="Times New Roman" w:cs="Times New Roman" w:eastAsia="Times New Roman" w:hAnsi="Times New Roman"/>
          <w:sz w:val="18"/>
          <w:szCs w:val="18"/>
          <w:color w:val="auto"/>
        </w:rPr>
      </w:pPr>
    </w:p>
    <w:p>
      <w:pPr>
        <w:ind w:left="971" w:hanging="323"/>
        <w:spacing w:after="0" w:line="282" w:lineRule="auto"/>
        <w:tabs>
          <w:tab w:leader="none" w:pos="97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agrees that if any form or certification it previously delivered expires or becomes obsolete or inaccurate in any respect, it shall update such form or certification or promptly notify the Co-Borrowers in writing of its legal inability to do so.</w:t>
      </w:r>
    </w:p>
    <w:p>
      <w:pPr>
        <w:spacing w:after="0" w:line="157" w:lineRule="exact"/>
        <w:rPr>
          <w:rFonts w:ascii="Times New Roman" w:cs="Times New Roman" w:eastAsia="Times New Roman" w:hAnsi="Times New Roman"/>
          <w:sz w:val="18"/>
          <w:szCs w:val="18"/>
          <w:color w:val="auto"/>
        </w:rPr>
      </w:pPr>
    </w:p>
    <w:p>
      <w:pPr>
        <w:jc w:val="both"/>
        <w:ind w:left="331" w:hanging="331"/>
        <w:spacing w:after="0" w:line="253" w:lineRule="auto"/>
        <w:tabs>
          <w:tab w:leader="none" w:pos="33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it has been indemnified pursuant to the provisions of Section 2.6(a) or this Schedule 2.6 (including by the payment of additional amounts pursuant to the provisions of this Schedule 2.6) (such refund or credit in lieu of refund being a “</w:t>
      </w:r>
      <w:r>
        <w:rPr>
          <w:rFonts w:ascii="Times New Roman" w:cs="Times New Roman" w:eastAsia="Times New Roman" w:hAnsi="Times New Roman"/>
          <w:sz w:val="18"/>
          <w:szCs w:val="18"/>
          <w:b w:val="1"/>
          <w:bCs w:val="1"/>
          <w:color w:val="auto"/>
        </w:rPr>
        <w:t>Tax Credit</w:t>
      </w:r>
      <w:r>
        <w:rPr>
          <w:rFonts w:ascii="Times New Roman" w:cs="Times New Roman" w:eastAsia="Times New Roman" w:hAnsi="Times New Roman"/>
          <w:sz w:val="18"/>
          <w:szCs w:val="18"/>
          <w:color w:val="auto"/>
        </w:rPr>
        <w:t>”), it shall pay to the indemnifying party an amount equal to such refund (but only to the extent of indemnity payments made under the provisions of this Schedule 2.6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7 (plus any penalties, interest or other charges imposed by the relevant Governmental Authority) in the event that such indemnified party is required to repay such refund to such Governmental Authority. Bank shall use its reasonable endeavors to obtain any available Tax Credit. Notwithstanding anything to the contrary in this Section 7, in no event will the indemnified party be required to pay any amount to an indemnifying party pursuant to this Section 7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7 shall not be construed to require any indemnified party to make available its Tax returns (or any other information relating to its Taxes that it deems confidential) to the indemnifying party or any other Person.</w:t>
      </w:r>
    </w:p>
    <w:p>
      <w:pPr>
        <w:spacing w:after="0" w:line="185" w:lineRule="exact"/>
        <w:rPr>
          <w:rFonts w:ascii="Times New Roman" w:cs="Times New Roman" w:eastAsia="Times New Roman" w:hAnsi="Times New Roman"/>
          <w:sz w:val="18"/>
          <w:szCs w:val="18"/>
          <w:color w:val="auto"/>
        </w:rPr>
      </w:pPr>
    </w:p>
    <w:p>
      <w:pPr>
        <w:ind w:left="331" w:right="20" w:hanging="331"/>
        <w:spacing w:after="0" w:line="286" w:lineRule="auto"/>
        <w:tabs>
          <w:tab w:leader="none" w:pos="33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Each party’s obligations under the provisions of this Schedule 2.6 shall survive any assignment of rights by, or the replacement of,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termination of the Term Loan and the repayment, satisfaction or discharge of all obligations under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249555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1"/>
          </w:cols>
          <w:pgMar w:left="409" w:top="904"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156845</wp:posOffset>
            </wp:positionV>
            <wp:extent cx="2005965" cy="7632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0596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Verona Pharma Secures up to $30 Million Debt Financing from</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Silicon Valley Bank</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Non-dilutive capital to provide further financial flexibility</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LONDON and RALEIGH, N.C., November 23, 2020 </w:t>
      </w:r>
      <w:r>
        <w:rPr>
          <w:rFonts w:ascii="Times New Roman" w:cs="Times New Roman" w:eastAsia="Times New Roman" w:hAnsi="Times New Roman"/>
          <w:sz w:val="18"/>
          <w:szCs w:val="18"/>
          <w:color w:val="auto"/>
        </w:rPr>
        <w:t>– Verona Pharma plc (Nasdaq: VRNA) (“Verona Pharma” or the “Company”),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focused on respiratory diseases, announces that it has entered into a debt financing facility for up to $30 million (“debt facility”) with Silicon Valley Bank (“SVB”). The non-dilutive capital provides further financial flexibility to support pre-commercialization activities for ensifentrine, the Company’s first-in-class product candidate, which is currently in Phase 3 trials.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debt facility, Verona Pharma can borrow up to $30 million in three tranches: $5 million at closing, $10 million available through June 30, 2022 and an additional $15 million available through June 30, 2023. The two latter tranches are contingent upon achievement of certain clinical development milestones and other specified conditions. The loan facility matures on November 1, 2024, with the period prior to December 1, 2023 being interest only.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David Zaccardelli, Pharm. D., President and CEO of Verona Pharma, said: “We are pleased to secure this credit facility which provides us with the flexibility to access non-dilutive capital upon achievement of certain clinical development milestones. This will provide additional support, as needed, for pre-commercialization activities for ensifentrine. With this facility and the $200 million raised in July 2020, we believe Verona Pharma has sufficient resources to deliver on our key milestones.”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ENHANCE Phase 3 trials with nebulized ensifentrine for the maintenance treatment of chronic obstructive pulmonary disease (“COPD”) commenced in September 2020. Verona is also conducting a Phase 2 clinical trial to evaluate </w:t>
      </w:r>
      <w:r>
        <w:rPr>
          <w:rFonts w:ascii="Times New Roman" w:cs="Times New Roman" w:eastAsia="Times New Roman" w:hAnsi="Times New Roman"/>
          <w:sz w:val="18"/>
          <w:szCs w:val="18"/>
          <w:color w:val="232323"/>
        </w:rPr>
        <w:t>ensifentrine delivered via pressurized metered-dose inhaler (“pMDI”)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2323"/>
        </w:rPr>
        <w:t>formulation in patients with moderate to severe COPD and a pilot study with pMDI ensifentrine in U.S. patients hospitalized with COVID-19.</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 further information, please contact:</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16"/>
        </w:trPr>
        <w:tc>
          <w:tcPr>
            <w:tcW w:w="5980" w:type="dxa"/>
            <w:vAlign w:val="bottom"/>
            <w:tcBorders>
              <w:bottom w:val="single" w:sz="8" w:color="CFCFCF"/>
            </w:tcBorders>
          </w:tcPr>
          <w:p>
            <w:pPr>
              <w:spacing w:after="0"/>
              <w:rPr>
                <w:sz w:val="18"/>
                <w:szCs w:val="18"/>
                <w:color w:val="auto"/>
              </w:rPr>
            </w:pPr>
          </w:p>
        </w:tc>
        <w:tc>
          <w:tcPr>
            <w:tcW w:w="100" w:type="dxa"/>
            <w:vAlign w:val="bottom"/>
            <w:tcBorders>
              <w:bottom w:val="single" w:sz="8" w:color="C0C0C0"/>
            </w:tcBorders>
          </w:tcPr>
          <w:p>
            <w:pPr>
              <w:spacing w:after="0"/>
              <w:rPr>
                <w:sz w:val="18"/>
                <w:szCs w:val="18"/>
                <w:color w:val="auto"/>
              </w:rPr>
            </w:pPr>
          </w:p>
        </w:tc>
        <w:tc>
          <w:tcPr>
            <w:tcW w:w="1840" w:type="dxa"/>
            <w:vAlign w:val="bottom"/>
            <w:tcBorders>
              <w:bottom w:val="single" w:sz="8" w:color="C0C0C0"/>
            </w:tcBorders>
          </w:tcPr>
          <w:p>
            <w:pPr>
              <w:spacing w:after="0"/>
              <w:rPr>
                <w:sz w:val="18"/>
                <w:szCs w:val="18"/>
                <w:color w:val="auto"/>
              </w:rPr>
            </w:pPr>
          </w:p>
        </w:tc>
        <w:tc>
          <w:tcPr>
            <w:tcW w:w="100" w:type="dxa"/>
            <w:vAlign w:val="bottom"/>
            <w:tcBorders>
              <w:bottom w:val="single" w:sz="8" w:color="C0C0C0"/>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c>
          <w:tcPr>
            <w:tcW w:w="2980" w:type="dxa"/>
            <w:vAlign w:val="bottom"/>
            <w:tcBorders>
              <w:bottom w:val="single" w:sz="8" w:color="C0C0C0"/>
            </w:tcBorders>
          </w:tcPr>
          <w:p>
            <w:pPr>
              <w:spacing w:after="0"/>
              <w:rPr>
                <w:sz w:val="18"/>
                <w:szCs w:val="18"/>
                <w:color w:val="auto"/>
              </w:rPr>
            </w:pPr>
          </w:p>
        </w:tc>
      </w:tr>
      <w:tr>
        <w:trPr>
          <w:trHeight w:val="234"/>
        </w:trPr>
        <w:tc>
          <w:tcPr>
            <w:tcW w:w="5980" w:type="dxa"/>
            <w:vAlign w:val="bottom"/>
            <w:tcBorders>
              <w:left w:val="single" w:sz="8" w:color="CFCFCF"/>
              <w:bottom w:val="single" w:sz="8" w:color="CFCFCF"/>
              <w:right w:val="single" w:sz="8" w:color="CFCFC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5260" w:type="dxa"/>
            <w:vAlign w:val="bottom"/>
            <w:tcBorders>
              <w:bottom w:val="single" w:sz="8" w:color="CFCFCF"/>
              <w:right w:val="single" w:sz="8" w:color="CFCFCF"/>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Tel: +44 (0)20 3283 4200</w:t>
            </w:r>
          </w:p>
        </w:tc>
      </w:tr>
      <w:tr>
        <w:trPr>
          <w:trHeight w:val="185"/>
        </w:trPr>
        <w:tc>
          <w:tcPr>
            <w:tcW w:w="5980" w:type="dxa"/>
            <w:vAlign w:val="bottom"/>
            <w:tcBorders>
              <w:left w:val="single" w:sz="8" w:color="CFCFCF"/>
              <w:right w:val="single" w:sz="8" w:color="CFCFCF"/>
            </w:tcBorders>
          </w:tcPr>
          <w:p>
            <w:pPr>
              <w:ind w:left="120"/>
              <w:spacing w:after="0" w:line="185" w:lineRule="exact"/>
              <w:rPr>
                <w:sz w:val="20"/>
                <w:szCs w:val="20"/>
                <w:color w:val="auto"/>
              </w:rPr>
            </w:pPr>
            <w:r>
              <w:rPr>
                <w:rFonts w:ascii="Times New Roman" w:cs="Times New Roman" w:eastAsia="Times New Roman" w:hAnsi="Times New Roman"/>
                <w:sz w:val="18"/>
                <w:szCs w:val="18"/>
                <w:color w:val="auto"/>
              </w:rPr>
              <w:t>Victoria Stewart, Director of Communications</w:t>
            </w:r>
          </w:p>
        </w:tc>
        <w:tc>
          <w:tcPr>
            <w:tcW w:w="5260" w:type="dxa"/>
            <w:vAlign w:val="bottom"/>
            <w:tcBorders>
              <w:right w:val="single" w:sz="8" w:color="CFCFCF"/>
            </w:tcBorders>
            <w:gridSpan w:val="5"/>
          </w:tcPr>
          <w:p>
            <w:pPr>
              <w:ind w:left="100"/>
              <w:spacing w:after="0" w:line="185" w:lineRule="exact"/>
              <w:rPr>
                <w:sz w:val="20"/>
                <w:szCs w:val="20"/>
                <w:color w:val="auto"/>
              </w:rPr>
            </w:pPr>
            <w:r>
              <w:rPr>
                <w:rFonts w:ascii="Times New Roman" w:cs="Times New Roman" w:eastAsia="Times New Roman" w:hAnsi="Times New Roman"/>
                <w:sz w:val="18"/>
                <w:szCs w:val="18"/>
                <w:color w:val="auto"/>
              </w:rPr>
              <w:t>info@veronapharma.com</w:t>
            </w:r>
          </w:p>
        </w:tc>
      </w:tr>
      <w:tr>
        <w:trPr>
          <w:trHeight w:val="34"/>
        </w:trPr>
        <w:tc>
          <w:tcPr>
            <w:tcW w:w="5980" w:type="dxa"/>
            <w:vAlign w:val="bottom"/>
            <w:tcBorders>
              <w:left w:val="single" w:sz="8" w:color="CFCFCF"/>
              <w:bottom w:val="single" w:sz="8" w:color="CFCFCF"/>
              <w:right w:val="single" w:sz="8" w:color="CFCFCF"/>
            </w:tcBorders>
          </w:tcPr>
          <w:p>
            <w:pPr>
              <w:spacing w:after="0"/>
              <w:rPr>
                <w:sz w:val="2"/>
                <w:szCs w:val="2"/>
                <w:color w:val="auto"/>
              </w:rPr>
            </w:pPr>
          </w:p>
        </w:tc>
        <w:tc>
          <w:tcPr>
            <w:tcW w:w="100" w:type="dxa"/>
            <w:vAlign w:val="bottom"/>
            <w:tcBorders>
              <w:bottom w:val="single" w:sz="8" w:color="CFCFCF"/>
            </w:tcBorders>
          </w:tcPr>
          <w:p>
            <w:pPr>
              <w:spacing w:after="0"/>
              <w:rPr>
                <w:sz w:val="2"/>
                <w:szCs w:val="2"/>
                <w:color w:val="auto"/>
              </w:rPr>
            </w:pPr>
          </w:p>
        </w:tc>
        <w:tc>
          <w:tcPr>
            <w:tcW w:w="1840" w:type="dxa"/>
            <w:vAlign w:val="bottom"/>
            <w:tcBorders>
              <w:top w:val="single" w:sz="8" w:color="auto"/>
              <w:bottom w:val="single" w:sz="8" w:color="CFCFCF"/>
            </w:tcBorders>
          </w:tcPr>
          <w:p>
            <w:pPr>
              <w:spacing w:after="0"/>
              <w:rPr>
                <w:sz w:val="2"/>
                <w:szCs w:val="2"/>
                <w:color w:val="auto"/>
              </w:rPr>
            </w:pPr>
          </w:p>
        </w:tc>
        <w:tc>
          <w:tcPr>
            <w:tcW w:w="100" w:type="dxa"/>
            <w:vAlign w:val="bottom"/>
            <w:tcBorders>
              <w:bottom w:val="single" w:sz="8" w:color="CFCFCF"/>
            </w:tcBorders>
          </w:tcPr>
          <w:p>
            <w:pPr>
              <w:spacing w:after="0"/>
              <w:rPr>
                <w:sz w:val="2"/>
                <w:szCs w:val="2"/>
                <w:color w:val="auto"/>
              </w:rPr>
            </w:pPr>
          </w:p>
        </w:tc>
        <w:tc>
          <w:tcPr>
            <w:tcW w:w="240" w:type="dxa"/>
            <w:vAlign w:val="bottom"/>
            <w:tcBorders>
              <w:bottom w:val="single" w:sz="8" w:color="CFCFCF"/>
            </w:tcBorders>
          </w:tcPr>
          <w:p>
            <w:pPr>
              <w:spacing w:after="0"/>
              <w:rPr>
                <w:sz w:val="2"/>
                <w:szCs w:val="2"/>
                <w:color w:val="auto"/>
              </w:rPr>
            </w:pPr>
          </w:p>
        </w:tc>
        <w:tc>
          <w:tcPr>
            <w:tcW w:w="2980" w:type="dxa"/>
            <w:vAlign w:val="bottom"/>
            <w:tcBorders>
              <w:bottom w:val="single" w:sz="8" w:color="CFCFCF"/>
              <w:right w:val="single" w:sz="8" w:color="CFCFCF"/>
            </w:tcBorders>
          </w:tcPr>
          <w:p>
            <w:pPr>
              <w:spacing w:after="0"/>
              <w:rPr>
                <w:sz w:val="2"/>
                <w:szCs w:val="2"/>
                <w:color w:val="auto"/>
              </w:rPr>
            </w:pPr>
          </w:p>
        </w:tc>
      </w:tr>
      <w:tr>
        <w:trPr>
          <w:trHeight w:val="236"/>
        </w:trPr>
        <w:tc>
          <w:tcPr>
            <w:tcW w:w="5980" w:type="dxa"/>
            <w:vAlign w:val="bottom"/>
            <w:tcBorders>
              <w:left w:val="single" w:sz="8" w:color="CFCFCF"/>
              <w:bottom w:val="single" w:sz="8" w:color="CFCFCF"/>
              <w:right w:val="single" w:sz="8" w:color="CFCFCF"/>
            </w:tcBorders>
          </w:tcPr>
          <w:p>
            <w:pPr>
              <w:spacing w:after="0"/>
              <w:rPr>
                <w:sz w:val="20"/>
                <w:szCs w:val="20"/>
                <w:color w:val="auto"/>
              </w:rPr>
            </w:pPr>
          </w:p>
        </w:tc>
        <w:tc>
          <w:tcPr>
            <w:tcW w:w="100" w:type="dxa"/>
            <w:vAlign w:val="bottom"/>
            <w:tcBorders>
              <w:bottom w:val="single" w:sz="8" w:color="CFCFCF"/>
            </w:tcBorders>
          </w:tcPr>
          <w:p>
            <w:pPr>
              <w:spacing w:after="0"/>
              <w:rPr>
                <w:sz w:val="20"/>
                <w:szCs w:val="20"/>
                <w:color w:val="auto"/>
              </w:rPr>
            </w:pPr>
          </w:p>
        </w:tc>
        <w:tc>
          <w:tcPr>
            <w:tcW w:w="1840" w:type="dxa"/>
            <w:vAlign w:val="bottom"/>
            <w:tcBorders>
              <w:bottom w:val="single" w:sz="8" w:color="CFCFCF"/>
            </w:tcBorders>
          </w:tcPr>
          <w:p>
            <w:pPr>
              <w:spacing w:after="0"/>
              <w:rPr>
                <w:sz w:val="20"/>
                <w:szCs w:val="20"/>
                <w:color w:val="auto"/>
              </w:rPr>
            </w:pPr>
          </w:p>
        </w:tc>
        <w:tc>
          <w:tcPr>
            <w:tcW w:w="100" w:type="dxa"/>
            <w:vAlign w:val="bottom"/>
            <w:tcBorders>
              <w:bottom w:val="single" w:sz="8" w:color="CFCFCF"/>
            </w:tcBorders>
          </w:tcPr>
          <w:p>
            <w:pPr>
              <w:spacing w:after="0"/>
              <w:rPr>
                <w:sz w:val="20"/>
                <w:szCs w:val="20"/>
                <w:color w:val="auto"/>
              </w:rPr>
            </w:pPr>
          </w:p>
        </w:tc>
        <w:tc>
          <w:tcPr>
            <w:tcW w:w="240" w:type="dxa"/>
            <w:vAlign w:val="bottom"/>
            <w:tcBorders>
              <w:bottom w:val="single" w:sz="8" w:color="CFCFCF"/>
            </w:tcBorders>
          </w:tcPr>
          <w:p>
            <w:pPr>
              <w:spacing w:after="0"/>
              <w:rPr>
                <w:sz w:val="20"/>
                <w:szCs w:val="20"/>
                <w:color w:val="auto"/>
              </w:rPr>
            </w:pPr>
          </w:p>
        </w:tc>
        <w:tc>
          <w:tcPr>
            <w:tcW w:w="2980" w:type="dxa"/>
            <w:vAlign w:val="bottom"/>
            <w:tcBorders>
              <w:bottom w:val="single" w:sz="8" w:color="CFCFCF"/>
              <w:right w:val="single" w:sz="8" w:color="CFCFCF"/>
            </w:tcBorders>
          </w:tcPr>
          <w:p>
            <w:pPr>
              <w:spacing w:after="0"/>
              <w:rPr>
                <w:sz w:val="20"/>
                <w:szCs w:val="20"/>
                <w:color w:val="auto"/>
              </w:rPr>
            </w:pPr>
          </w:p>
        </w:tc>
      </w:tr>
      <w:tr>
        <w:trPr>
          <w:trHeight w:val="205"/>
        </w:trPr>
        <w:tc>
          <w:tcPr>
            <w:tcW w:w="5980" w:type="dxa"/>
            <w:vAlign w:val="bottom"/>
            <w:tcBorders>
              <w:left w:val="single" w:sz="8" w:color="CFCFCF"/>
              <w:right w:val="single" w:sz="8" w:color="CFCFCF"/>
            </w:tcBorders>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Argot Partners</w:t>
            </w:r>
          </w:p>
        </w:tc>
        <w:tc>
          <w:tcPr>
            <w:tcW w:w="5260" w:type="dxa"/>
            <w:vAlign w:val="bottom"/>
            <w:tcBorders>
              <w:right w:val="single" w:sz="8" w:color="CFCFCF"/>
            </w:tcBorders>
            <w:gridSpan w:val="5"/>
          </w:tcPr>
          <w:p>
            <w:pPr>
              <w:ind w:left="100"/>
              <w:spacing w:after="0" w:line="205" w:lineRule="exact"/>
              <w:rPr>
                <w:sz w:val="20"/>
                <w:szCs w:val="20"/>
                <w:color w:val="auto"/>
              </w:rPr>
            </w:pPr>
            <w:r>
              <w:rPr>
                <w:rFonts w:ascii="Times New Roman" w:cs="Times New Roman" w:eastAsia="Times New Roman" w:hAnsi="Times New Roman"/>
                <w:sz w:val="18"/>
                <w:szCs w:val="18"/>
                <w:color w:val="auto"/>
              </w:rPr>
              <w:t>Tel: +1 212-600-1902</w:t>
            </w:r>
          </w:p>
        </w:tc>
      </w:tr>
      <w:tr>
        <w:trPr>
          <w:trHeight w:val="194"/>
        </w:trPr>
        <w:tc>
          <w:tcPr>
            <w:tcW w:w="5980" w:type="dxa"/>
            <w:vAlign w:val="bottom"/>
            <w:tcBorders>
              <w:left w:val="single" w:sz="8" w:color="CFCFCF"/>
              <w:right w:val="single" w:sz="8" w:color="CFCFCF"/>
            </w:tcBorders>
          </w:tcPr>
          <w:p>
            <w:pPr>
              <w:ind w:left="120"/>
              <w:spacing w:after="0" w:line="194" w:lineRule="exact"/>
              <w:rPr>
                <w:sz w:val="20"/>
                <w:szCs w:val="20"/>
                <w:color w:val="auto"/>
              </w:rPr>
            </w:pPr>
            <w:r>
              <w:rPr>
                <w:rFonts w:ascii="Times New Roman" w:cs="Times New Roman" w:eastAsia="Times New Roman" w:hAnsi="Times New Roman"/>
                <w:sz w:val="18"/>
                <w:szCs w:val="18"/>
                <w:color w:val="auto"/>
              </w:rPr>
              <w:t>(US Investor Enquiries)</w:t>
            </w:r>
          </w:p>
        </w:tc>
        <w:tc>
          <w:tcPr>
            <w:tcW w:w="5260" w:type="dxa"/>
            <w:vAlign w:val="bottom"/>
            <w:tcBorders>
              <w:right w:val="single" w:sz="8" w:color="CFCFCF"/>
            </w:tcBorders>
            <w:gridSpan w:val="5"/>
          </w:tcPr>
          <w:p>
            <w:pPr>
              <w:ind w:left="100"/>
              <w:spacing w:after="0" w:line="194" w:lineRule="exact"/>
              <w:rPr>
                <w:sz w:val="20"/>
                <w:szCs w:val="20"/>
                <w:color w:val="auto"/>
              </w:rPr>
            </w:pPr>
            <w:r>
              <w:rPr>
                <w:rFonts w:ascii="Times New Roman" w:cs="Times New Roman" w:eastAsia="Times New Roman" w:hAnsi="Times New Roman"/>
                <w:sz w:val="18"/>
                <w:szCs w:val="18"/>
                <w:color w:val="auto"/>
              </w:rPr>
              <w:t>verona@argotpartners.com</w:t>
            </w:r>
          </w:p>
        </w:tc>
      </w:tr>
      <w:tr>
        <w:trPr>
          <w:trHeight w:val="34"/>
        </w:trPr>
        <w:tc>
          <w:tcPr>
            <w:tcW w:w="5980" w:type="dxa"/>
            <w:vAlign w:val="bottom"/>
            <w:tcBorders>
              <w:left w:val="single" w:sz="8" w:color="CFCFCF"/>
              <w:bottom w:val="single" w:sz="8" w:color="CFCFCF"/>
              <w:right w:val="single" w:sz="8" w:color="CFCFCF"/>
            </w:tcBorders>
          </w:tcPr>
          <w:p>
            <w:pPr>
              <w:spacing w:after="0"/>
              <w:rPr>
                <w:sz w:val="2"/>
                <w:szCs w:val="2"/>
                <w:color w:val="auto"/>
              </w:rPr>
            </w:pPr>
          </w:p>
        </w:tc>
        <w:tc>
          <w:tcPr>
            <w:tcW w:w="100" w:type="dxa"/>
            <w:vAlign w:val="bottom"/>
            <w:tcBorders>
              <w:bottom w:val="single" w:sz="8" w:color="CFCFCF"/>
            </w:tcBorders>
          </w:tcPr>
          <w:p>
            <w:pPr>
              <w:spacing w:after="0"/>
              <w:rPr>
                <w:sz w:val="2"/>
                <w:szCs w:val="2"/>
                <w:color w:val="auto"/>
              </w:rPr>
            </w:pPr>
          </w:p>
        </w:tc>
        <w:tc>
          <w:tcPr>
            <w:tcW w:w="1840" w:type="dxa"/>
            <w:vAlign w:val="bottom"/>
            <w:tcBorders>
              <w:top w:val="single" w:sz="8" w:color="auto"/>
              <w:bottom w:val="single" w:sz="8" w:color="CFCFCF"/>
            </w:tcBorders>
          </w:tcPr>
          <w:p>
            <w:pPr>
              <w:spacing w:after="0"/>
              <w:rPr>
                <w:sz w:val="2"/>
                <w:szCs w:val="2"/>
                <w:color w:val="auto"/>
              </w:rPr>
            </w:pPr>
          </w:p>
        </w:tc>
        <w:tc>
          <w:tcPr>
            <w:tcW w:w="100" w:type="dxa"/>
            <w:vAlign w:val="bottom"/>
            <w:tcBorders>
              <w:top w:val="single" w:sz="8" w:color="auto"/>
              <w:bottom w:val="single" w:sz="8" w:color="CFCFCF"/>
            </w:tcBorders>
          </w:tcPr>
          <w:p>
            <w:pPr>
              <w:spacing w:after="0"/>
              <w:rPr>
                <w:sz w:val="2"/>
                <w:szCs w:val="2"/>
                <w:color w:val="auto"/>
              </w:rPr>
            </w:pPr>
          </w:p>
        </w:tc>
        <w:tc>
          <w:tcPr>
            <w:tcW w:w="240" w:type="dxa"/>
            <w:vAlign w:val="bottom"/>
            <w:tcBorders>
              <w:bottom w:val="single" w:sz="8" w:color="CFCFCF"/>
            </w:tcBorders>
          </w:tcPr>
          <w:p>
            <w:pPr>
              <w:spacing w:after="0"/>
              <w:rPr>
                <w:sz w:val="2"/>
                <w:szCs w:val="2"/>
                <w:color w:val="auto"/>
              </w:rPr>
            </w:pPr>
          </w:p>
        </w:tc>
        <w:tc>
          <w:tcPr>
            <w:tcW w:w="2980" w:type="dxa"/>
            <w:vAlign w:val="bottom"/>
            <w:tcBorders>
              <w:bottom w:val="single" w:sz="8" w:color="CFCFCF"/>
              <w:right w:val="single" w:sz="8" w:color="CFCFCF"/>
            </w:tcBorders>
          </w:tcPr>
          <w:p>
            <w:pPr>
              <w:spacing w:after="0"/>
              <w:rPr>
                <w:sz w:val="2"/>
                <w:szCs w:val="2"/>
                <w:color w:val="auto"/>
              </w:rPr>
            </w:pPr>
          </w:p>
        </w:tc>
      </w:tr>
      <w:tr>
        <w:trPr>
          <w:trHeight w:val="232"/>
        </w:trPr>
        <w:tc>
          <w:tcPr>
            <w:tcW w:w="5980" w:type="dxa"/>
            <w:vAlign w:val="bottom"/>
            <w:tcBorders>
              <w:left w:val="single" w:sz="8" w:color="CFCFCF"/>
              <w:bottom w:val="single" w:sz="8" w:color="CFCFCF"/>
              <w:right w:val="single" w:sz="8" w:color="CFCFCF"/>
            </w:tcBorders>
          </w:tcPr>
          <w:p>
            <w:pPr>
              <w:ind w:left="120"/>
              <w:spacing w:after="0"/>
              <w:rPr>
                <w:sz w:val="20"/>
                <w:szCs w:val="20"/>
                <w:color w:val="auto"/>
              </w:rPr>
            </w:pPr>
            <w:r>
              <w:rPr>
                <w:rFonts w:ascii="Times New Roman" w:cs="Times New Roman" w:eastAsia="Times New Roman" w:hAnsi="Times New Roman"/>
                <w:sz w:val="18"/>
                <w:szCs w:val="18"/>
                <w:color w:val="auto"/>
              </w:rPr>
              <w:t>Kimberly Minarovich / Michael Barron</w:t>
            </w:r>
          </w:p>
        </w:tc>
        <w:tc>
          <w:tcPr>
            <w:tcW w:w="100" w:type="dxa"/>
            <w:vAlign w:val="bottom"/>
            <w:tcBorders>
              <w:bottom w:val="single" w:sz="8" w:color="CFCFCF"/>
            </w:tcBorders>
          </w:tcPr>
          <w:p>
            <w:pPr>
              <w:spacing w:after="0"/>
              <w:rPr>
                <w:sz w:val="20"/>
                <w:szCs w:val="20"/>
                <w:color w:val="auto"/>
              </w:rPr>
            </w:pPr>
          </w:p>
        </w:tc>
        <w:tc>
          <w:tcPr>
            <w:tcW w:w="1840" w:type="dxa"/>
            <w:vAlign w:val="bottom"/>
            <w:tcBorders>
              <w:bottom w:val="single" w:sz="8" w:color="CFCFCF"/>
            </w:tcBorders>
          </w:tcPr>
          <w:p>
            <w:pPr>
              <w:spacing w:after="0"/>
              <w:rPr>
                <w:sz w:val="20"/>
                <w:szCs w:val="20"/>
                <w:color w:val="auto"/>
              </w:rPr>
            </w:pPr>
          </w:p>
        </w:tc>
        <w:tc>
          <w:tcPr>
            <w:tcW w:w="100" w:type="dxa"/>
            <w:vAlign w:val="bottom"/>
            <w:tcBorders>
              <w:bottom w:val="single" w:sz="8" w:color="CFCFCF"/>
            </w:tcBorders>
          </w:tcPr>
          <w:p>
            <w:pPr>
              <w:spacing w:after="0"/>
              <w:rPr>
                <w:sz w:val="20"/>
                <w:szCs w:val="20"/>
                <w:color w:val="auto"/>
              </w:rPr>
            </w:pPr>
          </w:p>
        </w:tc>
        <w:tc>
          <w:tcPr>
            <w:tcW w:w="240" w:type="dxa"/>
            <w:vAlign w:val="bottom"/>
            <w:tcBorders>
              <w:bottom w:val="single" w:sz="8" w:color="CFCFCF"/>
            </w:tcBorders>
          </w:tcPr>
          <w:p>
            <w:pPr>
              <w:spacing w:after="0"/>
              <w:rPr>
                <w:sz w:val="20"/>
                <w:szCs w:val="20"/>
                <w:color w:val="auto"/>
              </w:rPr>
            </w:pPr>
          </w:p>
        </w:tc>
        <w:tc>
          <w:tcPr>
            <w:tcW w:w="2980" w:type="dxa"/>
            <w:vAlign w:val="bottom"/>
            <w:tcBorders>
              <w:bottom w:val="single" w:sz="8" w:color="CFCFCF"/>
              <w:right w:val="single" w:sz="8" w:color="CFCFCF"/>
            </w:tcBorders>
          </w:tcPr>
          <w:p>
            <w:pPr>
              <w:spacing w:after="0"/>
              <w:rPr>
                <w:sz w:val="20"/>
                <w:szCs w:val="20"/>
                <w:color w:val="auto"/>
              </w:rPr>
            </w:pPr>
          </w:p>
        </w:tc>
      </w:tr>
      <w:tr>
        <w:trPr>
          <w:trHeight w:val="241"/>
        </w:trPr>
        <w:tc>
          <w:tcPr>
            <w:tcW w:w="5980" w:type="dxa"/>
            <w:vAlign w:val="bottom"/>
            <w:tcBorders>
              <w:left w:val="single" w:sz="8" w:color="CFCFCF"/>
              <w:bottom w:val="single" w:sz="8" w:color="CFCFCF"/>
              <w:right w:val="single" w:sz="8" w:color="CFCFCF"/>
            </w:tcBorders>
          </w:tcPr>
          <w:p>
            <w:pPr>
              <w:spacing w:after="0"/>
              <w:rPr>
                <w:sz w:val="20"/>
                <w:szCs w:val="20"/>
                <w:color w:val="auto"/>
              </w:rPr>
            </w:pPr>
          </w:p>
        </w:tc>
        <w:tc>
          <w:tcPr>
            <w:tcW w:w="100" w:type="dxa"/>
            <w:vAlign w:val="bottom"/>
            <w:tcBorders>
              <w:bottom w:val="single" w:sz="8" w:color="CFCFCF"/>
            </w:tcBorders>
          </w:tcPr>
          <w:p>
            <w:pPr>
              <w:spacing w:after="0"/>
              <w:rPr>
                <w:sz w:val="20"/>
                <w:szCs w:val="20"/>
                <w:color w:val="auto"/>
              </w:rPr>
            </w:pPr>
          </w:p>
        </w:tc>
        <w:tc>
          <w:tcPr>
            <w:tcW w:w="1840" w:type="dxa"/>
            <w:vAlign w:val="bottom"/>
            <w:tcBorders>
              <w:bottom w:val="single" w:sz="8" w:color="CFCFCF"/>
            </w:tcBorders>
          </w:tcPr>
          <w:p>
            <w:pPr>
              <w:spacing w:after="0"/>
              <w:rPr>
                <w:sz w:val="20"/>
                <w:szCs w:val="20"/>
                <w:color w:val="auto"/>
              </w:rPr>
            </w:pPr>
          </w:p>
        </w:tc>
        <w:tc>
          <w:tcPr>
            <w:tcW w:w="100" w:type="dxa"/>
            <w:vAlign w:val="bottom"/>
            <w:tcBorders>
              <w:bottom w:val="single" w:sz="8" w:color="CFCFCF"/>
            </w:tcBorders>
          </w:tcPr>
          <w:p>
            <w:pPr>
              <w:spacing w:after="0"/>
              <w:rPr>
                <w:sz w:val="20"/>
                <w:szCs w:val="20"/>
                <w:color w:val="auto"/>
              </w:rPr>
            </w:pPr>
          </w:p>
        </w:tc>
        <w:tc>
          <w:tcPr>
            <w:tcW w:w="240" w:type="dxa"/>
            <w:vAlign w:val="bottom"/>
            <w:tcBorders>
              <w:bottom w:val="single" w:sz="8" w:color="CFCFCF"/>
            </w:tcBorders>
          </w:tcPr>
          <w:p>
            <w:pPr>
              <w:spacing w:after="0"/>
              <w:rPr>
                <w:sz w:val="20"/>
                <w:szCs w:val="20"/>
                <w:color w:val="auto"/>
              </w:rPr>
            </w:pPr>
          </w:p>
        </w:tc>
        <w:tc>
          <w:tcPr>
            <w:tcW w:w="2980" w:type="dxa"/>
            <w:vAlign w:val="bottom"/>
            <w:tcBorders>
              <w:bottom w:val="single" w:sz="8" w:color="CFCFCF"/>
              <w:right w:val="single" w:sz="8" w:color="CFCFCF"/>
            </w:tcBorders>
          </w:tcPr>
          <w:p>
            <w:pPr>
              <w:spacing w:after="0"/>
              <w:rPr>
                <w:sz w:val="20"/>
                <w:szCs w:val="20"/>
                <w:color w:val="auto"/>
              </w:rPr>
            </w:pPr>
          </w:p>
        </w:tc>
      </w:tr>
      <w:tr>
        <w:trPr>
          <w:trHeight w:val="205"/>
        </w:trPr>
        <w:tc>
          <w:tcPr>
            <w:tcW w:w="5980" w:type="dxa"/>
            <w:vAlign w:val="bottom"/>
            <w:tcBorders>
              <w:left w:val="single" w:sz="8" w:color="CFCFCF"/>
              <w:right w:val="single" w:sz="8" w:color="CFCFCF"/>
            </w:tcBorders>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Optimum Strategic Communications</w:t>
            </w:r>
          </w:p>
        </w:tc>
        <w:tc>
          <w:tcPr>
            <w:tcW w:w="5260" w:type="dxa"/>
            <w:vAlign w:val="bottom"/>
            <w:tcBorders>
              <w:right w:val="single" w:sz="8" w:color="CFCFCF"/>
            </w:tcBorders>
            <w:gridSpan w:val="5"/>
          </w:tcPr>
          <w:p>
            <w:pPr>
              <w:ind w:left="100"/>
              <w:spacing w:after="0" w:line="205" w:lineRule="exact"/>
              <w:rPr>
                <w:sz w:val="20"/>
                <w:szCs w:val="20"/>
                <w:color w:val="auto"/>
              </w:rPr>
            </w:pPr>
            <w:r>
              <w:rPr>
                <w:rFonts w:ascii="Times New Roman" w:cs="Times New Roman" w:eastAsia="Times New Roman" w:hAnsi="Times New Roman"/>
                <w:sz w:val="18"/>
                <w:szCs w:val="18"/>
                <w:color w:val="auto"/>
              </w:rPr>
              <w:t>Tel: +44 (0)203 950 9144</w:t>
            </w:r>
          </w:p>
        </w:tc>
      </w:tr>
      <w:tr>
        <w:trPr>
          <w:trHeight w:val="194"/>
        </w:trPr>
        <w:tc>
          <w:tcPr>
            <w:tcW w:w="5980" w:type="dxa"/>
            <w:vAlign w:val="bottom"/>
            <w:tcBorders>
              <w:left w:val="single" w:sz="8" w:color="CFCFCF"/>
              <w:right w:val="single" w:sz="8" w:color="CFCFCF"/>
            </w:tcBorders>
          </w:tcPr>
          <w:p>
            <w:pPr>
              <w:ind w:left="120"/>
              <w:spacing w:after="0" w:line="194" w:lineRule="exact"/>
              <w:rPr>
                <w:sz w:val="20"/>
                <w:szCs w:val="20"/>
                <w:color w:val="auto"/>
              </w:rPr>
            </w:pPr>
            <w:r>
              <w:rPr>
                <w:rFonts w:ascii="Times New Roman" w:cs="Times New Roman" w:eastAsia="Times New Roman" w:hAnsi="Times New Roman"/>
                <w:sz w:val="18"/>
                <w:szCs w:val="18"/>
                <w:color w:val="auto"/>
              </w:rPr>
              <w:t>(European Media and Investor Enquiries)</w:t>
            </w:r>
          </w:p>
        </w:tc>
        <w:tc>
          <w:tcPr>
            <w:tcW w:w="5260" w:type="dxa"/>
            <w:vAlign w:val="bottom"/>
            <w:tcBorders>
              <w:right w:val="single" w:sz="8" w:color="CFCFCF"/>
            </w:tcBorders>
            <w:gridSpan w:val="5"/>
          </w:tcPr>
          <w:p>
            <w:pPr>
              <w:ind w:left="100"/>
              <w:spacing w:after="0" w:line="194" w:lineRule="exact"/>
              <w:rPr>
                <w:sz w:val="20"/>
                <w:szCs w:val="20"/>
                <w:color w:val="auto"/>
              </w:rPr>
            </w:pPr>
            <w:r>
              <w:rPr>
                <w:rFonts w:ascii="Times New Roman" w:cs="Times New Roman" w:eastAsia="Times New Roman" w:hAnsi="Times New Roman"/>
                <w:sz w:val="18"/>
                <w:szCs w:val="18"/>
                <w:color w:val="auto"/>
              </w:rPr>
              <w:t>verona@optimumcomms.com</w:t>
            </w:r>
          </w:p>
        </w:tc>
      </w:tr>
      <w:tr>
        <w:trPr>
          <w:trHeight w:val="34"/>
        </w:trPr>
        <w:tc>
          <w:tcPr>
            <w:tcW w:w="5980" w:type="dxa"/>
            <w:vAlign w:val="bottom"/>
            <w:tcBorders>
              <w:left w:val="single" w:sz="8" w:color="CFCFCF"/>
              <w:bottom w:val="single" w:sz="8" w:color="CFCFCF"/>
              <w:right w:val="single" w:sz="8" w:color="CFCFCF"/>
            </w:tcBorders>
          </w:tcPr>
          <w:p>
            <w:pPr>
              <w:spacing w:after="0"/>
              <w:rPr>
                <w:sz w:val="2"/>
                <w:szCs w:val="2"/>
                <w:color w:val="auto"/>
              </w:rPr>
            </w:pPr>
          </w:p>
        </w:tc>
        <w:tc>
          <w:tcPr>
            <w:tcW w:w="100" w:type="dxa"/>
            <w:vAlign w:val="bottom"/>
            <w:tcBorders>
              <w:bottom w:val="single" w:sz="8" w:color="CFCFCF"/>
            </w:tcBorders>
          </w:tcPr>
          <w:p>
            <w:pPr>
              <w:spacing w:after="0"/>
              <w:rPr>
                <w:sz w:val="2"/>
                <w:szCs w:val="2"/>
                <w:color w:val="auto"/>
              </w:rPr>
            </w:pPr>
          </w:p>
        </w:tc>
        <w:tc>
          <w:tcPr>
            <w:tcW w:w="1840" w:type="dxa"/>
            <w:vAlign w:val="bottom"/>
            <w:tcBorders>
              <w:top w:val="single" w:sz="8" w:color="auto"/>
              <w:bottom w:val="single" w:sz="8" w:color="CFCFCF"/>
            </w:tcBorders>
          </w:tcPr>
          <w:p>
            <w:pPr>
              <w:spacing w:after="0"/>
              <w:rPr>
                <w:sz w:val="2"/>
                <w:szCs w:val="2"/>
                <w:color w:val="auto"/>
              </w:rPr>
            </w:pPr>
          </w:p>
        </w:tc>
        <w:tc>
          <w:tcPr>
            <w:tcW w:w="100" w:type="dxa"/>
            <w:vAlign w:val="bottom"/>
            <w:tcBorders>
              <w:top w:val="single" w:sz="8" w:color="auto"/>
              <w:bottom w:val="single" w:sz="8" w:color="CFCFCF"/>
            </w:tcBorders>
          </w:tcPr>
          <w:p>
            <w:pPr>
              <w:spacing w:after="0"/>
              <w:rPr>
                <w:sz w:val="2"/>
                <w:szCs w:val="2"/>
                <w:color w:val="auto"/>
              </w:rPr>
            </w:pPr>
          </w:p>
        </w:tc>
        <w:tc>
          <w:tcPr>
            <w:tcW w:w="240" w:type="dxa"/>
            <w:vAlign w:val="bottom"/>
            <w:tcBorders>
              <w:top w:val="single" w:sz="8" w:color="auto"/>
              <w:bottom w:val="single" w:sz="8" w:color="CFCFCF"/>
            </w:tcBorders>
          </w:tcPr>
          <w:p>
            <w:pPr>
              <w:spacing w:after="0"/>
              <w:rPr>
                <w:sz w:val="2"/>
                <w:szCs w:val="2"/>
                <w:color w:val="auto"/>
              </w:rPr>
            </w:pPr>
          </w:p>
        </w:tc>
        <w:tc>
          <w:tcPr>
            <w:tcW w:w="2980" w:type="dxa"/>
            <w:vAlign w:val="bottom"/>
            <w:tcBorders>
              <w:bottom w:val="single" w:sz="8" w:color="CFCFCF"/>
              <w:right w:val="single" w:sz="8" w:color="CFCFCF"/>
            </w:tcBorders>
          </w:tcPr>
          <w:p>
            <w:pPr>
              <w:spacing w:after="0"/>
              <w:rPr>
                <w:sz w:val="2"/>
                <w:szCs w:val="2"/>
                <w:color w:val="auto"/>
              </w:rPr>
            </w:pPr>
          </w:p>
        </w:tc>
      </w:tr>
      <w:tr>
        <w:trPr>
          <w:trHeight w:val="232"/>
        </w:trPr>
        <w:tc>
          <w:tcPr>
            <w:tcW w:w="5980" w:type="dxa"/>
            <w:vAlign w:val="bottom"/>
            <w:tcBorders>
              <w:left w:val="single" w:sz="8" w:color="CFCFCF"/>
              <w:bottom w:val="single" w:sz="8" w:color="CFCFCF"/>
              <w:right w:val="single" w:sz="8" w:color="CFCFCF"/>
            </w:tcBorders>
          </w:tcPr>
          <w:p>
            <w:pPr>
              <w:ind w:left="120"/>
              <w:spacing w:after="0"/>
              <w:rPr>
                <w:sz w:val="20"/>
                <w:szCs w:val="20"/>
                <w:color w:val="auto"/>
              </w:rPr>
            </w:pPr>
            <w:r>
              <w:rPr>
                <w:rFonts w:ascii="Times New Roman" w:cs="Times New Roman" w:eastAsia="Times New Roman" w:hAnsi="Times New Roman"/>
                <w:sz w:val="18"/>
                <w:szCs w:val="18"/>
                <w:color w:val="auto"/>
              </w:rPr>
              <w:t>Mary Clark / Eva Haas / Shabnam Bashir</w:t>
            </w:r>
          </w:p>
        </w:tc>
        <w:tc>
          <w:tcPr>
            <w:tcW w:w="100" w:type="dxa"/>
            <w:vAlign w:val="bottom"/>
            <w:tcBorders>
              <w:bottom w:val="single" w:sz="8" w:color="CFCFCF"/>
            </w:tcBorders>
          </w:tcPr>
          <w:p>
            <w:pPr>
              <w:spacing w:after="0"/>
              <w:rPr>
                <w:sz w:val="20"/>
                <w:szCs w:val="20"/>
                <w:color w:val="auto"/>
              </w:rPr>
            </w:pPr>
          </w:p>
        </w:tc>
        <w:tc>
          <w:tcPr>
            <w:tcW w:w="1840" w:type="dxa"/>
            <w:vAlign w:val="bottom"/>
            <w:tcBorders>
              <w:bottom w:val="single" w:sz="8" w:color="CFCFCF"/>
            </w:tcBorders>
          </w:tcPr>
          <w:p>
            <w:pPr>
              <w:spacing w:after="0"/>
              <w:rPr>
                <w:sz w:val="20"/>
                <w:szCs w:val="20"/>
                <w:color w:val="auto"/>
              </w:rPr>
            </w:pPr>
          </w:p>
        </w:tc>
        <w:tc>
          <w:tcPr>
            <w:tcW w:w="100" w:type="dxa"/>
            <w:vAlign w:val="bottom"/>
            <w:tcBorders>
              <w:bottom w:val="single" w:sz="8" w:color="CFCFCF"/>
            </w:tcBorders>
          </w:tcPr>
          <w:p>
            <w:pPr>
              <w:spacing w:after="0"/>
              <w:rPr>
                <w:sz w:val="20"/>
                <w:szCs w:val="20"/>
                <w:color w:val="auto"/>
              </w:rPr>
            </w:pPr>
          </w:p>
        </w:tc>
        <w:tc>
          <w:tcPr>
            <w:tcW w:w="240" w:type="dxa"/>
            <w:vAlign w:val="bottom"/>
            <w:tcBorders>
              <w:bottom w:val="single" w:sz="8" w:color="CFCFCF"/>
            </w:tcBorders>
          </w:tcPr>
          <w:p>
            <w:pPr>
              <w:spacing w:after="0"/>
              <w:rPr>
                <w:sz w:val="20"/>
                <w:szCs w:val="20"/>
                <w:color w:val="auto"/>
              </w:rPr>
            </w:pPr>
          </w:p>
        </w:tc>
        <w:tc>
          <w:tcPr>
            <w:tcW w:w="2980" w:type="dxa"/>
            <w:vAlign w:val="bottom"/>
            <w:tcBorders>
              <w:bottom w:val="single" w:sz="8" w:color="CFCFCF"/>
              <w:right w:val="single" w:sz="8" w:color="CFCFCF"/>
            </w:tcBorders>
          </w:tcPr>
          <w:p>
            <w:pPr>
              <w:spacing w:after="0"/>
              <w:rPr>
                <w:sz w:val="20"/>
                <w:szCs w:val="20"/>
                <w:color w:val="auto"/>
              </w:rPr>
            </w:pPr>
          </w:p>
        </w:tc>
      </w:tr>
      <w:tr>
        <w:trPr>
          <w:trHeight w:val="430"/>
        </w:trPr>
        <w:tc>
          <w:tcPr>
            <w:tcW w:w="5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About Verona Pharma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The Company is evaluating nebulized ensifentrine in its Phase 3 clinical program ENHANCE (“Ensifentrine as a Novel inHAled Nebulized COPD thErapy”) for COPD maintenance treatment. The Company raised gross proceeds of $200 million through a private placement in July 2020 and expects the funds to support its operations and Phase 3 clinical program into 2023. Two additional formulations of ensifentrine are currently in Phase 2 development for the treatment of COPD: dry powder inhaler (“DPI”) and pressurized metered-dose inhaler (“pMDI”). Ensifentrine is being evaluated in a pilot clinical study in patients hospitalized with COVID-19 and has potential applications in cystic fibrosis, asthma and other respiratory diseases. For more information, please visit </w:t>
      </w:r>
      <w:r>
        <w:rPr>
          <w:rFonts w:ascii="Times New Roman" w:cs="Times New Roman" w:eastAsia="Times New Roman" w:hAnsi="Times New Roman"/>
          <w:sz w:val="18"/>
          <w:szCs w:val="18"/>
          <w:u w:val="single" w:color="auto"/>
          <w:color w:val="auto"/>
        </w:rPr>
        <w:t>www.veronapharma.com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contained in this press release that do not relate to matters of historical fact should be considered forward-looking statements.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without limitation the important factors discussed under the caption “Risk Factors” in our Registration Statement on Form F-1 filed with the SEC on August 17, 2020, our Report on Form 6-K to be filed with the SEC on November 23, 2020, and our other reports filed with the SEC.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lowerLetter"/>
      <w:start w:val="1"/>
    </w:lvl>
  </w:abstractNum>
  <w:abstractNum w:abstractNumId="1">
    <w:nsid w:val="153EA438"/>
    <w:multiLevelType w:val="hybridMultilevel"/>
    <w:lvl w:ilvl="0">
      <w:lvlJc w:val="left"/>
      <w:lvlText w:val="(%1)"/>
      <w:numFmt w:val="lowerLetter"/>
      <w:start w:val="35"/>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1"/>
      <w:numFmt w:val="bullet"/>
      <w:start w:val="1"/>
    </w:lvl>
  </w:abstractNum>
  <w:abstractNum w:abstractNumId="5">
    <w:nsid w:val="2A487CB0"/>
    <w:multiLevelType w:val="hybridMultilevel"/>
    <w:lvl w:ilvl="0">
      <w:lvlJc w:val="left"/>
      <w:lvlText w:val="2"/>
      <w:numFmt w:val="bullet"/>
      <w:start w:val="1"/>
    </w:lvl>
  </w:abstractNum>
  <w:abstractNum w:abstractNumId="6">
    <w:nsid w:val="1D4ED43B"/>
    <w:multiLevelType w:val="hybridMultilevel"/>
    <w:lvl w:ilvl="0">
      <w:lvlJc w:val="left"/>
      <w:lvlText w:val="(%1)"/>
      <w:numFmt w:val="lowerLetter"/>
      <w:start w:val="1"/>
    </w:lvl>
  </w:abstractNum>
  <w:abstractNum w:abstractNumId="7">
    <w:nsid w:val="725A06FB"/>
    <w:multiLevelType w:val="hybridMultilevel"/>
    <w:lvl w:ilvl="0">
      <w:lvlJc w:val="left"/>
      <w:lvlText w:val="(%1)"/>
      <w:numFmt w:val="lowerLetter"/>
      <w:start w:val="4"/>
    </w:lvl>
  </w:abstractNum>
  <w:abstractNum w:abstractNumId="8">
    <w:nsid w:val="2CD89A32"/>
    <w:multiLevelType w:val="hybridMultilevel"/>
    <w:lvl w:ilvl="0">
      <w:lvlJc w:val="left"/>
      <w:lvlText w:val="(%1)"/>
      <w:numFmt w:val="lowerLetter"/>
      <w:start w:val="1"/>
    </w:lvl>
  </w:abstractNum>
  <w:abstractNum w:abstractNumId="9">
    <w:nsid w:val="57E4CCAF"/>
    <w:multiLevelType w:val="hybridMultilevel"/>
    <w:lvl w:ilvl="0">
      <w:lvlJc w:val="left"/>
      <w:lvlText w:val="(%1)"/>
      <w:numFmt w:val="lowerLetter"/>
      <w:start w:val="1"/>
    </w:lvl>
  </w:abstractNum>
  <w:abstractNum w:abstractNumId="10">
    <w:nsid w:val="7A6D8D3C"/>
    <w:multiLevelType w:val="hybridMultilevel"/>
    <w:lvl w:ilvl="0">
      <w:lvlJc w:val="left"/>
      <w:lvlText w:val="(%1)"/>
      <w:numFmt w:val="lowerLetter"/>
      <w:start w:val="1"/>
    </w:lvl>
  </w:abstractNum>
  <w:abstractNum w:abstractNumId="11">
    <w:nsid w:val="4B588F54"/>
    <w:multiLevelType w:val="hybridMultilevel"/>
    <w:lvl w:ilvl="0">
      <w:lvlJc w:val="left"/>
      <w:lvlText w:val="(%1)"/>
      <w:numFmt w:val="lowerLetter"/>
      <w:start w:val="1"/>
    </w:lvl>
    <w:lvl w:ilvl="1">
      <w:lvlJc w:val="left"/>
      <w:lvlText w:val="(%2)"/>
      <w:numFmt w:val="lowerLetter"/>
      <w:start w:val="9"/>
    </w:lvl>
  </w:abstractNum>
  <w:abstractNum w:abstractNumId="12">
    <w:nsid w:val="542289EC"/>
    <w:multiLevelType w:val="hybridMultilevel"/>
    <w:lvl w:ilvl="0">
      <w:lvlJc w:val="left"/>
      <w:lvlText w:val="(%1)"/>
      <w:numFmt w:val="lowerRoman"/>
      <w:start w:val="2"/>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1)"/>
      <w:numFmt w:val="lowerRoman"/>
      <w:start w:val="3"/>
    </w:lvl>
  </w:abstractNum>
  <w:abstractNum w:abstractNumId="15">
    <w:nsid w:val="7644A45C"/>
    <w:multiLevelType w:val="hybridMultilevel"/>
    <w:lvl w:ilvl="0">
      <w:lvlJc w:val="left"/>
      <w:lvlText w:val="(%1)"/>
      <w:numFmt w:val="decimal"/>
      <w:start w:val="1"/>
    </w:lvl>
  </w:abstractNum>
  <w:abstractNum w:abstractNumId="16">
    <w:nsid w:val="32FFF902"/>
    <w:multiLevelType w:val="hybridMultilevel"/>
    <w:lvl w:ilvl="0">
      <w:lvlJc w:val="left"/>
      <w:lvlText w:val="(%1)"/>
      <w:numFmt w:val="lowerRoman"/>
      <w:start w:val="4"/>
    </w:lvl>
  </w:abstractNum>
  <w:abstractNum w:abstractNumId="17">
    <w:nsid w:val="684A481A"/>
    <w:multiLevelType w:val="hybridMultilevel"/>
    <w:lvl w:ilvl="0">
      <w:lvlJc w:val="left"/>
      <w:lvlText w:val="(%1)"/>
      <w:numFmt w:val="lowerRoman"/>
      <w:start w:val="1"/>
    </w:lvl>
  </w:abstractNum>
  <w:abstractNum w:abstractNumId="18">
    <w:nsid w:val="579478FE"/>
    <w:multiLevelType w:val="hybridMultilevel"/>
    <w:lvl w:ilvl="0">
      <w:lvlJc w:val="left"/>
      <w:lvlText w:val="(%1)"/>
      <w:numFmt w:val="decimal"/>
      <w:start w:val="1"/>
    </w:lvl>
  </w:abstractNum>
  <w:abstractNum w:abstractNumId="19">
    <w:nsid w:val="749ABB43"/>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20">
    <w:nsid w:val="3DC240FB"/>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1">
    <w:nsid w:val="1BA026FA"/>
    <w:multiLevelType w:val="hybridMultilevel"/>
    <w:lvl w:ilvl="0">
      <w:lvlJc w:val="left"/>
      <w:lvlText w:val="(%1)"/>
      <w:numFmt w:val="decimal"/>
      <w:start w:val="1"/>
    </w:lvl>
  </w:abstractNum>
  <w:abstractNum w:abstractNumId="22">
    <w:nsid w:val="79A1DEAA"/>
    <w:multiLevelType w:val="hybridMultilevel"/>
    <w:lvl w:ilvl="0">
      <w:lvlJc w:val="left"/>
      <w:lvlText w:val="%1"/>
      <w:numFmt w:val="lowerLetter"/>
      <w:start w:val="1"/>
    </w:lvl>
    <w:lvl w:ilvl="1">
      <w:lvlJc w:val="left"/>
      <w:lvlText w:val="(%2)"/>
      <w:numFmt w:val="lowerLetter"/>
      <w:start w:val="6"/>
    </w:lvl>
  </w:abstractNum>
  <w:abstractNum w:abstractNumId="23">
    <w:nsid w:val="75C6C33A"/>
    <w:multiLevelType w:val="hybridMultilevel"/>
    <w:lvl w:ilvl="0">
      <w:lvlJc w:val="left"/>
      <w:lvlText w:val="(%1)"/>
      <w:numFmt w:val="lowerLetter"/>
      <w:start w:val="35"/>
    </w:lvl>
    <w:lvl w:ilvl="1">
      <w:lvlJc w:val="left"/>
      <w:lvlText w:val="(%2)"/>
      <w:numFmt w:val="lowerLetter"/>
      <w:start w:val="7"/>
    </w:lvl>
  </w:abstractNum>
  <w:abstractNum w:abstractNumId="24">
    <w:nsid w:val="12E685FB"/>
    <w:multiLevelType w:val="hybridMultilevel"/>
    <w:lvl w:ilvl="0">
      <w:lvlJc w:val="left"/>
      <w:lvlText w:val="(%1)"/>
      <w:numFmt w:val="lowerRoman"/>
      <w:start w:val="1"/>
    </w:lvl>
  </w:abstractNum>
  <w:abstractNum w:abstractNumId="25">
    <w:nsid w:val="70C6A529"/>
    <w:multiLevelType w:val="hybridMultilevel"/>
    <w:lvl w:ilvl="0">
      <w:lvlJc w:val="left"/>
      <w:lvlText w:val="(%1)"/>
      <w:numFmt w:val="decimal"/>
      <w:start w:val="1"/>
    </w:lvl>
  </w:abstractNum>
  <w:abstractNum w:abstractNumId="26">
    <w:nsid w:val="520EEDD1"/>
    <w:multiLevelType w:val="hybridMultilevel"/>
    <w:lvl w:ilvl="0">
      <w:lvlJc w:val="left"/>
      <w:lvlText w:val="(%1)"/>
      <w:numFmt w:val="lowerLetter"/>
      <w:start w:val="10"/>
    </w:lvl>
  </w:abstractNum>
  <w:abstractNum w:abstractNumId="27">
    <w:nsid w:val="374A3FE6"/>
    <w:multiLevelType w:val="hybridMultilevel"/>
    <w:lvl w:ilvl="0">
      <w:lvlJc w:val="left"/>
      <w:lvlText w:val="3"/>
      <w:numFmt w:val="bullet"/>
      <w:start w:val="1"/>
    </w:lvl>
  </w:abstractNum>
  <w:abstractNum w:abstractNumId="28">
    <w:nsid w:val="4F4EF005"/>
    <w:multiLevelType w:val="hybridMultilevel"/>
    <w:lvl w:ilvl="0">
      <w:lvlJc w:val="left"/>
      <w:lvlText w:val="(%1)"/>
      <w:numFmt w:val="lowerLetter"/>
      <w:start w:val="1"/>
    </w:lvl>
  </w:abstractNum>
  <w:abstractNum w:abstractNumId="29">
    <w:nsid w:val="23F9C13C"/>
    <w:multiLevelType w:val="hybridMultilevel"/>
    <w:lvl w:ilvl="0">
      <w:lvlJc w:val="left"/>
      <w:lvlText w:val="(%1)"/>
      <w:numFmt w:val="lowerLetter"/>
      <w:start w:val="1"/>
    </w:lvl>
  </w:abstractNum>
  <w:abstractNum w:abstractNumId="30">
    <w:nsid w:val="649BB77C"/>
    <w:multiLevelType w:val="hybridMultilevel"/>
    <w:lvl w:ilvl="0">
      <w:lvlJc w:val="left"/>
      <w:lvlText w:val="(%1)"/>
      <w:numFmt w:val="lowerLetter"/>
      <w:start w:val="3"/>
    </w:lvl>
  </w:abstractNum>
  <w:abstractNum w:abstractNumId="31">
    <w:nsid w:val="275AC794"/>
    <w:multiLevelType w:val="hybridMultilevel"/>
    <w:lvl w:ilvl="0">
      <w:lvlJc w:val="left"/>
      <w:lvlText w:val="4"/>
      <w:numFmt w:val="bullet"/>
      <w:start w:val="1"/>
    </w:lvl>
  </w:abstractNum>
  <w:abstractNum w:abstractNumId="32">
    <w:nsid w:val="39386575"/>
    <w:multiLevelType w:val="hybridMultilevel"/>
    <w:lvl w:ilvl="0">
      <w:lvlJc w:val="left"/>
      <w:lvlText w:val="5"/>
      <w:numFmt w:val="bullet"/>
      <w:start w:val="1"/>
    </w:lvl>
  </w:abstractNum>
  <w:abstractNum w:abstractNumId="33">
    <w:nsid w:val="1CF10FD8"/>
    <w:multiLevelType w:val="hybridMultilevel"/>
    <w:lvl w:ilvl="0">
      <w:lvlJc w:val="left"/>
      <w:lvlText w:val="6"/>
      <w:numFmt w:val="bullet"/>
      <w:start w:val="1"/>
    </w:lvl>
  </w:abstractNum>
  <w:abstractNum w:abstractNumId="34">
    <w:nsid w:val="180115BE"/>
    <w:multiLevelType w:val="hybridMultilevel"/>
    <w:lvl w:ilvl="0">
      <w:lvlJc w:val="left"/>
      <w:lvlText w:val="(%1)"/>
      <w:numFmt w:val="lowerLetter"/>
      <w:start w:val="1"/>
    </w:lvl>
  </w:abstractNum>
  <w:abstractNum w:abstractNumId="35">
    <w:nsid w:val="235BA861"/>
    <w:multiLevelType w:val="hybridMultilevel"/>
    <w:lvl w:ilvl="0">
      <w:lvlJc w:val="left"/>
      <w:lvlText w:val="(%1)"/>
      <w:numFmt w:val="lowerLetter"/>
      <w:start w:val="1"/>
    </w:lvl>
  </w:abstractNum>
  <w:abstractNum w:abstractNumId="36">
    <w:nsid w:val="47398C89"/>
    <w:multiLevelType w:val="hybridMultilevel"/>
    <w:lvl w:ilvl="0">
      <w:lvlJc w:val="left"/>
      <w:lvlText w:val="(%1)"/>
      <w:numFmt w:val="lowerLetter"/>
      <w:start w:val="6"/>
    </w:lvl>
  </w:abstractNum>
  <w:abstractNum w:abstractNumId="37">
    <w:nsid w:val="354FE9F9"/>
    <w:multiLevelType w:val="hybridMultilevel"/>
    <w:lvl w:ilvl="0">
      <w:lvlJc w:val="left"/>
      <w:lvlText w:val="(%1)"/>
      <w:numFmt w:val="lowerLetter"/>
      <w:start w:val="1"/>
    </w:lvl>
  </w:abstractNum>
  <w:abstractNum w:abstractNumId="38">
    <w:nsid w:val="15B5AF5C"/>
    <w:multiLevelType w:val="hybridMultilevel"/>
    <w:lvl w:ilvl="0">
      <w:lvlJc w:val="left"/>
      <w:lvlText w:val="(%1)"/>
      <w:numFmt w:val="lowerLetter"/>
      <w:start w:val="1"/>
    </w:lvl>
  </w:abstractNum>
  <w:abstractNum w:abstractNumId="39">
    <w:nsid w:val="741226BB"/>
    <w:multiLevelType w:val="hybridMultilevel"/>
    <w:lvl w:ilvl="0">
      <w:lvlJc w:val="left"/>
      <w:lvlText w:val="(%1)"/>
      <w:numFmt w:val="lowerLetter"/>
      <w:start w:val="1"/>
    </w:lvl>
  </w:abstractNum>
  <w:abstractNum w:abstractNumId="40">
    <w:nsid w:val="D34B6A8"/>
    <w:multiLevelType w:val="hybridMultilevel"/>
    <w:lvl w:ilvl="0">
      <w:lvlJc w:val="left"/>
      <w:lvlText w:val="(%1)"/>
      <w:numFmt w:val="lowerLetter"/>
      <w:start w:val="3"/>
    </w:lvl>
  </w:abstractNum>
  <w:abstractNum w:abstractNumId="41">
    <w:nsid w:val="10233C99"/>
    <w:multiLevelType w:val="hybridMultilevel"/>
    <w:lvl w:ilvl="0">
      <w:lvlJc w:val="left"/>
      <w:lvlText w:val="7"/>
      <w:numFmt w:val="bullet"/>
      <w:start w:val="1"/>
    </w:lvl>
  </w:abstractNum>
  <w:abstractNum w:abstractNumId="42">
    <w:nsid w:val="3F6AB60F"/>
    <w:multiLevelType w:val="hybridMultilevel"/>
    <w:lvl w:ilvl="0">
      <w:lvlJc w:val="left"/>
      <w:lvlText w:val="8"/>
      <w:numFmt w:val="bullet"/>
      <w:start w:val="1"/>
    </w:lvl>
  </w:abstractNum>
  <w:abstractNum w:abstractNumId="43">
    <w:nsid w:val="61574095"/>
    <w:multiLevelType w:val="hybridMultilevel"/>
    <w:lvl w:ilvl="0">
      <w:lvlJc w:val="left"/>
      <w:lvlText w:val="(%1)"/>
      <w:numFmt w:val="lowerLetter"/>
      <w:start w:val="1"/>
    </w:lvl>
  </w:abstractNum>
  <w:abstractNum w:abstractNumId="44">
    <w:nsid w:val="7E0C57B1"/>
    <w:multiLevelType w:val="hybridMultilevel"/>
    <w:lvl w:ilvl="0">
      <w:lvlJc w:val="left"/>
      <w:lvlText w:val="(%1)"/>
      <w:numFmt w:val="lowerLetter"/>
      <w:start w:val="1"/>
    </w:lvl>
  </w:abstractNum>
  <w:abstractNum w:abstractNumId="45">
    <w:nsid w:val="77AE35EB"/>
    <w:multiLevelType w:val="hybridMultilevel"/>
    <w:lvl w:ilvl="0">
      <w:lvlJc w:val="left"/>
      <w:lvlText w:val="(%1)"/>
      <w:numFmt w:val="lowerLetter"/>
      <w:start w:val="1"/>
    </w:lvl>
  </w:abstractNum>
  <w:abstractNum w:abstractNumId="46">
    <w:nsid w:val="579BE4F1"/>
    <w:multiLevelType w:val="hybridMultilevel"/>
    <w:lvl w:ilvl="0">
      <w:lvlJc w:val="left"/>
      <w:lvlText w:val="9"/>
      <w:numFmt w:val="bullet"/>
      <w:start w:val="1"/>
    </w:lvl>
  </w:abstractNum>
  <w:abstractNum w:abstractNumId="47">
    <w:nsid w:val="310C50B3"/>
    <w:multiLevelType w:val="hybridMultilevel"/>
    <w:lvl w:ilvl="0">
      <w:lvlJc w:val="left"/>
      <w:lvlText w:val="(%1)"/>
      <w:numFmt w:val="lowerLetter"/>
      <w:start w:val="1"/>
    </w:lvl>
  </w:abstractNum>
  <w:abstractNum w:abstractNumId="48">
    <w:nsid w:val="5FF87E05"/>
    <w:multiLevelType w:val="hybridMultilevel"/>
    <w:lvl w:ilvl="0">
      <w:lvlJc w:val="left"/>
      <w:lvlText w:val="(%1)"/>
      <w:numFmt w:val="lowerLetter"/>
      <w:start w:val="2"/>
    </w:lvl>
  </w:abstractNum>
  <w:abstractNum w:abstractNumId="49">
    <w:nsid w:val="2F305DEF"/>
    <w:multiLevelType w:val="hybridMultilevel"/>
    <w:lvl w:ilvl="0">
      <w:lvlJc w:val="left"/>
      <w:lvlText w:val="%1"/>
      <w:numFmt w:val="decimal"/>
      <w:start w:val="10"/>
    </w:lvl>
  </w:abstractNum>
  <w:abstractNum w:abstractNumId="50">
    <w:nsid w:val="25A70BF7"/>
    <w:multiLevelType w:val="hybridMultilevel"/>
    <w:lvl w:ilvl="0">
      <w:lvlJc w:val="left"/>
      <w:lvlText w:val="%1"/>
      <w:numFmt w:val="decimal"/>
      <w:start w:val="11"/>
    </w:lvl>
  </w:abstractNum>
  <w:abstractNum w:abstractNumId="51">
    <w:nsid w:val="1DBABF00"/>
    <w:multiLevelType w:val="hybridMultilevel"/>
    <w:lvl w:ilvl="0">
      <w:lvlJc w:val="left"/>
      <w:lvlText w:val="%1"/>
      <w:numFmt w:val="decimal"/>
      <w:start w:val="12"/>
    </w:lvl>
  </w:abstractNum>
  <w:abstractNum w:abstractNumId="52">
    <w:nsid w:val="4AD084E9"/>
    <w:multiLevelType w:val="hybridMultilevel"/>
    <w:lvl w:ilvl="0">
      <w:lvlJc w:val="left"/>
      <w:lvlText w:val="(%1)"/>
      <w:numFmt w:val="lowerLetter"/>
      <w:start w:val="1"/>
    </w:lvl>
  </w:abstractNum>
  <w:abstractNum w:abstractNumId="53">
    <w:nsid w:val="1F48EAA1"/>
    <w:multiLevelType w:val="hybridMultilevel"/>
    <w:lvl w:ilvl="0">
      <w:lvlJc w:val="left"/>
      <w:lvlText w:val="%1"/>
      <w:numFmt w:val="decimal"/>
      <w:start w:val="13"/>
    </w:lvl>
  </w:abstractNum>
  <w:abstractNum w:abstractNumId="54">
    <w:nsid w:val="1381823A"/>
    <w:multiLevelType w:val="hybridMultilevel"/>
    <w:lvl w:ilvl="0">
      <w:lvlJc w:val="left"/>
      <w:lvlText w:val="(%1)"/>
      <w:numFmt w:val="lowerLetter"/>
      <w:start w:val="1"/>
    </w:lvl>
    <w:lvl w:ilvl="1">
      <w:lvlJc w:val="left"/>
      <w:lvlText w:val="(%2)"/>
      <w:numFmt w:val="lowerRoman"/>
      <w:start w:val="1"/>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3"/>
    </w:lvl>
  </w:abstractNum>
  <w:abstractNum w:abstractNumId="57">
    <w:nsid w:val="6590700B"/>
    <w:multiLevelType w:val="hybridMultilevel"/>
    <w:lvl w:ilvl="0">
      <w:lvlJc w:val="left"/>
      <w:lvlText w:val="%1"/>
      <w:numFmt w:val="lowerLetter"/>
      <w:start w:val="1"/>
    </w:lvl>
    <w:lvl w:ilvl="1">
      <w:lvlJc w:val="left"/>
      <w:lvlText w:val="(%2)"/>
      <w:numFmt w:val="lowerLetter"/>
      <w:start w:val="1"/>
    </w:lvl>
  </w:abstractNum>
  <w:abstractNum w:abstractNumId="58">
    <w:nsid w:val="15014ACB"/>
    <w:multiLevelType w:val="hybridMultilevel"/>
    <w:lvl w:ilvl="0">
      <w:lvlJc w:val="left"/>
      <w:lvlText w:val="(%1)"/>
      <w:numFmt w:val="lowerLetter"/>
      <w:start w:val="7"/>
    </w:lvl>
    <w:lvl w:ilvl="1">
      <w:lvlJc w:val="left"/>
      <w:lvlText w:val="%2"/>
      <w:numFmt w:val="lowerLetter"/>
      <w:start w:val="1"/>
    </w:lvl>
  </w:abstractNum>
  <w:abstractNum w:abstractNumId="59">
    <w:nsid w:val="5F5E7FD0"/>
    <w:multiLevelType w:val="hybridMultilevel"/>
    <w:lvl w:ilvl="0">
      <w:lvlJc w:val="left"/>
      <w:lvlText w:val="(%1)"/>
      <w:numFmt w:val="lowerLetter"/>
      <w:start w:val="1"/>
    </w:lvl>
  </w:abstractNum>
  <w:abstractNum w:abstractNumId="60">
    <w:nsid w:val="98A3148"/>
    <w:multiLevelType w:val="hybridMultilevel"/>
    <w:lvl w:ilvl="0">
      <w:lvlJc w:val="left"/>
      <w:lvlText w:val="(%1)"/>
      <w:numFmt w:val="lowerLetter"/>
      <w:start w:val="2"/>
    </w:lvl>
  </w:abstractNum>
  <w:abstractNum w:abstractNumId="61">
    <w:nsid w:val="799D0247"/>
    <w:multiLevelType w:val="hybridMultilevel"/>
    <w:lvl w:ilvl="0">
      <w:lvlJc w:val="left"/>
      <w:lvlText w:val="(%1)"/>
      <w:numFmt w:val="lowerLetter"/>
      <w:start w:val="4"/>
    </w:lvl>
  </w:abstractNum>
  <w:abstractNum w:abstractNumId="62">
    <w:nsid w:val="6B94764"/>
    <w:multiLevelType w:val="hybridMultilevel"/>
    <w:lvl w:ilvl="0">
      <w:lvlJc w:val="left"/>
      <w:lvlText w:val="(%1)"/>
      <w:numFmt w:val="lowerLetter"/>
      <w:start w:val="1"/>
    </w:lvl>
  </w:abstractNum>
  <w:abstractNum w:abstractNumId="63">
    <w:nsid w:val="42C296BD"/>
    <w:multiLevelType w:val="hybridMultilevel"/>
    <w:lvl w:ilvl="0">
      <w:lvlJc w:val="left"/>
      <w:lvlText w:val="(%1)"/>
      <w:numFmt w:val="lowerLetter"/>
      <w:start w:val="5"/>
    </w:lvl>
  </w:abstractNum>
  <w:abstractNum w:abstractNumId="64">
    <w:nsid w:val="168E121F"/>
    <w:multiLevelType w:val="hybridMultilevel"/>
    <w:lvl w:ilvl="0">
      <w:lvlJc w:val="left"/>
      <w:lvlText w:val="(%1)"/>
      <w:numFmt w:val="lowerLetter"/>
      <w:start w:val="7"/>
    </w:lvl>
  </w:abstractNum>
  <w:abstractNum w:abstractNumId="65">
    <w:nsid w:val="1EBA5D23"/>
    <w:multiLevelType w:val="hybridMultilevel"/>
    <w:lvl w:ilvl="0">
      <w:lvlJc w:val="left"/>
      <w:lvlText w:val="(%1)"/>
      <w:numFmt w:val="upperLetter"/>
      <w:start w:val="2"/>
    </w:lvl>
  </w:abstractNum>
  <w:abstractNum w:abstractNumId="66">
    <w:nsid w:val="661E3F1E"/>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67">
    <w:nsid w:val="5DC79EA8"/>
    <w:multiLevelType w:val="hybridMultilevel"/>
    <w:lvl w:ilvl="0">
      <w:lvlJc w:val="left"/>
      <w:lvlText w:val="(%1)"/>
      <w:numFmt w:val="upperLetter"/>
      <w:start w:val="3"/>
    </w:lvl>
  </w:abstractNum>
  <w:abstractNum w:abstractNumId="68">
    <w:nsid w:val="540A471C"/>
    <w:multiLevelType w:val="hybridMultilevel"/>
    <w:lvl w:ilvl="0">
      <w:lvlJc w:val="left"/>
      <w:lvlText w:val="(%1)"/>
      <w:numFmt w:val="lowerLetter"/>
      <w:start w:val="1"/>
    </w:lvl>
    <w:lvl w:ilvl="1">
      <w:lvlJc w:val="left"/>
      <w:lvlText w:val="(%2)"/>
      <w:numFmt w:val="lowerRoman"/>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5"/>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1."/>
      <w:numFmt w:val="decimal"/>
      <w:start w:val="1"/>
    </w:lvl>
    <w:lvl w:ilvl="1">
      <w:lvlJc w:val="left"/>
      <w:lvlText w:val="%2."/>
      <w:numFmt w:val="lowerLetter"/>
      <w:start w:val="1"/>
    </w:lvl>
  </w:abstractNum>
  <w:abstractNum w:abstractNumId="75">
    <w:nsid w:val="A0382C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77">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79">
    <w:nsid w:val="68EB2F6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2020-11-24T05:17:55Z</dcterms:created>
  <dcterms:modified xsi:type="dcterms:W3CDTF">2020-11-24T05:17:55Z</dcterms:modified>
</cp:coreProperties>
</file>