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0514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Hahn Mark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329" w:lineRule="exact"/>
        <w:rPr>
          <w:sz w:val="24"/>
          <w:szCs w:val="24"/>
          <w:color w:val="auto"/>
        </w:rPr>
      </w:pPr>
    </w:p>
    <w:p>
      <w:pPr>
        <w:sectPr>
          <w:pgSz w:w="11900" w:h="16838" w:orient="portrait"/>
          <w:cols w:equalWidth="0" w:num="3">
            <w:col w:w="3200" w:space="720"/>
            <w:col w:w="3095" w:space="720"/>
            <w:col w:w="3265"/>
          </w:cols>
          <w:pgMar w:left="460" w:top="225" w:right="4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660" w:type="dxa"/>
            <w:vAlign w:val="bottom"/>
            <w:tcBorders>
              <w:bottom w:val="single" w:sz="8" w:color="2C2C2C"/>
            </w:tcBorders>
          </w:tcPr>
          <w:p>
            <w:pPr>
              <w:jc w:val="center"/>
              <w:ind w:left="467"/>
              <w:spacing w:after="0"/>
              <w:rPr>
                <w:sz w:val="20"/>
                <w:szCs w:val="20"/>
                <w:color w:val="auto"/>
              </w:rPr>
            </w:pPr>
            <w:r>
              <w:rPr>
                <w:rFonts w:ascii="Arial" w:cs="Arial" w:eastAsia="Arial" w:hAnsi="Arial"/>
                <w:sz w:val="17"/>
                <w:szCs w:val="17"/>
                <w:color w:val="0000FF"/>
                <w:w w:val="93"/>
              </w:rPr>
              <w:t>02/01/2022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133,776</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0.7475</w:t>
            </w:r>
            <w:r>
              <w:rPr>
                <w:rFonts w:ascii="Arial" w:cs="Arial" w:eastAsia="Arial" w:hAnsi="Arial"/>
                <w:sz w:val="22"/>
                <w:szCs w:val="22"/>
                <w:color w:val="008000"/>
                <w:w w:val="93"/>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16,124,896</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660" w:type="dxa"/>
            <w:vAlign w:val="bottom"/>
            <w:tcBorders>
              <w:bottom w:val="single" w:sz="8" w:color="2C2C2C"/>
            </w:tcBorders>
          </w:tcPr>
          <w:p>
            <w:pPr>
              <w:jc w:val="center"/>
              <w:ind w:left="467"/>
              <w:spacing w:after="0"/>
              <w:rPr>
                <w:sz w:val="20"/>
                <w:szCs w:val="20"/>
                <w:color w:val="auto"/>
              </w:rPr>
            </w:pPr>
            <w:r>
              <w:rPr>
                <w:rFonts w:ascii="Arial" w:cs="Arial" w:eastAsia="Arial" w:hAnsi="Arial"/>
                <w:sz w:val="17"/>
                <w:szCs w:val="17"/>
                <w:color w:val="0000FF"/>
                <w:w w:val="93"/>
              </w:rPr>
              <w:t>02/01/2022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288,320</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0.7762</w:t>
            </w:r>
            <w:r>
              <w:rPr>
                <w:rFonts w:ascii="Arial" w:cs="Arial" w:eastAsia="Arial" w:hAnsi="Arial"/>
                <w:sz w:val="22"/>
                <w:szCs w:val="22"/>
                <w:color w:val="008000"/>
                <w:w w:val="93"/>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15,836,576</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660" w:type="dxa"/>
            <w:vAlign w:val="bottom"/>
            <w:tcBorders>
              <w:bottom w:val="single" w:sz="8" w:color="2C2C2C"/>
            </w:tcBorders>
          </w:tcPr>
          <w:p>
            <w:pPr>
              <w:jc w:val="center"/>
              <w:ind w:left="467"/>
              <w:spacing w:after="0"/>
              <w:rPr>
                <w:sz w:val="20"/>
                <w:szCs w:val="20"/>
                <w:color w:val="auto"/>
              </w:rPr>
            </w:pPr>
            <w:r>
              <w:rPr>
                <w:rFonts w:ascii="Arial" w:cs="Arial" w:eastAsia="Arial" w:hAnsi="Arial"/>
                <w:sz w:val="17"/>
                <w:szCs w:val="17"/>
                <w:color w:val="0000FF"/>
                <w:w w:val="93"/>
              </w:rPr>
              <w:t>02/02/2022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10,416</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0.7562</w:t>
            </w:r>
            <w:r>
              <w:rPr>
                <w:rFonts w:ascii="Arial" w:cs="Arial" w:eastAsia="Arial" w:hAnsi="Arial"/>
                <w:sz w:val="22"/>
                <w:szCs w:val="22"/>
                <w:color w:val="008000"/>
                <w:w w:val="93"/>
                <w:vertAlign w:val="superscript"/>
              </w:rPr>
              <w:t>(6)</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15,826,160</w:t>
            </w:r>
            <w:r>
              <w:rPr>
                <w:rFonts w:ascii="Arial" w:cs="Arial" w:eastAsia="Arial" w:hAnsi="Arial"/>
                <w:sz w:val="22"/>
                <w:szCs w:val="22"/>
                <w:color w:val="008000"/>
                <w:w w:val="89"/>
                <w:vertAlign w:val="superscript"/>
              </w:rPr>
              <w:t>(7)</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the closing price of the Issuer's ADSs on the Nasdaq Stock Market LLC on January 28, 2022 divided by eight (8).</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Ordinary Shares withheld to satisfy the tax withholding obligation in connection with the vesting of certain previously reported Restricted Share Units.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the closing price of the Issuer's ADSs on the Nasdaq Stock Market LLC on January 31, 2022 divided by eight (8).</w:t>
      </w:r>
    </w:p>
    <w:p>
      <w:pPr>
        <w:spacing w:after="0" w:line="50" w:lineRule="exact"/>
        <w:rPr>
          <w:rFonts w:ascii="Arial" w:cs="Arial" w:eastAsia="Arial" w:hAnsi="Arial"/>
          <w:sz w:val="13"/>
          <w:szCs w:val="13"/>
          <w:color w:val="008000"/>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the Form 4 was effected pursuant to a Rule 10b5-1 instruction solely with the intent to cover withholding taxes in connection with the vesting of certain previously reported Restricted Share Units.</w:t>
      </w:r>
    </w:p>
    <w:p>
      <w:pPr>
        <w:spacing w:after="0" w:line="15" w:lineRule="exact"/>
        <w:rPr>
          <w:rFonts w:ascii="Arial" w:cs="Arial" w:eastAsia="Arial" w:hAnsi="Arial"/>
          <w:sz w:val="13"/>
          <w:szCs w:val="13"/>
          <w:color w:val="008000"/>
        </w:rPr>
      </w:pPr>
    </w:p>
    <w:p>
      <w:pPr>
        <w:jc w:val="both"/>
        <w:ind w:left="40" w:right="1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$0.7462 to $0.7863. The Reporting Person undertakes to provide upon request to the SEC staff, the Issuer, or any shareholder of the Issuer, full information regarding the number of securities sold at each separate price within the range set forth in this footnote 5.</w:t>
      </w:r>
    </w:p>
    <w:p>
      <w:pPr>
        <w:spacing w:after="0" w:line="25" w:lineRule="exact"/>
        <w:rPr>
          <w:rFonts w:ascii="Arial" w:cs="Arial" w:eastAsia="Arial" w:hAnsi="Arial"/>
          <w:sz w:val="13"/>
          <w:szCs w:val="13"/>
          <w:color w:val="008000"/>
        </w:rPr>
      </w:pPr>
    </w:p>
    <w:p>
      <w:pPr>
        <w:ind w:left="40" w:right="4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9,381,112 Ordinary Shares underlying Restricted Share Units, each of which represents a contingent right to receive one (1) Ordinary Share of the Issuer (which are represented by 1,172,639 ADSs); and (ii) 6,445,048 Ordinary Shares underlying 805,631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02/03/2022</w:t>
            </w:r>
          </w:p>
        </w:tc>
        <w:tc>
          <w:tcPr>
            <w:tcW w:w="0" w:type="dxa"/>
            <w:vAlign w:val="bottom"/>
          </w:tcPr>
          <w:p>
            <w:pPr>
              <w:spacing w:after="0"/>
              <w:rPr>
                <w:sz w:val="1"/>
                <w:szCs w:val="1"/>
                <w:color w:val="auto"/>
              </w:rPr>
            </w:pPr>
          </w:p>
        </w:tc>
      </w:tr>
      <w:tr>
        <w:trPr>
          <w:trHeight w:val="87"/>
        </w:trPr>
        <w:tc>
          <w:tcPr>
            <w:tcW w:w="136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Mark Hahn</w:t>
            </w:r>
          </w:p>
        </w:tc>
        <w:tc>
          <w:tcPr>
            <w:tcW w:w="7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6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850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2022-02-03T16:55:40Z</dcterms:created>
  <dcterms:modified xsi:type="dcterms:W3CDTF">2022-02-03T16:55:40Z</dcterms:modified>
</cp:coreProperties>
</file>