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6-K</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May 2018</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332" w:right="1440" w:bottom="1440" w:gutter="0" w:footer="0" w:header="0"/>
        </w:sectPr>
      </w:pPr>
    </w:p>
    <w:bookmarkStart w:id="1" w:name="page2"/>
    <w:bookmarkEnd w:id="1"/>
    <w:p>
      <w:pPr>
        <w:jc w:val="center"/>
        <w:ind w:right="-29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On May 3, 2018, Verona Pharma plc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the outcome of resolutions proposed at the Annual General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Exhibits 1, to this Report on Form 6-K.</w:t>
      </w: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Exhibit</w:t>
      </w:r>
    </w:p>
    <w:p>
      <w:pPr>
        <w:ind w:left="1760"/>
        <w:spacing w:after="0"/>
        <w:tabs>
          <w:tab w:leader="none" w:pos="6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23495</wp:posOffset>
            </wp:positionV>
            <wp:extent cx="5900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232" w:lineRule="exact"/>
        <w:rPr>
          <w:sz w:val="20"/>
          <w:szCs w:val="20"/>
          <w:color w:val="auto"/>
        </w:rPr>
      </w:pPr>
    </w:p>
    <w:p>
      <w:pPr>
        <w:ind w:left="1100"/>
        <w:spacing w:after="0"/>
        <w:tabs>
          <w:tab w:leader="none" w:pos="2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Result of AGM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100" w:type="dxa"/>
        <w:tblCellMar>
          <w:top w:w="0" w:type="dxa"/>
          <w:left w:w="0" w:type="dxa"/>
          <w:bottom w:w="0" w:type="dxa"/>
          <w:right w:w="0" w:type="dxa"/>
        </w:tblCellMar>
      </w:tblPr>
      <w:tr>
        <w:trPr>
          <w:trHeight w:val="239"/>
        </w:trPr>
        <w:tc>
          <w:tcPr>
            <w:tcW w:w="2200" w:type="dxa"/>
            <w:vAlign w:val="bottom"/>
          </w:tcPr>
          <w:p>
            <w:pPr>
              <w:spacing w:after="0"/>
              <w:rPr>
                <w:sz w:val="20"/>
                <w:szCs w:val="20"/>
                <w:color w:val="auto"/>
              </w:rPr>
            </w:pPr>
          </w:p>
        </w:tc>
        <w:tc>
          <w:tcPr>
            <w:tcW w:w="3060" w:type="dxa"/>
            <w:vAlign w:val="bottom"/>
            <w:gridSpan w:val="2"/>
          </w:tcPr>
          <w:p>
            <w:pPr>
              <w:ind w:left="740"/>
              <w:spacing w:after="0"/>
              <w:rPr>
                <w:sz w:val="20"/>
                <w:szCs w:val="20"/>
                <w:color w:val="auto"/>
              </w:rPr>
            </w:pPr>
            <w:r>
              <w:rPr>
                <w:rFonts w:ascii="Arial" w:cs="Arial" w:eastAsia="Arial" w:hAnsi="Arial"/>
                <w:sz w:val="18"/>
                <w:szCs w:val="18"/>
                <w:b w:val="1"/>
                <w:bCs w:val="1"/>
                <w:color w:val="auto"/>
              </w:rPr>
              <w:t>VERONA PHARMA PLC</w:t>
            </w:r>
          </w:p>
        </w:tc>
        <w:tc>
          <w:tcPr>
            <w:tcW w:w="4000" w:type="dxa"/>
            <w:vAlign w:val="bottom"/>
          </w:tcPr>
          <w:p>
            <w:pPr>
              <w:spacing w:after="0"/>
              <w:rPr>
                <w:sz w:val="20"/>
                <w:szCs w:val="20"/>
                <w:color w:val="auto"/>
              </w:rPr>
            </w:pPr>
          </w:p>
        </w:tc>
      </w:tr>
      <w:tr>
        <w:trPr>
          <w:trHeight w:val="547"/>
        </w:trPr>
        <w:tc>
          <w:tcPr>
            <w:tcW w:w="2200" w:type="dxa"/>
            <w:vAlign w:val="bottom"/>
          </w:tcPr>
          <w:p>
            <w:pPr>
              <w:spacing w:after="0"/>
              <w:rPr>
                <w:sz w:val="20"/>
                <w:szCs w:val="20"/>
                <w:color w:val="auto"/>
              </w:rPr>
            </w:pPr>
            <w:r>
              <w:rPr>
                <w:rFonts w:ascii="Arial" w:cs="Arial" w:eastAsia="Arial" w:hAnsi="Arial"/>
                <w:sz w:val="18"/>
                <w:szCs w:val="18"/>
                <w:color w:val="auto"/>
              </w:rPr>
              <w:t>Date: May 4, 2018</w:t>
            </w:r>
          </w:p>
        </w:tc>
        <w:tc>
          <w:tcPr>
            <w:tcW w:w="1940" w:type="dxa"/>
            <w:vAlign w:val="bottom"/>
          </w:tcPr>
          <w:p>
            <w:pPr>
              <w:ind w:left="13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Jan-Anders Karlsson</w:t>
            </w:r>
          </w:p>
        </w:tc>
      </w:tr>
      <w:tr>
        <w:trPr>
          <w:trHeight w:val="243"/>
        </w:trPr>
        <w:tc>
          <w:tcPr>
            <w:tcW w:w="2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320"/>
              <w:spacing w:after="0"/>
              <w:rPr>
                <w:sz w:val="20"/>
                <w:szCs w:val="20"/>
                <w:color w:val="auto"/>
              </w:rPr>
            </w:pPr>
            <w:r>
              <w:rPr>
                <w:rFonts w:ascii="Arial" w:cs="Arial" w:eastAsia="Arial" w:hAnsi="Arial"/>
                <w:sz w:val="18"/>
                <w:szCs w:val="18"/>
                <w:color w:val="auto"/>
              </w:rPr>
              <w:t>Jan-Anders Karlsson, Ph.D.</w:t>
            </w:r>
          </w:p>
        </w:tc>
      </w:tr>
      <w:tr>
        <w:trPr>
          <w:trHeight w:val="270"/>
        </w:trPr>
        <w:tc>
          <w:tcPr>
            <w:tcW w:w="22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3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120"/>
          </w:cols>
          <w:pgMar w:left="240" w:top="576" w:right="5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763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63270"/>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 of AGM</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03 May 2018, London– Verona Pharma plc (AIM: VRP.L), a clinical-stage biopharmaceutical company focused on developing and commercialising innovative therapeutics for the treatment of respiratory diseases, announces that all resolutions proposed at the Annual General Meeting (AGM) held yesterday were duly passed.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End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RPL554, is a first-in-class, inhaled, dual inhibitor of the enzymes phosphodiesterase 3 and 4 that acts as both a bronchodilator and an anti-inflammatory agent in a single compound. In clinical trials, treatment with RPL554 has shown clinically meaningful and statistically significant improvements in lung function and clinical symptoms as compared to placebo, and has shown statistically significant improvements in lung function when administered in addition to frequently used short- and long-acting bronchodilators as compared to such bronchodilators administered as a single agent. Verona Pharma is developing RPL554 for the treatment of chronic obstructive pulmonary disease (COPD), cystic fibrosis (CF), and potentially asthma.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Verona Pharma plc</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Tel: +44 (0)20 3283 4200</w:t>
      </w:r>
    </w:p>
    <w:p>
      <w:pPr>
        <w:spacing w:after="0" w:line="61" w:lineRule="exact"/>
        <w:rPr>
          <w:sz w:val="20"/>
          <w:szCs w:val="20"/>
          <w:color w:val="auto"/>
        </w:rPr>
      </w:pPr>
    </w:p>
    <w:p>
      <w:pPr>
        <w:sectPr>
          <w:pgSz w:w="11900" w:h="16838" w:orient="portrait"/>
          <w:cols w:equalWidth="0" w:num="2">
            <w:col w:w="6320" w:space="720"/>
            <w:col w:w="4380"/>
          </w:cols>
          <w:pgMar w:left="240" w:top="144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Jan-Anders Karlsson,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info@veronapharma.com</w:t>
      </w:r>
    </w:p>
    <w:p>
      <w:pPr>
        <w:spacing w:after="0" w:line="200" w:lineRule="exact"/>
        <w:rPr>
          <w:sz w:val="20"/>
          <w:szCs w:val="20"/>
          <w:color w:val="auto"/>
        </w:rPr>
      </w:pPr>
    </w:p>
    <w:p>
      <w:pPr>
        <w:sectPr>
          <w:pgSz w:w="11900" w:h="16838" w:orient="portrait"/>
          <w:cols w:equalWidth="0" w:num="2">
            <w:col w:w="6320" w:space="720"/>
            <w:col w:w="4380"/>
          </w:cols>
          <w:pgMar w:left="240" w:top="1440" w:right="2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Stifel Nicolaus Europe Limited (Nominated Adviser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Tel: +44 (0) 20 7710 7600</w:t>
      </w:r>
    </w:p>
    <w:p>
      <w:pPr>
        <w:spacing w:after="0" w:line="21" w:lineRule="exact"/>
        <w:rPr>
          <w:sz w:val="20"/>
          <w:szCs w:val="20"/>
          <w:color w:val="auto"/>
        </w:rPr>
      </w:pPr>
    </w:p>
    <w:p>
      <w:pPr>
        <w:sectPr>
          <w:pgSz w:w="11900" w:h="16838" w:orient="portrait"/>
          <w:cols w:equalWidth="0" w:num="2">
            <w:col w:w="6320" w:space="720"/>
            <w:col w:w="4380"/>
          </w:cols>
          <w:pgMar w:left="240" w:top="144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and UK Broker)</w:t>
      </w:r>
    </w:p>
    <w:p>
      <w:pPr>
        <w:sectPr>
          <w:pgSz w:w="11900" w:h="16838" w:orient="portrait"/>
          <w:cols w:equalWidth="0" w:num="1">
            <w:col w:w="11420"/>
          </w:cols>
          <w:pgMar w:left="240" w:top="1440" w:right="239" w:bottom="1440" w:gutter="0" w:footer="0" w:header="0"/>
          <w:type w:val="continuous"/>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Stewart Wallace / Jonathan Senior / Ben Maddison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SNELVeronaPharma@stifel.com</w:t>
      </w:r>
    </w:p>
    <w:p>
      <w:pPr>
        <w:spacing w:after="0" w:line="200" w:lineRule="exact"/>
        <w:rPr>
          <w:sz w:val="20"/>
          <w:szCs w:val="20"/>
          <w:color w:val="auto"/>
        </w:rPr>
      </w:pPr>
    </w:p>
    <w:p>
      <w:pPr>
        <w:sectPr>
          <w:pgSz w:w="11900" w:h="16838" w:orient="portrait"/>
          <w:cols w:equalWidth="0" w:num="2">
            <w:col w:w="6320" w:space="720"/>
            <w:col w:w="4380"/>
          </w:cols>
          <w:pgMar w:left="240" w:top="1440" w:right="2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FTI Consulting (UK Media and Investor enquiries)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Tel: +44 (0)20 3727 1000</w:t>
      </w:r>
    </w:p>
    <w:p>
      <w:pPr>
        <w:spacing w:after="0" w:line="61" w:lineRule="exact"/>
        <w:rPr>
          <w:sz w:val="20"/>
          <w:szCs w:val="20"/>
          <w:color w:val="auto"/>
        </w:rPr>
      </w:pPr>
    </w:p>
    <w:p>
      <w:pPr>
        <w:sectPr>
          <w:pgSz w:w="11900" w:h="16838" w:orient="portrait"/>
          <w:cols w:equalWidth="0" w:num="2">
            <w:col w:w="6320" w:space="720"/>
            <w:col w:w="4380"/>
          </w:cols>
          <w:pgMar w:left="240" w:top="144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Simon Conway / Natalie Garland-Collins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veronapharma@fticonsulting.com</w:t>
      </w:r>
    </w:p>
    <w:p>
      <w:pPr>
        <w:spacing w:after="0" w:line="200" w:lineRule="exact"/>
        <w:rPr>
          <w:sz w:val="20"/>
          <w:szCs w:val="20"/>
          <w:color w:val="auto"/>
        </w:rPr>
      </w:pPr>
    </w:p>
    <w:p>
      <w:pPr>
        <w:sectPr>
          <w:pgSz w:w="11900" w:h="16838" w:orient="portrait"/>
          <w:cols w:equalWidth="0" w:num="2">
            <w:col w:w="6320" w:space="720"/>
            <w:col w:w="4380"/>
          </w:cols>
          <w:pgMar w:left="240" w:top="1440" w:right="2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color w:val="auto"/>
        </w:rPr>
        <w:t>ICR, Inc. (US Media and Investor enquiries)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Heins</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Tel: +1 203-682-8251</w:t>
      </w:r>
    </w:p>
    <w:p>
      <w:pPr>
        <w:spacing w:after="0" w:line="21" w:lineRule="exact"/>
        <w:rPr>
          <w:sz w:val="20"/>
          <w:szCs w:val="20"/>
          <w:color w:val="auto"/>
        </w:rPr>
      </w:pPr>
    </w:p>
    <w:p>
      <w:pPr>
        <w:sectPr>
          <w:pgSz w:w="11900" w:h="16838" w:orient="portrait"/>
          <w:cols w:equalWidth="0" w:num="2">
            <w:col w:w="6320" w:space="720"/>
            <w:col w:w="4380"/>
          </w:cols>
          <w:pgMar w:left="240" w:top="1440" w:right="239" w:bottom="1440" w:gutter="0" w:footer="0" w:header="0"/>
          <w:type w:val="continuous"/>
        </w:sectPr>
      </w:pPr>
    </w:p>
    <w:p>
      <w:pPr>
        <w:ind w:left="7040"/>
        <w:spacing w:after="0"/>
        <w:rPr>
          <w:sz w:val="20"/>
          <w:szCs w:val="20"/>
          <w:color w:val="auto"/>
        </w:rPr>
      </w:pPr>
      <w:r>
        <w:rPr>
          <w:rFonts w:ascii="Arial" w:cs="Arial" w:eastAsia="Arial" w:hAnsi="Arial"/>
          <w:sz w:val="19"/>
          <w:szCs w:val="19"/>
          <w:color w:val="auto"/>
        </w:rPr>
        <w:t>James.Heins@icrinc.com</w:t>
      </w:r>
    </w:p>
    <w:p>
      <w:pPr>
        <w:sectPr>
          <w:pgSz w:w="11900" w:h="16838" w:orient="portrait"/>
          <w:cols w:equalWidth="0" w:num="1">
            <w:col w:w="11420"/>
          </w:cols>
          <w:pgMar w:left="240" w:top="1440" w:right="239" w:bottom="1440" w:gutter="0" w:footer="0" w:header="0"/>
          <w:type w:val="continuous"/>
        </w:sectPr>
      </w:pPr>
    </w:p>
    <w:p>
      <w:pPr>
        <w:spacing w:after="0" w:line="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Stephanie Carrington</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Tel. +1 646-277-1282</w:t>
      </w:r>
    </w:p>
    <w:p>
      <w:pPr>
        <w:spacing w:after="0"/>
        <w:rPr>
          <w:sz w:val="20"/>
          <w:szCs w:val="20"/>
          <w:color w:val="auto"/>
        </w:rPr>
      </w:pPr>
      <w:r>
        <w:rPr>
          <w:rFonts w:ascii="Arial" w:cs="Arial" w:eastAsia="Arial" w:hAnsi="Arial"/>
          <w:sz w:val="17"/>
          <w:szCs w:val="17"/>
          <w:color w:val="auto"/>
        </w:rPr>
        <w:t>Stephanie.Carrington@icrinc.com</w:t>
      </w:r>
    </w:p>
    <w:sectPr>
      <w:pgSz w:w="11900" w:h="16838" w:orient="portrait"/>
      <w:cols w:equalWidth="0" w:num="2">
        <w:col w:w="6320" w:space="720"/>
        <w:col w:w="438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2019-12-08T14:13:40Z</dcterms:created>
  <dcterms:modified xsi:type="dcterms:W3CDTF">2019-12-08T14:13:40Z</dcterms:modified>
</cp:coreProperties>
</file>