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001-38067</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53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180" w:type="dxa"/>
            <w:vAlign w:val="bottom"/>
            <w:tcBorders>
              <w:top w:val="single" w:sz="8" w:color="auto"/>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Trading Symbol(s)</w:t>
            </w:r>
          </w:p>
        </w:tc>
        <w:tc>
          <w:tcPr>
            <w:tcW w:w="336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1"/>
        </w:trPr>
        <w:tc>
          <w:tcPr>
            <w:tcW w:w="4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VRNA</w:t>
            </w:r>
          </w:p>
        </w:tc>
        <w:tc>
          <w:tcPr>
            <w:tcW w:w="3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6"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April 27, 2022, Verona Pharma plc (the “Company”) held its 2022 Annual General Meeting of Shareholders (the “AGM”), and all resolutions were passed as proposed. Of the ordinary shares entitled to vote, there were 444,872,381 ordinary shares represented in person or by proxy at the AGM. The matters voted upon at the AGM, all of which were described in the Company’s definitive proxy statement filed with the Securities and Exchange Commission on March 22, 2022, and the final results of such voting are set forth below. Proxy forms which gave a person designated by the Company discretion have been included in the “For” total. In accordance with the terms of the deposit agreement by and among the Company, Citibank, N.A., as depositary, and holders and beneficial owners of American Depositary Shares (“ADSs”) issued thereunder, dated as of May 2, 2017, holders of ADSs as the ADS record date who did not provide the depositary bank with voting instructions on or before the voting cut-off time for ADS holders were deemed to have instructed the depositary bank to give a discretionary proxy to a person designated by the Company to vote the underlying ordinary shares at the AGM and the voting results below reflect that. A “vote withheld” is not a vote in law and votes withheld had no effect on the proposals. Votes withheld were counted as present and entitled to vote for purposes of determining a quorum.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To re-elect Kenneth Cunningham, M.D. as a Director of the Company.</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FOR</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AGAINST</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09"/>
        </w:trPr>
        <w:tc>
          <w:tcPr>
            <w:tcW w:w="25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444,815,365</w:t>
            </w:r>
          </w:p>
        </w:tc>
        <w:tc>
          <w:tcPr>
            <w:tcW w:w="5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33,448</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23,568</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To re-elect Rishi Gupta as a Director of the Company.</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FOR</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AGAINST</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09"/>
        </w:trPr>
        <w:tc>
          <w:tcPr>
            <w:tcW w:w="25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444,792,165</w:t>
            </w:r>
          </w:p>
        </w:tc>
        <w:tc>
          <w:tcPr>
            <w:tcW w:w="5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56,648</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23,568</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To re-elect Vikas Sinha as a Director of the Company.</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FOR</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AGAINST</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10"/>
        </w:trPr>
        <w:tc>
          <w:tcPr>
            <w:tcW w:w="25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444,681,605</w:t>
            </w:r>
          </w:p>
        </w:tc>
        <w:tc>
          <w:tcPr>
            <w:tcW w:w="5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168,824</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21,952</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4. To re-elect James Brady as a Director of the Company.</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FOR</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AGAINST</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10"/>
        </w:trPr>
        <w:tc>
          <w:tcPr>
            <w:tcW w:w="25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444,816,965</w:t>
            </w:r>
          </w:p>
        </w:tc>
        <w:tc>
          <w:tcPr>
            <w:tcW w:w="5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33,464</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21,952</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w:t>
            </w:r>
          </w:p>
        </w:tc>
      </w:tr>
    </w:tbl>
    <w:p>
      <w:pPr>
        <w:spacing w:after="0" w:line="196"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Proposal 5. To receive and adopt the U.K. statutory annual accounts and Directors’ report for the year ended December 31, 2021 and the report of the auditors thereon.</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FOR</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AGAINST</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10"/>
        </w:trPr>
        <w:tc>
          <w:tcPr>
            <w:tcW w:w="25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444,842,288</w:t>
            </w:r>
          </w:p>
        </w:tc>
        <w:tc>
          <w:tcPr>
            <w:tcW w:w="5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8,261</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21,832</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w:t>
            </w:r>
          </w:p>
        </w:tc>
      </w:tr>
    </w:tbl>
    <w:p>
      <w:pPr>
        <w:spacing w:after="0" w:line="196"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Proposal 6. To receive and approve, as a non-binding advisory resolution, the U.K. statutory Directors’ Remuneration Report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320"/>
          </w:cols>
          <w:pgMar w:left="320" w:top="900" w:right="259" w:bottom="1440" w:gutter="0" w:footer="0" w:header="0"/>
        </w:sectPr>
      </w:pPr>
    </w:p>
    <w:bookmarkStart w:id="2" w:name="page3"/>
    <w:bookmarkEnd w:id="2"/>
    <w:tbl>
      <w:tblPr>
        <w:tblLayout w:type="fixed"/>
        <w:tblInd w:w="660" w:type="dxa"/>
        <w:tblCellMar>
          <w:top w:w="0" w:type="dxa"/>
          <w:left w:w="0" w:type="dxa"/>
          <w:bottom w:w="0" w:type="dxa"/>
          <w:right w:w="0" w:type="dxa"/>
        </w:tblCellMar>
      </w:tblPr>
      <w:tr>
        <w:trPr>
          <w:trHeight w:val="234"/>
        </w:trPr>
        <w:tc>
          <w:tcPr>
            <w:tcW w:w="3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FOR</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AGAINST</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10"/>
        </w:trPr>
        <w:tc>
          <w:tcPr>
            <w:tcW w:w="25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444,784,340</w:t>
            </w:r>
          </w:p>
        </w:tc>
        <w:tc>
          <w:tcPr>
            <w:tcW w:w="5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64,993</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23,048</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w:t>
            </w:r>
          </w:p>
        </w:tc>
      </w:tr>
    </w:tbl>
    <w:p>
      <w:pPr>
        <w:spacing w:after="0" w:line="19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Proposal 7. To re-appoint PricewaterhouseCoopers LLP as the Company’s auditors, to hold office until the conclusion of the next annual general meeting of shareholders.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FOR</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AGAINST</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10"/>
        </w:trPr>
        <w:tc>
          <w:tcPr>
            <w:tcW w:w="25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444,849,297</w:t>
            </w:r>
          </w:p>
        </w:tc>
        <w:tc>
          <w:tcPr>
            <w:tcW w:w="5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21,816</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8. To authorize the Audit and Risk Committee to determine the auditors’ remuneration for the year ending December 31, 2022.</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FOR</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AGAINST</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09"/>
        </w:trPr>
        <w:tc>
          <w:tcPr>
            <w:tcW w:w="25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444,824,617</w:t>
            </w:r>
          </w:p>
        </w:tc>
        <w:tc>
          <w:tcPr>
            <w:tcW w:w="5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24,468</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23,296</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w:t>
            </w:r>
          </w:p>
        </w:tc>
      </w:tr>
    </w:tbl>
    <w:p>
      <w:pPr>
        <w:spacing w:after="0" w:line="19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Proposal 9. To authorize the Board of Directors to exercise all the powers of the Company to allot shares in the Company or grant rights to subscribe for or to convert any security into shares in the Company up to an aggregate nominal amount of £24,702,912.</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FOR</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AGAINST</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09"/>
        </w:trPr>
        <w:tc>
          <w:tcPr>
            <w:tcW w:w="25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442,538,268</w:t>
            </w:r>
          </w:p>
        </w:tc>
        <w:tc>
          <w:tcPr>
            <w:tcW w:w="5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2,291,609</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42,504</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w:t>
            </w:r>
          </w:p>
        </w:tc>
      </w:tr>
    </w:tbl>
    <w:p>
      <w:pPr>
        <w:spacing w:after="0" w:line="19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Proposal 10. To authorize the Board of Directors to allot equity securities for cash and/or to sell ordinary shares held by the Company as treasury shares for cash as if section 561(1) of the U.K. Companies Act 2006 does not apply to any such allotment.</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FOR</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AGAINST</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09"/>
        </w:trPr>
        <w:tc>
          <w:tcPr>
            <w:tcW w:w="25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442,555,980</w:t>
            </w:r>
          </w:p>
        </w:tc>
        <w:tc>
          <w:tcPr>
            <w:tcW w:w="5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2,282,249</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34,152</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w:t>
            </w: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foregoing votes, the shareholders re-elected each of Kenneth Cunningham, M.D., Rishi Gupta, Vikas Sinha and James Brady as directors, and approved Proposals 5, 6, 7, 8, 9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20"/>
          </w:cols>
          <w:pgMar w:left="320" w:top="904" w:right="2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2022</w:t>
            </w:r>
          </w:p>
        </w:tc>
        <w:tc>
          <w:tcPr>
            <w:tcW w:w="2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580" w:type="dxa"/>
            <w:vAlign w:val="bottom"/>
          </w:tcPr>
          <w:p>
            <w:pPr>
              <w:spacing w:after="0"/>
              <w:rPr>
                <w:sz w:val="16"/>
                <w:szCs w:val="16"/>
                <w:color w:val="auto"/>
              </w:rPr>
            </w:pPr>
          </w:p>
        </w:tc>
        <w:tc>
          <w:tcPr>
            <w:tcW w:w="262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580" w:type="dxa"/>
            <w:vAlign w:val="bottom"/>
          </w:tcPr>
          <w:p>
            <w:pPr>
              <w:spacing w:after="0"/>
              <w:rPr>
                <w:sz w:val="20"/>
                <w:szCs w:val="20"/>
                <w:color w:val="auto"/>
              </w:rPr>
            </w:pPr>
          </w:p>
        </w:tc>
        <w:tc>
          <w:tcPr>
            <w:tcW w:w="2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2022-04-29T08:23:48Z</dcterms:created>
  <dcterms:modified xsi:type="dcterms:W3CDTF">2022-04-29T08:23:48Z</dcterms:modified>
</cp:coreProperties>
</file>