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ZACCARDELLI DAVID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10/23/2024</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08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jc w:val="center"/>
              <w:ind w:left="4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660" w:type="dxa"/>
            <w:vAlign w:val="bottom"/>
            <w:tcBorders>
              <w:bottom w:val="single" w:sz="8" w:color="2C2C2C"/>
            </w:tcBorders>
          </w:tcPr>
          <w:p>
            <w:pPr>
              <w:jc w:val="center"/>
              <w:ind w:left="467"/>
              <w:spacing w:after="0"/>
              <w:rPr>
                <w:sz w:val="20"/>
                <w:szCs w:val="20"/>
                <w:color w:val="auto"/>
              </w:rPr>
            </w:pPr>
            <w:r>
              <w:rPr>
                <w:rFonts w:ascii="Times New Roman" w:cs="Times New Roman" w:eastAsia="Times New Roman" w:hAnsi="Times New Roman"/>
                <w:sz w:val="17"/>
                <w:szCs w:val="17"/>
                <w:color w:val="0000FF"/>
              </w:rPr>
              <w:t>10/23/2024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4.375</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14,736,536</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660" w:type="dxa"/>
            <w:vAlign w:val="bottom"/>
            <w:tcBorders>
              <w:bottom w:val="single" w:sz="8" w:color="2C2C2C"/>
            </w:tcBorders>
          </w:tcPr>
          <w:p>
            <w:pPr>
              <w:jc w:val="center"/>
              <w:ind w:left="467"/>
              <w:spacing w:after="0"/>
              <w:rPr>
                <w:sz w:val="20"/>
                <w:szCs w:val="20"/>
                <w:color w:val="auto"/>
              </w:rPr>
            </w:pPr>
            <w:r>
              <w:rPr>
                <w:rFonts w:ascii="Times New Roman" w:cs="Times New Roman" w:eastAsia="Times New Roman" w:hAnsi="Times New Roman"/>
                <w:sz w:val="17"/>
                <w:szCs w:val="17"/>
                <w:color w:val="0000FF"/>
              </w:rPr>
              <w:t>10/24/2024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140,000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4.3773</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14,596,536</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660" w:type="dxa"/>
            <w:vAlign w:val="bottom"/>
            <w:tcBorders>
              <w:bottom w:val="single" w:sz="8" w:color="2C2C2C"/>
            </w:tcBorders>
          </w:tcPr>
          <w:p>
            <w:pPr>
              <w:jc w:val="center"/>
              <w:ind w:left="467"/>
              <w:spacing w:after="0"/>
              <w:rPr>
                <w:sz w:val="20"/>
                <w:szCs w:val="20"/>
                <w:color w:val="auto"/>
              </w:rPr>
            </w:pPr>
            <w:r>
              <w:rPr>
                <w:rFonts w:ascii="Times New Roman" w:cs="Times New Roman" w:eastAsia="Times New Roman" w:hAnsi="Times New Roman"/>
                <w:sz w:val="17"/>
                <w:szCs w:val="17"/>
                <w:color w:val="0000FF"/>
              </w:rPr>
              <w:t>10/25/2024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4,800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4.3758</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14,591,736</w:t>
            </w:r>
            <w:r>
              <w:rPr>
                <w:rFonts w:ascii="Times New Roman" w:cs="Times New Roman" w:eastAsia="Times New Roman" w:hAnsi="Times New Roman"/>
                <w:sz w:val="22"/>
                <w:szCs w:val="22"/>
                <w:color w:val="008000"/>
                <w:w w:val="98"/>
                <w:vertAlign w:val="superscript"/>
              </w:rPr>
              <w:t>(5)</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instruction adopted on March 8, 2024.</w:t>
      </w:r>
    </w:p>
    <w:p>
      <w:pPr>
        <w:spacing w:after="0" w:line="50" w:lineRule="exact"/>
        <w:rPr>
          <w:rFonts w:ascii="Times New Roman" w:cs="Times New Roman" w:eastAsia="Times New Roman" w:hAnsi="Times New Roman"/>
          <w:sz w:val="13"/>
          <w:szCs w:val="13"/>
          <w:color w:val="008000"/>
        </w:rPr>
      </w:pPr>
    </w:p>
    <w:p>
      <w:pPr>
        <w:ind w:left="40" w:right="1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price of the ADSs divided by eight (8). The securities were sold in multiple transactions at prices ranging from $4.3750 to $4.3963 per Ordinary Share, inclusive (or $35.00 to $35.17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price of the ADSs divided by eight (8). The securities were sold in multiple transactions at prices ranging from $4.3750 to $4.3775 per Ordinary Share, inclusive (or $35.00 to $35.02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2,825,000 Ordinary Shares underlying Restricted Share Units, each of which represents a contingent right to receive one (1) Ordinary Share of the Issuer (which are represented by 353,125 ADSs); and (ii) 11,766,736 Ordinary Shares underlying 1,470,842 ADSs.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Andrew Fisher, Attorney-</w:t>
            </w:r>
          </w:p>
        </w:tc>
        <w:tc>
          <w:tcPr>
            <w:tcW w:w="8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10/25/2024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4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David Zaccardelli</w:t>
            </w:r>
          </w:p>
        </w:tc>
        <w:tc>
          <w:tcPr>
            <w:tcW w:w="80" w:type="dxa"/>
            <w:vAlign w:val="bottom"/>
            <w:vMerge w:val="restart"/>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4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27642"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2024-10-25T18:58:26Z</dcterms:created>
  <dcterms:modified xsi:type="dcterms:W3CDTF">2024-10-25T18:58:26Z</dcterms:modified>
</cp:coreProperties>
</file>