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Poll Claire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General Counsel</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09/26/2022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800,000</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160"/>
              <w:spacing w:after="0"/>
              <w:rPr>
                <w:sz w:val="20"/>
                <w:szCs w:val="20"/>
                <w:color w:val="auto"/>
              </w:rPr>
            </w:pPr>
            <w:r>
              <w:rPr>
                <w:rFonts w:ascii="Arial" w:cs="Arial" w:eastAsia="Arial" w:hAnsi="Arial"/>
                <w:sz w:val="17"/>
                <w:szCs w:val="17"/>
                <w:color w:val="0000FF"/>
              </w:rPr>
              <w:t>2,563,055</w:t>
            </w:r>
            <w:r>
              <w:rPr>
                <w:rFonts w:ascii="Arial" w:cs="Arial" w:eastAsia="Arial" w:hAnsi="Arial"/>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right"/>
              <w:ind w:right="280"/>
              <w:spacing w:after="0"/>
              <w:rPr>
                <w:sz w:val="20"/>
                <w:szCs w:val="20"/>
                <w:color w:val="auto"/>
              </w:rPr>
            </w:pPr>
            <w:r>
              <w:rPr>
                <w:rFonts w:ascii="Arial" w:cs="Arial" w:eastAsia="Arial" w:hAnsi="Arial"/>
                <w:sz w:val="17"/>
                <w:szCs w:val="17"/>
                <w:color w:val="0000FF"/>
              </w:rPr>
              <w:t>483,840</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(unless otherwise indicated), each of which represents eight (8) Ordinary Shares of the Issuer.</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an award of Restricted Share Units ("RSUs"), each of which represents a contingent right to receive one (1) Ordinary Share of the Issuer. The RSUs vest over four years, with 200,000 RSUs vesting on November 1, 2023 and the balance vesting in 12 equal quarterly installments thereafter.</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2,160,000 Ordinary Shares underlying RSUs (which may be represented by 270,000 ADSs); (ii) 403,048 Ordinary Shares underlying 50,381 ADSs; and (iii) 7 Ordinary Shares.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a family trust of which (a) the Reporting Person and spouse are trustees and (b) the Reporting Person and members of her immediate family are the sole beneficiaries of the trust.</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Claire Poll</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09/28/2022</w:t>
            </w:r>
          </w:p>
        </w:tc>
      </w:tr>
      <w:tr>
        <w:trPr>
          <w:trHeight w:val="20"/>
        </w:trPr>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20"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2022-09-28T15:19:00Z</dcterms:created>
  <dcterms:modified xsi:type="dcterms:W3CDTF">2022-09-28T15:19:00Z</dcterms:modified>
</cp:coreProperties>
</file>